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B48BFE">
      <w:pPr>
        <w:adjustRightInd w:val="0"/>
        <w:snapToGrid w:val="0"/>
        <w:spacing w:line="288" w:lineRule="auto"/>
        <w:ind w:firstLine="1040"/>
        <w:rPr>
          <w:rFonts w:ascii="方正小标宋_GBK" w:eastAsia="方正小标宋_GBK"/>
          <w:bCs/>
          <w:color w:val="0D0D0D" w:themeColor="text1" w:themeTint="F2"/>
          <w:sz w:val="72"/>
          <w:szCs w:val="72"/>
          <w14:textFill>
            <w14:solidFill>
              <w14:schemeClr w14:val="tx1">
                <w14:lumMod w14:val="95000"/>
                <w14:lumOff w14:val="5000"/>
              </w14:schemeClr>
            </w14:solidFill>
          </w14:textFill>
        </w:rPr>
      </w:pPr>
    </w:p>
    <w:p w14:paraId="756B66A3">
      <w:pPr>
        <w:adjustRightInd w:val="0"/>
        <w:snapToGrid w:val="0"/>
        <w:jc w:val="center"/>
        <w:outlineLvl w:val="0"/>
        <w:rPr>
          <w:rFonts w:ascii="方正小标宋_GBK" w:eastAsia="方正小标宋_GBK"/>
          <w:bCs/>
          <w:color w:val="0D0D0D" w:themeColor="text1" w:themeTint="F2"/>
          <w:sz w:val="72"/>
          <w:szCs w:val="72"/>
          <w14:textFill>
            <w14:solidFill>
              <w14:schemeClr w14:val="tx1">
                <w14:lumMod w14:val="95000"/>
                <w14:lumOff w14:val="5000"/>
              </w14:schemeClr>
            </w14:solidFill>
          </w14:textFill>
        </w:rPr>
      </w:pPr>
      <w:r>
        <w:rPr>
          <w:rFonts w:hint="eastAsia" w:ascii="方正小标宋_GBK" w:eastAsia="方正小标宋_GBK"/>
          <w:bCs/>
          <w:color w:val="0D0D0D" w:themeColor="text1" w:themeTint="F2"/>
          <w:sz w:val="72"/>
          <w:szCs w:val="72"/>
          <w14:textFill>
            <w14:solidFill>
              <w14:schemeClr w14:val="tx1">
                <w14:lumMod w14:val="95000"/>
                <w14:lumOff w14:val="5000"/>
              </w14:schemeClr>
            </w14:solidFill>
          </w14:textFill>
        </w:rPr>
        <w:t>建设项目环境影响报告表</w:t>
      </w:r>
    </w:p>
    <w:p w14:paraId="344D737A">
      <w:pPr>
        <w:adjustRightInd w:val="0"/>
        <w:snapToGrid w:val="0"/>
        <w:spacing w:before="192" w:beforeLines="80"/>
        <w:jc w:val="center"/>
        <w:rPr>
          <w:rFonts w:hint="eastAsia" w:ascii="楷体_GB2312" w:eastAsia="楷体_GB2312"/>
          <w:bCs/>
          <w:color w:val="0D0D0D" w:themeColor="text1" w:themeTint="F2"/>
          <w:sz w:val="48"/>
          <w:szCs w:val="48"/>
          <w14:textFill>
            <w14:solidFill>
              <w14:schemeClr w14:val="tx1">
                <w14:lumMod w14:val="95000"/>
                <w14:lumOff w14:val="5000"/>
              </w14:schemeClr>
            </w14:solidFill>
          </w14:textFill>
        </w:rPr>
      </w:pPr>
      <w:r>
        <w:rPr>
          <w:rFonts w:hint="eastAsia" w:ascii="楷体_GB2312" w:eastAsia="楷体_GB2312"/>
          <w:bCs/>
          <w:color w:val="0D0D0D" w:themeColor="text1" w:themeTint="F2"/>
          <w:sz w:val="48"/>
          <w:szCs w:val="48"/>
          <w14:textFill>
            <w14:solidFill>
              <w14:schemeClr w14:val="tx1">
                <w14:lumMod w14:val="95000"/>
                <w14:lumOff w14:val="5000"/>
              </w14:schemeClr>
            </w14:solidFill>
          </w14:textFill>
        </w:rPr>
        <w:t>（生态影响类）</w:t>
      </w:r>
    </w:p>
    <w:p w14:paraId="34E9450E">
      <w:pPr>
        <w:adjustRightInd w:val="0"/>
        <w:snapToGrid w:val="0"/>
        <w:spacing w:before="192" w:beforeLines="80"/>
        <w:jc w:val="center"/>
        <w:rPr>
          <w:rFonts w:hint="eastAsia" w:ascii="楷体_GB2312" w:eastAsia="楷体_GB2312"/>
          <w:bCs/>
          <w:color w:val="0D0D0D" w:themeColor="text1" w:themeTint="F2"/>
          <w:sz w:val="48"/>
          <w:szCs w:val="48"/>
          <w:lang w:eastAsia="zh-CN"/>
          <w14:textFill>
            <w14:solidFill>
              <w14:schemeClr w14:val="tx1">
                <w14:lumMod w14:val="95000"/>
                <w14:lumOff w14:val="5000"/>
              </w14:schemeClr>
            </w14:solidFill>
          </w14:textFill>
        </w:rPr>
      </w:pPr>
      <w:r>
        <w:rPr>
          <w:rFonts w:hint="eastAsia" w:ascii="楷体_GB2312" w:eastAsia="楷体_GB2312"/>
          <w:bCs/>
          <w:color w:val="0D0D0D" w:themeColor="text1" w:themeTint="F2"/>
          <w:sz w:val="48"/>
          <w:szCs w:val="48"/>
          <w:lang w:eastAsia="zh-CN"/>
          <w14:textFill>
            <w14:solidFill>
              <w14:schemeClr w14:val="tx1">
                <w14:lumMod w14:val="95000"/>
                <w14:lumOff w14:val="5000"/>
              </w14:schemeClr>
            </w14:solidFill>
          </w14:textFill>
        </w:rPr>
        <w:t>（公示稿）</w:t>
      </w:r>
    </w:p>
    <w:p w14:paraId="1A53D754">
      <w:pPr>
        <w:ind w:firstLine="1040"/>
        <w:rPr>
          <w:rFonts w:eastAsia="仿宋"/>
          <w:color w:val="0D0D0D" w:themeColor="text1" w:themeTint="F2"/>
          <w:sz w:val="44"/>
          <w:szCs w:val="44"/>
          <w14:textFill>
            <w14:solidFill>
              <w14:schemeClr w14:val="tx1">
                <w14:lumMod w14:val="95000"/>
                <w14:lumOff w14:val="5000"/>
              </w14:schemeClr>
            </w14:solidFill>
          </w14:textFill>
        </w:rPr>
      </w:pPr>
      <w:bookmarkStart w:id="0" w:name="_Hlk57883728"/>
    </w:p>
    <w:p w14:paraId="1D787A59">
      <w:pPr>
        <w:pStyle w:val="14"/>
        <w:rPr>
          <w:color w:val="0D0D0D" w:themeColor="text1" w:themeTint="F2"/>
          <w14:textFill>
            <w14:solidFill>
              <w14:schemeClr w14:val="tx1">
                <w14:lumMod w14:val="95000"/>
                <w14:lumOff w14:val="5000"/>
              </w14:schemeClr>
            </w14:solidFill>
          </w14:textFill>
        </w:rPr>
      </w:pPr>
    </w:p>
    <w:p w14:paraId="31FA7117">
      <w:pPr>
        <w:ind w:firstLine="1040"/>
        <w:rPr>
          <w:rFonts w:eastAsia="仿宋"/>
          <w:color w:val="0D0D0D" w:themeColor="text1" w:themeTint="F2"/>
          <w:sz w:val="44"/>
          <w:szCs w:val="44"/>
          <w14:textFill>
            <w14:solidFill>
              <w14:schemeClr w14:val="tx1">
                <w14:lumMod w14:val="95000"/>
                <w14:lumOff w14:val="5000"/>
              </w14:schemeClr>
            </w14:solidFill>
          </w14:textFill>
        </w:rPr>
      </w:pPr>
    </w:p>
    <w:p w14:paraId="6FD14124">
      <w:pPr>
        <w:ind w:firstLine="1040"/>
        <w:rPr>
          <w:rFonts w:eastAsia="仿宋"/>
          <w:color w:val="0D0D0D" w:themeColor="text1" w:themeTint="F2"/>
          <w:sz w:val="44"/>
          <w:szCs w:val="44"/>
          <w14:textFill>
            <w14:solidFill>
              <w14:schemeClr w14:val="tx1">
                <w14:lumMod w14:val="95000"/>
                <w14:lumOff w14:val="5000"/>
              </w14:schemeClr>
            </w14:solidFill>
          </w14:textFill>
        </w:rPr>
      </w:pPr>
    </w:p>
    <w:p w14:paraId="49BCEE59">
      <w:pPr>
        <w:ind w:firstLine="1040"/>
        <w:rPr>
          <w:rFonts w:eastAsia="仿宋"/>
          <w:color w:val="0D0D0D" w:themeColor="text1" w:themeTint="F2"/>
          <w:sz w:val="44"/>
          <w:szCs w:val="44"/>
          <w14:textFill>
            <w14:solidFill>
              <w14:schemeClr w14:val="tx1">
                <w14:lumMod w14:val="95000"/>
                <w14:lumOff w14:val="5000"/>
              </w14:schemeClr>
            </w14:solidFill>
          </w14:textFill>
        </w:rPr>
      </w:pPr>
    </w:p>
    <w:p w14:paraId="7010B84D">
      <w:pPr>
        <w:ind w:firstLine="1040"/>
        <w:rPr>
          <w:rFonts w:eastAsia="仿宋"/>
          <w:color w:val="0D0D0D" w:themeColor="text1" w:themeTint="F2"/>
          <w:sz w:val="44"/>
          <w:szCs w:val="44"/>
          <w14:textFill>
            <w14:solidFill>
              <w14:schemeClr w14:val="tx1">
                <w14:lumMod w14:val="95000"/>
                <w14:lumOff w14:val="5000"/>
              </w14:schemeClr>
            </w14:solidFill>
          </w14:textFill>
        </w:rPr>
      </w:pPr>
    </w:p>
    <w:p w14:paraId="4C7B585C">
      <w:pPr>
        <w:ind w:firstLine="1040"/>
        <w:rPr>
          <w:rFonts w:eastAsia="仿宋"/>
          <w:color w:val="0D0D0D" w:themeColor="text1" w:themeTint="F2"/>
          <w:sz w:val="44"/>
          <w:szCs w:val="44"/>
          <w14:textFill>
            <w14:solidFill>
              <w14:schemeClr w14:val="tx1">
                <w14:lumMod w14:val="95000"/>
                <w14:lumOff w14:val="5000"/>
              </w14:schemeClr>
            </w14:solidFill>
          </w14:textFill>
        </w:rPr>
      </w:pPr>
    </w:p>
    <w:p w14:paraId="32F99AF6">
      <w:pPr>
        <w:ind w:firstLine="1040"/>
        <w:rPr>
          <w:rFonts w:eastAsia="仿宋"/>
          <w:color w:val="0D0D0D" w:themeColor="text1" w:themeTint="F2"/>
          <w:sz w:val="44"/>
          <w:szCs w:val="44"/>
          <w14:textFill>
            <w14:solidFill>
              <w14:schemeClr w14:val="tx1">
                <w14:lumMod w14:val="95000"/>
                <w14:lumOff w14:val="5000"/>
              </w14:schemeClr>
            </w14:solidFill>
          </w14:textFill>
        </w:rPr>
      </w:pPr>
    </w:p>
    <w:bookmarkEnd w:id="0"/>
    <w:p w14:paraId="2CBAAB88">
      <w:pPr>
        <w:adjustRightInd w:val="0"/>
        <w:snapToGrid w:val="0"/>
        <w:spacing w:line="360" w:lineRule="auto"/>
        <w:ind w:firstLine="640" w:firstLineChars="200"/>
        <w:rPr>
          <w:rFonts w:ascii="仿宋_GB2312" w:eastAsia="仿宋_GB2312"/>
          <w:color w:val="0D0D0D" w:themeColor="text1" w:themeTint="F2"/>
          <w:sz w:val="32"/>
          <w:szCs w:val="32"/>
          <w:u w:val="single"/>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项目名称：</w:t>
      </w:r>
      <w:r>
        <w:rPr>
          <w:rFonts w:hint="eastAsia"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石锋4井勘探钻探项目（变更） </w:t>
      </w:r>
      <w:r>
        <w:rPr>
          <w:rFonts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  </w:t>
      </w:r>
      <w:r>
        <w:rPr>
          <w:rFonts w:hint="eastAsia"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              </w:t>
      </w:r>
    </w:p>
    <w:p w14:paraId="105343EB">
      <w:pPr>
        <w:adjustRightInd w:val="0"/>
        <w:snapToGrid w:val="0"/>
        <w:spacing w:line="360" w:lineRule="auto"/>
        <w:ind w:firstLine="640" w:firstLineChars="200"/>
        <w:rPr>
          <w:rFonts w:ascii="仿宋_GB2312" w:eastAsia="仿宋_GB2312"/>
          <w:color w:val="0D0D0D" w:themeColor="text1" w:themeTint="F2"/>
          <w:sz w:val="32"/>
          <w:szCs w:val="32"/>
          <w:u w:val="single"/>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建设单位（盖章）：</w:t>
      </w:r>
      <w:r>
        <w:rPr>
          <w:rFonts w:hint="eastAsia"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中国石油新疆油田分公司勘探事业部       </w:t>
      </w:r>
    </w:p>
    <w:p w14:paraId="65615B19">
      <w:pPr>
        <w:adjustRightInd w:val="0"/>
        <w:snapToGrid w:val="0"/>
        <w:spacing w:line="360" w:lineRule="auto"/>
        <w:ind w:firstLine="640" w:firstLineChars="200"/>
        <w:rPr>
          <w:rFonts w:ascii="仿宋_GB2312" w:eastAsia="仿宋_GB2312"/>
          <w:color w:val="0D0D0D" w:themeColor="text1" w:themeTint="F2"/>
          <w:sz w:val="32"/>
          <w:szCs w:val="32"/>
          <w:u w:val="single"/>
          <w14:textFill>
            <w14:solidFill>
              <w14:schemeClr w14:val="tx1">
                <w14:lumMod w14:val="95000"/>
                <w14:lumOff w14:val="5000"/>
              </w14:schemeClr>
            </w14:solidFill>
          </w14:textFill>
        </w:rPr>
      </w:pPr>
      <w:r>
        <w:rPr>
          <w:rFonts w:hint="eastAsia" w:ascii="仿宋_GB2312" w:eastAsia="仿宋_GB2312"/>
          <w:color w:val="0D0D0D" w:themeColor="text1" w:themeTint="F2"/>
          <w:sz w:val="32"/>
          <w:szCs w:val="32"/>
          <w14:textFill>
            <w14:solidFill>
              <w14:schemeClr w14:val="tx1">
                <w14:lumMod w14:val="95000"/>
                <w14:lumOff w14:val="5000"/>
              </w14:schemeClr>
            </w14:solidFill>
          </w14:textFill>
        </w:rPr>
        <w:t>编制日期：</w:t>
      </w:r>
      <w:r>
        <w:rPr>
          <w:rFonts w:ascii="仿宋_GB2312" w:eastAsia="仿宋_GB2312"/>
          <w:color w:val="0D0D0D" w:themeColor="text1" w:themeTint="F2"/>
          <w:sz w:val="32"/>
          <w:szCs w:val="32"/>
          <w:u w:val="single"/>
          <w14:textFill>
            <w14:solidFill>
              <w14:schemeClr w14:val="tx1">
                <w14:lumMod w14:val="95000"/>
                <w14:lumOff w14:val="5000"/>
              </w14:schemeClr>
            </w14:solidFill>
          </w14:textFill>
        </w:rPr>
        <w:t>202</w:t>
      </w:r>
      <w:r>
        <w:rPr>
          <w:rFonts w:hint="eastAsia"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6年7月 </w:t>
      </w:r>
      <w:r>
        <w:rPr>
          <w:rFonts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                </w:t>
      </w:r>
      <w:r>
        <w:rPr>
          <w:rFonts w:hint="eastAsia" w:ascii="仿宋_GB2312" w:eastAsia="仿宋_GB2312"/>
          <w:color w:val="0D0D0D" w:themeColor="text1" w:themeTint="F2"/>
          <w:sz w:val="32"/>
          <w:szCs w:val="32"/>
          <w:u w:val="single"/>
          <w14:textFill>
            <w14:solidFill>
              <w14:schemeClr w14:val="tx1">
                <w14:lumMod w14:val="95000"/>
                <w14:lumOff w14:val="5000"/>
              </w14:schemeClr>
            </w14:solidFill>
          </w14:textFill>
        </w:rPr>
        <w:t xml:space="preserve">                   </w:t>
      </w:r>
    </w:p>
    <w:p w14:paraId="62F0A7EB">
      <w:pPr>
        <w:adjustRightInd w:val="0"/>
        <w:snapToGrid w:val="0"/>
        <w:spacing w:line="288" w:lineRule="auto"/>
        <w:ind w:firstLine="1040"/>
        <w:rPr>
          <w:rFonts w:ascii="仿宋_GB2312" w:eastAsia="仿宋_GB2312"/>
          <w:color w:val="0D0D0D" w:themeColor="text1" w:themeTint="F2"/>
          <w:sz w:val="36"/>
          <w:szCs w:val="36"/>
          <w:u w:val="single"/>
          <w14:textFill>
            <w14:solidFill>
              <w14:schemeClr w14:val="tx1">
                <w14:lumMod w14:val="95000"/>
                <w14:lumOff w14:val="5000"/>
              </w14:schemeClr>
            </w14:solidFill>
          </w14:textFill>
        </w:rPr>
      </w:pPr>
    </w:p>
    <w:p w14:paraId="4566DA68">
      <w:pPr>
        <w:adjustRightInd w:val="0"/>
        <w:snapToGrid w:val="0"/>
        <w:spacing w:line="288" w:lineRule="auto"/>
        <w:ind w:firstLine="1040"/>
        <w:rPr>
          <w:rFonts w:ascii="仿宋_GB2312" w:eastAsia="仿宋_GB2312"/>
          <w:color w:val="0D0D0D" w:themeColor="text1" w:themeTint="F2"/>
          <w:sz w:val="36"/>
          <w:szCs w:val="36"/>
          <w14:textFill>
            <w14:solidFill>
              <w14:schemeClr w14:val="tx1">
                <w14:lumMod w14:val="95000"/>
                <w14:lumOff w14:val="5000"/>
              </w14:schemeClr>
            </w14:solidFill>
          </w14:textFill>
        </w:rPr>
      </w:pPr>
    </w:p>
    <w:p w14:paraId="15D5A12C">
      <w:pPr>
        <w:adjustRightInd w:val="0"/>
        <w:snapToGrid w:val="0"/>
        <w:spacing w:line="288" w:lineRule="auto"/>
        <w:ind w:firstLine="1040"/>
        <w:rPr>
          <w:rFonts w:ascii="仿宋_GB2312" w:eastAsia="仿宋_GB2312"/>
          <w:color w:val="0D0D0D" w:themeColor="text1" w:themeTint="F2"/>
          <w:sz w:val="36"/>
          <w:szCs w:val="36"/>
          <w14:textFill>
            <w14:solidFill>
              <w14:schemeClr w14:val="tx1">
                <w14:lumMod w14:val="95000"/>
                <w14:lumOff w14:val="5000"/>
              </w14:schemeClr>
            </w14:solidFill>
          </w14:textFill>
        </w:rPr>
      </w:pPr>
    </w:p>
    <w:p w14:paraId="3F94E336">
      <w:pPr>
        <w:adjustRightInd w:val="0"/>
        <w:snapToGrid w:val="0"/>
        <w:spacing w:line="288" w:lineRule="auto"/>
        <w:ind w:firstLine="1040"/>
        <w:rPr>
          <w:rFonts w:ascii="仿宋_GB2312" w:eastAsia="仿宋_GB2312"/>
          <w:color w:val="0D0D0D" w:themeColor="text1" w:themeTint="F2"/>
          <w:sz w:val="36"/>
          <w:szCs w:val="36"/>
          <w14:textFill>
            <w14:solidFill>
              <w14:schemeClr w14:val="tx1">
                <w14:lumMod w14:val="95000"/>
                <w14:lumOff w14:val="5000"/>
              </w14:schemeClr>
            </w14:solidFill>
          </w14:textFill>
        </w:rPr>
      </w:pPr>
    </w:p>
    <w:p w14:paraId="4DDD5A5F">
      <w:pPr>
        <w:adjustRightInd w:val="0"/>
        <w:snapToGrid w:val="0"/>
        <w:spacing w:line="288" w:lineRule="auto"/>
        <w:ind w:firstLine="1040"/>
        <w:rPr>
          <w:rFonts w:ascii="仿宋_GB2312" w:eastAsia="仿宋_GB2312"/>
          <w:color w:val="0D0D0D" w:themeColor="text1" w:themeTint="F2"/>
          <w:sz w:val="36"/>
          <w:szCs w:val="36"/>
          <w14:textFill>
            <w14:solidFill>
              <w14:schemeClr w14:val="tx1">
                <w14:lumMod w14:val="95000"/>
                <w14:lumOff w14:val="5000"/>
              </w14:schemeClr>
            </w14:solidFill>
          </w14:textFill>
        </w:rPr>
      </w:pPr>
    </w:p>
    <w:p w14:paraId="3FE0BA7D">
      <w:pPr>
        <w:adjustRightInd w:val="0"/>
        <w:spacing w:line="288" w:lineRule="auto"/>
        <w:jc w:val="center"/>
        <w:rPr>
          <w:color w:val="0D0D0D" w:themeColor="text1" w:themeTint="F2"/>
          <w14:textFill>
            <w14:solidFill>
              <w14:schemeClr w14:val="tx1">
                <w14:lumMod w14:val="95000"/>
                <w14:lumOff w14:val="5000"/>
              </w14:schemeClr>
            </w14:solidFill>
          </w14:textFill>
        </w:rPr>
      </w:pPr>
      <w:r>
        <w:rPr>
          <w:rFonts w:hint="eastAsia" w:ascii="楷体_GB2312" w:eastAsia="楷体_GB2312"/>
          <w:color w:val="0D0D0D" w:themeColor="text1" w:themeTint="F2"/>
          <w:sz w:val="36"/>
          <w:szCs w:val="36"/>
          <w14:textFill>
            <w14:solidFill>
              <w14:schemeClr w14:val="tx1">
                <w14:lumMod w14:val="95000"/>
                <w14:lumOff w14:val="5000"/>
              </w14:schemeClr>
            </w14:solidFill>
          </w14:textFill>
        </w:rPr>
        <w:t>中华人民共和国生态环境部制</w:t>
      </w:r>
    </w:p>
    <w:p w14:paraId="2B5F2E4B">
      <w:pPr>
        <w:widowControl/>
        <w:spacing w:line="343" w:lineRule="auto"/>
        <w:rPr>
          <w:color w:val="0D0D0D" w:themeColor="text1" w:themeTint="F2"/>
          <w14:textFill>
            <w14:solidFill>
              <w14:schemeClr w14:val="tx1">
                <w14:lumMod w14:val="95000"/>
                <w14:lumOff w14:val="5000"/>
              </w14:schemeClr>
            </w14:solidFill>
          </w14:textFill>
        </w:rPr>
        <w:sectPr>
          <w:footerReference r:id="rId5" w:type="first"/>
          <w:footerReference r:id="rId3" w:type="default"/>
          <w:footerReference r:id="rId4" w:type="even"/>
          <w:pgSz w:w="11910" w:h="16840"/>
          <w:pgMar w:top="1580" w:right="1320" w:bottom="1240" w:left="1420" w:header="720" w:footer="1055" w:gutter="0"/>
          <w:pgNumType w:start="1"/>
          <w:cols w:space="720" w:num="1"/>
        </w:sectPr>
      </w:pPr>
    </w:p>
    <w:p w14:paraId="400D4962">
      <w:pPr>
        <w:pStyle w:val="2"/>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pPr>
      <w:r>
        <w:rPr>
          <w:rFonts w:hint="eastAsia" w:ascii="黑体" w:hAnsi="黑体" w:eastAsia="黑体"/>
          <w:b w:val="0"/>
          <w:bCs/>
          <w:color w:val="0D0D0D" w:themeColor="text1" w:themeTint="F2"/>
          <w:sz w:val="30"/>
          <w:szCs w:val="30"/>
          <w:lang w:eastAsia="zh-CN"/>
          <w14:textFill>
            <w14:solidFill>
              <w14:schemeClr w14:val="tx1">
                <w14:lumMod w14:val="95000"/>
                <w14:lumOff w14:val="5000"/>
              </w14:schemeClr>
            </w14:solidFill>
          </w14:textFill>
        </w:rPr>
        <w:t>一</w:t>
      </w:r>
      <w:r>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t>、建设内容</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8"/>
        <w:gridCol w:w="7824"/>
      </w:tblGrid>
      <w:tr w14:paraId="13416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58C5060C">
            <w:pPr>
              <w:snapToGrid w:val="0"/>
              <w:spacing w:line="5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地理位置</w:t>
            </w:r>
          </w:p>
        </w:tc>
        <w:tc>
          <w:tcPr>
            <w:tcW w:w="7824" w:type="dxa"/>
          </w:tcPr>
          <w:p w14:paraId="1985E536">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本项目行政隶属新疆维吾尔自治区塔城地区沙湾市，石锋4井西北距沙湾市中心城区约18.6km，西距S223约1.36km，</w:t>
            </w:r>
            <w:r>
              <w:rPr>
                <w:color w:val="0D0D0D" w:themeColor="text1" w:themeTint="F2"/>
                <w:spacing w:val="-4"/>
                <w14:textFill>
                  <w14:solidFill>
                    <w14:schemeClr w14:val="tx1">
                      <w14:lumMod w14:val="95000"/>
                      <w14:lumOff w14:val="5000"/>
                    </w14:schemeClr>
                  </w14:solidFill>
                </w14:textFill>
              </w:rPr>
              <w:t>东北距珍珠陶粒厂约350m</w:t>
            </w:r>
            <w:r>
              <w:rPr>
                <w:rFonts w:hint="eastAsia"/>
                <w:color w:val="0D0D0D" w:themeColor="text1" w:themeTint="F2"/>
                <w:spacing w:val="-4"/>
                <w14:textFill>
                  <w14:solidFill>
                    <w14:schemeClr w14:val="tx1">
                      <w14:lumMod w14:val="95000"/>
                      <w14:lumOff w14:val="5000"/>
                    </w14:schemeClr>
                  </w14:solidFill>
                </w14:textFill>
              </w:rPr>
              <w:t>。</w:t>
            </w:r>
          </w:p>
          <w:p w14:paraId="09A82934">
            <w:pPr>
              <w:pStyle w:val="24"/>
              <w:rPr>
                <w:color w:val="0D0D0D" w:themeColor="text1" w:themeTint="F2"/>
                <w14:textFill>
                  <w14:solidFill>
                    <w14:schemeClr w14:val="tx1">
                      <w14:lumMod w14:val="95000"/>
                      <w14:lumOff w14:val="5000"/>
                    </w14:schemeClr>
                  </w14:solidFill>
                </w14:textFill>
              </w:rPr>
            </w:pPr>
          </w:p>
        </w:tc>
      </w:tr>
      <w:tr w14:paraId="0445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8" w:type="dxa"/>
            <w:vAlign w:val="center"/>
          </w:tcPr>
          <w:p w14:paraId="4F17D89D">
            <w:pPr>
              <w:snapToGrid w:val="0"/>
              <w:spacing w:line="5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bookmarkStart w:id="1" w:name="_Hlk136793942"/>
            <w:r>
              <w:rPr>
                <w:rFonts w:hint="eastAsia" w:ascii="宋体" w:hAnsi="宋体" w:cs="宋体"/>
                <w:color w:val="0D0D0D" w:themeColor="text1" w:themeTint="F2"/>
                <w14:textFill>
                  <w14:solidFill>
                    <w14:schemeClr w14:val="tx1">
                      <w14:lumMod w14:val="95000"/>
                      <w14:lumOff w14:val="5000"/>
                    </w14:schemeClr>
                  </w14:solidFill>
                </w14:textFill>
              </w:rPr>
              <w:t>项目组成及规模</w:t>
            </w:r>
          </w:p>
        </w:tc>
        <w:tc>
          <w:tcPr>
            <w:tcW w:w="7824" w:type="dxa"/>
          </w:tcPr>
          <w:p w14:paraId="33F36106">
            <w:pPr>
              <w:snapToGrid w:val="0"/>
              <w:spacing w:line="50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bookmarkStart w:id="45" w:name="_GoBack"/>
            <w:r>
              <w:rPr>
                <w:rFonts w:hint="eastAsia" w:ascii="宋体" w:hAnsi="宋体" w:cs="宋体"/>
                <w:b/>
                <w:bCs/>
                <w:color w:val="0D0D0D" w:themeColor="text1" w:themeTint="F2"/>
                <w:lang w:val="en-US" w:eastAsia="zh-CN"/>
                <w14:textFill>
                  <w14:solidFill>
                    <w14:schemeClr w14:val="tx1">
                      <w14:lumMod w14:val="95000"/>
                      <w14:lumOff w14:val="5000"/>
                    </w14:schemeClr>
                  </w14:solidFill>
                </w14:textFill>
              </w:rPr>
              <w:t>1.</w:t>
            </w:r>
            <w:bookmarkEnd w:id="45"/>
            <w:r>
              <w:rPr>
                <w:rFonts w:hint="eastAsia" w:ascii="宋体" w:hAnsi="宋体" w:cs="宋体"/>
                <w:b/>
                <w:bCs/>
                <w:color w:val="0D0D0D" w:themeColor="text1" w:themeTint="F2"/>
                <w14:textFill>
                  <w14:solidFill>
                    <w14:schemeClr w14:val="tx1">
                      <w14:lumMod w14:val="95000"/>
                      <w14:lumOff w14:val="5000"/>
                    </w14:schemeClr>
                  </w14:solidFill>
                </w14:textFill>
              </w:rPr>
              <w:t>建设内容</w:t>
            </w:r>
          </w:p>
          <w:p w14:paraId="60DDD26E">
            <w:pPr>
              <w:snapToGrid w:val="0"/>
              <w:spacing w:line="500" w:lineRule="exact"/>
              <w:ind w:firstLine="480" w:firstLineChars="200"/>
              <w:rPr>
                <w:rStyle w:val="59"/>
                <w:rFonts w:hint="eastAsia"/>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本次部署1口勘探井，井号为石锋4井，工程组成情况</w:t>
            </w:r>
            <w:r>
              <w:rPr>
                <w:rStyle w:val="59"/>
                <w:rFonts w:hint="eastAsia"/>
                <w:color w:val="0D0D0D" w:themeColor="text1" w:themeTint="F2"/>
                <w14:textFill>
                  <w14:solidFill>
                    <w14:schemeClr w14:val="tx1">
                      <w14:lumMod w14:val="95000"/>
                      <w14:lumOff w14:val="5000"/>
                    </w14:schemeClr>
                  </w14:solidFill>
                </w14:textFill>
              </w:rPr>
              <w:t>见</w:t>
            </w:r>
            <w:r>
              <w:rPr>
                <w:rStyle w:val="59"/>
                <w:rFonts w:hint="eastAsia"/>
                <w:color w:val="0D0D0D" w:themeColor="text1" w:themeTint="F2"/>
                <w14:textFill>
                  <w14:solidFill>
                    <w14:schemeClr w14:val="tx1">
                      <w14:lumMod w14:val="95000"/>
                      <w14:lumOff w14:val="5000"/>
                    </w14:schemeClr>
                  </w14:solidFill>
                </w14:textFill>
              </w:rPr>
              <w:fldChar w:fldCharType="begin"/>
            </w:r>
            <w:r>
              <w:rPr>
                <w:rStyle w:val="59"/>
                <w:rFonts w:hint="eastAsia"/>
                <w:color w:val="0D0D0D" w:themeColor="text1" w:themeTint="F2"/>
                <w14:textFill>
                  <w14:solidFill>
                    <w14:schemeClr w14:val="tx1">
                      <w14:lumMod w14:val="95000"/>
                      <w14:lumOff w14:val="5000"/>
                    </w14:schemeClr>
                  </w14:solidFill>
                </w14:textFill>
              </w:rPr>
              <w:instrText xml:space="preserve"> REF _Ref206147301 \h  \* MERGEFORMAT </w:instrText>
            </w:r>
            <w:r>
              <w:rPr>
                <w:rStyle w:val="59"/>
                <w:rFonts w:hint="eastAsia"/>
                <w:color w:val="0D0D0D" w:themeColor="text1" w:themeTint="F2"/>
                <w14:textFill>
                  <w14:solidFill>
                    <w14:schemeClr w14:val="tx1">
                      <w14:lumMod w14:val="95000"/>
                      <w14:lumOff w14:val="5000"/>
                    </w14:schemeClr>
                  </w14:solidFill>
                </w14:textFill>
              </w:rPr>
              <w:fldChar w:fldCharType="separate"/>
            </w:r>
            <w:r>
              <w:rPr>
                <w:rStyle w:val="59"/>
                <w:color w:val="0D0D0D" w:themeColor="text1" w:themeTint="F2"/>
                <w14:textFill>
                  <w14:solidFill>
                    <w14:schemeClr w14:val="tx1">
                      <w14:lumMod w14:val="95000"/>
                      <w14:lumOff w14:val="5000"/>
                    </w14:schemeClr>
                  </w14:solidFill>
                </w14:textFill>
              </w:rPr>
              <w:t>表7</w:t>
            </w:r>
            <w:r>
              <w:rPr>
                <w:rStyle w:val="59"/>
                <w:rFonts w:hint="eastAsia"/>
                <w:color w:val="0D0D0D" w:themeColor="text1" w:themeTint="F2"/>
                <w14:textFill>
                  <w14:solidFill>
                    <w14:schemeClr w14:val="tx1">
                      <w14:lumMod w14:val="95000"/>
                      <w14:lumOff w14:val="5000"/>
                    </w14:schemeClr>
                  </w14:solidFill>
                </w14:textFill>
              </w:rPr>
              <w:fldChar w:fldCharType="end"/>
            </w:r>
            <w:r>
              <w:rPr>
                <w:rStyle w:val="59"/>
                <w:rFonts w:hint="eastAsia"/>
                <w:color w:val="0D0D0D" w:themeColor="text1" w:themeTint="F2"/>
                <w14:textFill>
                  <w14:solidFill>
                    <w14:schemeClr w14:val="tx1">
                      <w14:lumMod w14:val="95000"/>
                      <w14:lumOff w14:val="5000"/>
                    </w14:schemeClr>
                  </w14:solidFill>
                </w14:textFill>
              </w:rPr>
              <w:t>。</w:t>
            </w:r>
          </w:p>
          <w:p w14:paraId="38DEA62B">
            <w:pPr>
              <w:snapToGrid w:val="0"/>
              <w:spacing w:line="500" w:lineRule="exact"/>
              <w:jc w:val="center"/>
              <w:rPr>
                <w:rStyle w:val="65"/>
                <w:rFonts w:hint="eastAsia"/>
              </w:rPr>
            </w:pPr>
            <w:bookmarkStart w:id="2" w:name="_Ref206147301"/>
            <w:bookmarkStart w:id="3" w:name="_Hlk208320629"/>
            <w:r>
              <w:rPr>
                <w:rStyle w:val="65"/>
                <w:rFonts w:hint="eastAsia"/>
              </w:rPr>
              <w:t>表</w:t>
            </w:r>
            <w:r>
              <w:rPr>
                <w:rStyle w:val="65"/>
              </w:rPr>
              <w:fldChar w:fldCharType="begin"/>
            </w:r>
            <w:r>
              <w:rPr>
                <w:rStyle w:val="65"/>
              </w:rPr>
              <w:instrText xml:space="preserve"> </w:instrText>
            </w:r>
            <w:r>
              <w:rPr>
                <w:rStyle w:val="65"/>
                <w:rFonts w:hint="eastAsia"/>
              </w:rPr>
              <w:instrText xml:space="preserve">SEQ 表 \* ARABIC</w:instrText>
            </w:r>
            <w:r>
              <w:rPr>
                <w:rStyle w:val="65"/>
              </w:rPr>
              <w:instrText xml:space="preserve"> </w:instrText>
            </w:r>
            <w:r>
              <w:rPr>
                <w:rStyle w:val="65"/>
              </w:rPr>
              <w:fldChar w:fldCharType="separate"/>
            </w:r>
            <w:r>
              <w:rPr>
                <w:rStyle w:val="65"/>
                <w:rFonts w:hint="eastAsia"/>
              </w:rPr>
              <w:t>7</w:t>
            </w:r>
            <w:r>
              <w:rPr>
                <w:rStyle w:val="65"/>
              </w:rPr>
              <w:fldChar w:fldCharType="end"/>
            </w:r>
            <w:bookmarkEnd w:id="2"/>
            <w:r>
              <w:rPr>
                <w:rStyle w:val="65"/>
                <w:rFonts w:hint="eastAsia"/>
              </w:rPr>
              <w:t xml:space="preserve">    工程组成一览表</w:t>
            </w:r>
          </w:p>
          <w:bookmarkEnd w:id="3"/>
          <w:tbl>
            <w:tblPr>
              <w:tblStyle w:val="28"/>
              <w:tblW w:w="4998" w:type="pct"/>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0" w:type="dxa"/>
                <w:bottom w:w="0" w:type="dxa"/>
                <w:right w:w="0" w:type="dxa"/>
              </w:tblCellMar>
            </w:tblPr>
            <w:tblGrid>
              <w:gridCol w:w="579"/>
              <w:gridCol w:w="12"/>
              <w:gridCol w:w="560"/>
              <w:gridCol w:w="1161"/>
              <w:gridCol w:w="5293"/>
            </w:tblGrid>
            <w:tr w14:paraId="49AC23D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blHeader/>
              </w:trPr>
              <w:tc>
                <w:tcPr>
                  <w:tcW w:w="381" w:type="pct"/>
                  <w:vAlign w:val="center"/>
                </w:tcPr>
                <w:p w14:paraId="5099A22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bookmarkStart w:id="4" w:name="_Hlk176172371"/>
                  <w:r>
                    <w:rPr>
                      <w:rFonts w:hint="eastAsia" w:ascii="宋体" w:hAnsi="宋体" w:cs="宋体"/>
                      <w:color w:val="0D0D0D" w:themeColor="text1" w:themeTint="F2"/>
                      <w:sz w:val="21"/>
                      <w:szCs w:val="21"/>
                      <w14:textFill>
                        <w14:solidFill>
                          <w14:schemeClr w14:val="tx1">
                            <w14:lumMod w14:val="95000"/>
                            <w14:lumOff w14:val="5000"/>
                          </w14:schemeClr>
                        </w14:solidFill>
                      </w14:textFill>
                    </w:rPr>
                    <w:t>工程组成</w:t>
                  </w:r>
                </w:p>
              </w:tc>
              <w:tc>
                <w:tcPr>
                  <w:tcW w:w="4619" w:type="pct"/>
                  <w:gridSpan w:val="4"/>
                  <w:vAlign w:val="center"/>
                </w:tcPr>
                <w:p w14:paraId="30EE868A">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工程内容</w:t>
                  </w:r>
                </w:p>
              </w:tc>
            </w:tr>
            <w:tr w14:paraId="5F3AD68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restart"/>
                  <w:vAlign w:val="center"/>
                </w:tcPr>
                <w:p w14:paraId="6BE7C26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主体工程</w:t>
                  </w:r>
                </w:p>
              </w:tc>
              <w:tc>
                <w:tcPr>
                  <w:tcW w:w="1139" w:type="pct"/>
                  <w:gridSpan w:val="3"/>
                  <w:vAlign w:val="center"/>
                </w:tcPr>
                <w:p w14:paraId="351AA8D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钻前工程</w:t>
                  </w:r>
                </w:p>
              </w:tc>
              <w:tc>
                <w:tcPr>
                  <w:tcW w:w="3480" w:type="pct"/>
                  <w:vAlign w:val="center"/>
                </w:tcPr>
                <w:p w14:paraId="5ACC0078">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井场平整、钻机基础建设、探临道路和生活营地建设以及设备进场。</w:t>
                  </w:r>
                </w:p>
              </w:tc>
            </w:tr>
            <w:tr w14:paraId="3C08D5D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6F45F30E">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bookmarkStart w:id="5" w:name="_Hlk186369386"/>
                </w:p>
              </w:tc>
              <w:tc>
                <w:tcPr>
                  <w:tcW w:w="1139" w:type="pct"/>
                  <w:gridSpan w:val="3"/>
                  <w:vAlign w:val="center"/>
                </w:tcPr>
                <w:p w14:paraId="698A4862">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钻井工程</w:t>
                  </w:r>
                </w:p>
              </w:tc>
              <w:tc>
                <w:tcPr>
                  <w:tcW w:w="3480" w:type="pct"/>
                  <w:vAlign w:val="center"/>
                </w:tcPr>
                <w:p w14:paraId="7907D1CE">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石锋4井井场面积</w:t>
                  </w:r>
                  <w:r>
                    <w:rPr>
                      <w:rStyle w:val="57"/>
                      <w:rFonts w:hint="eastAsia"/>
                      <w:color w:val="0D0D0D" w:themeColor="text1" w:themeTint="F2"/>
                      <w14:textFill>
                        <w14:solidFill>
                          <w14:schemeClr w14:val="tx1">
                            <w14:lumMod w14:val="95000"/>
                            <w14:lumOff w14:val="5000"/>
                          </w14:schemeClr>
                        </w14:solidFill>
                      </w14:textFill>
                    </w:rPr>
                    <w:t>为25875m</w:t>
                  </w:r>
                  <w:r>
                    <w:rPr>
                      <w:rStyle w:val="57"/>
                      <w:rFonts w:hint="eastAsia"/>
                      <w:color w:val="0D0D0D" w:themeColor="text1" w:themeTint="F2"/>
                      <w:vertAlign w:val="superscript"/>
                      <w14:textFill>
                        <w14:solidFill>
                          <w14:schemeClr w14:val="tx1">
                            <w14:lumMod w14:val="95000"/>
                            <w14:lumOff w14:val="5000"/>
                          </w14:schemeClr>
                        </w14:solidFill>
                      </w14:textFill>
                    </w:rPr>
                    <w:t>2</w:t>
                  </w:r>
                  <w:r>
                    <w:rPr>
                      <w:rFonts w:hint="eastAsia"/>
                      <w:color w:val="0D0D0D" w:themeColor="text1" w:themeTint="F2"/>
                      <w:sz w:val="21"/>
                      <w:szCs w:val="21"/>
                      <w14:textFill>
                        <w14:solidFill>
                          <w14:schemeClr w14:val="tx1">
                            <w14:lumMod w14:val="95000"/>
                            <w14:lumOff w14:val="5000"/>
                          </w14:schemeClr>
                        </w14:solidFill>
                      </w14:textFill>
                    </w:rPr>
                    <w:t>，</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钻井进尺为7231.79m，采用四开定向井身结构，一开采用非磺化水基钻井液，二开至四开采用油基钻井液；钻井期为195天，施工人数为3</w:t>
                  </w:r>
                  <w:r>
                    <w:rPr>
                      <w:rFonts w:ascii="宋体" w:hAnsi="宋体" w:cs="宋体"/>
                      <w:color w:val="0D0D0D" w:themeColor="text1" w:themeTint="F2"/>
                      <w:sz w:val="21"/>
                      <w:szCs w:val="21"/>
                      <w14:textFill>
                        <w14:solidFill>
                          <w14:schemeClr w14:val="tx1">
                            <w14:lumMod w14:val="95000"/>
                            <w14:lumOff w14:val="5000"/>
                          </w14:schemeClr>
                        </w14:solidFill>
                      </w14:textFill>
                    </w:rPr>
                    <w:t>5</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人。</w:t>
                  </w:r>
                </w:p>
              </w:tc>
            </w:tr>
            <w:bookmarkEnd w:id="5"/>
            <w:tr w14:paraId="0EC1BE9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3A00FC8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139" w:type="pct"/>
                  <w:gridSpan w:val="3"/>
                  <w:vAlign w:val="center"/>
                </w:tcPr>
                <w:p w14:paraId="52E4122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试油工程</w:t>
                  </w:r>
                </w:p>
              </w:tc>
              <w:tc>
                <w:tcPr>
                  <w:tcW w:w="3480" w:type="pct"/>
                  <w:vAlign w:val="center"/>
                </w:tcPr>
                <w:p w14:paraId="1298E624">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主要包括试油准备、储层改造和试油，其中试油准备包括通井、洗井和试压工作，储层改造包括射孔和压裂；并配套试油设备、记录油气产量；试油期为240天，施工人数为2人。</w:t>
                  </w:r>
                </w:p>
              </w:tc>
            </w:tr>
            <w:tr w14:paraId="4EDE781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39BA1DB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139" w:type="pct"/>
                  <w:gridSpan w:val="3"/>
                  <w:vAlign w:val="center"/>
                </w:tcPr>
                <w:p w14:paraId="3413EF4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完井</w:t>
                  </w:r>
                </w:p>
              </w:tc>
              <w:tc>
                <w:tcPr>
                  <w:tcW w:w="3480" w:type="pct"/>
                  <w:vAlign w:val="center"/>
                </w:tcPr>
                <w:p w14:paraId="7BCEFD75">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根据试油结果进行关井或封井作业，最后撤去所有生产设施，清理、平整井场。</w:t>
                  </w:r>
                </w:p>
              </w:tc>
            </w:tr>
            <w:tr w14:paraId="403678E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restart"/>
                  <w:vAlign w:val="center"/>
                </w:tcPr>
                <w:p w14:paraId="47B1536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辅助工程</w:t>
                  </w:r>
                </w:p>
              </w:tc>
              <w:tc>
                <w:tcPr>
                  <w:tcW w:w="1139" w:type="pct"/>
                  <w:gridSpan w:val="3"/>
                  <w:vAlign w:val="center"/>
                </w:tcPr>
                <w:p w14:paraId="78DA9DB1">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放喷设施</w:t>
                  </w:r>
                </w:p>
              </w:tc>
              <w:tc>
                <w:tcPr>
                  <w:tcW w:w="3480" w:type="pct"/>
                  <w:vAlign w:val="center"/>
                </w:tcPr>
                <w:p w14:paraId="75E07D5E">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井场左右两侧各设置1条放喷管线，在井场两侧预留应急放喷池位置（10m×20m）。</w:t>
                  </w:r>
                </w:p>
              </w:tc>
            </w:tr>
            <w:tr w14:paraId="1EFEB74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6185FACA">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139" w:type="pct"/>
                  <w:gridSpan w:val="3"/>
                  <w:vAlign w:val="center"/>
                </w:tcPr>
                <w:p w14:paraId="6BF313C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生活营地</w:t>
                  </w:r>
                </w:p>
              </w:tc>
              <w:tc>
                <w:tcPr>
                  <w:tcW w:w="3480" w:type="pct"/>
                  <w:vAlign w:val="center"/>
                </w:tcPr>
                <w:p w14:paraId="674A0DC2">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位于井场东北方向约100m，</w:t>
                  </w:r>
                  <w:bookmarkStart w:id="6" w:name="_Hlk213895349"/>
                  <w:r>
                    <w:rPr>
                      <w:rFonts w:hint="eastAsia" w:ascii="宋体" w:hAnsi="宋体" w:cs="宋体"/>
                      <w:color w:val="0D0D0D" w:themeColor="text1" w:themeTint="F2"/>
                      <w:sz w:val="21"/>
                      <w:szCs w:val="21"/>
                      <w14:textFill>
                        <w14:solidFill>
                          <w14:schemeClr w14:val="tx1">
                            <w14:lumMod w14:val="95000"/>
                            <w14:lumOff w14:val="5000"/>
                          </w14:schemeClr>
                        </w14:solidFill>
                      </w14:textFill>
                    </w:rPr>
                    <w:t>尺寸72m×50m，占地面积2925m</w:t>
                  </w:r>
                  <w:r>
                    <w:rPr>
                      <w:rFonts w:hint="eastAsia" w:ascii="宋体" w:hAnsi="宋体" w:cs="宋体"/>
                      <w:color w:val="0D0D0D" w:themeColor="text1" w:themeTint="F2"/>
                      <w:sz w:val="21"/>
                      <w:szCs w:val="21"/>
                      <w:vertAlign w:val="superscript"/>
                      <w14:textFill>
                        <w14:solidFill>
                          <w14:schemeClr w14:val="tx1">
                            <w14:lumMod w14:val="95000"/>
                            <w14:lumOff w14:val="5000"/>
                          </w14:schemeClr>
                        </w14:solidFill>
                      </w14:textFill>
                    </w:rPr>
                    <w:t>2</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，内部建设生活污水防渗收集池、生活垃圾收集设施。冬季采用电采暖，夏季安装空调。</w:t>
                  </w:r>
                  <w:bookmarkEnd w:id="6"/>
                </w:p>
              </w:tc>
            </w:tr>
            <w:tr w14:paraId="4B9373A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04C93C91">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139" w:type="pct"/>
                  <w:gridSpan w:val="3"/>
                  <w:vAlign w:val="center"/>
                </w:tcPr>
                <w:p w14:paraId="372549D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井控系统</w:t>
                  </w:r>
                </w:p>
              </w:tc>
              <w:tc>
                <w:tcPr>
                  <w:tcW w:w="3480" w:type="pct"/>
                  <w:vAlign w:val="center"/>
                </w:tcPr>
                <w:p w14:paraId="2C8D80D0">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钻井井场井口设置1套井控系统，</w:t>
                  </w:r>
                  <w:r>
                    <w:rPr>
                      <w:rFonts w:ascii="宋体" w:hAnsi="宋体" w:cs="宋体"/>
                      <w:color w:val="0D0D0D" w:themeColor="text1" w:themeTint="F2"/>
                      <w:sz w:val="21"/>
                      <w:szCs w:val="21"/>
                      <w14:textFill>
                        <w14:solidFill>
                          <w14:schemeClr w14:val="tx1">
                            <w14:lumMod w14:val="95000"/>
                            <w14:lumOff w14:val="5000"/>
                          </w14:schemeClr>
                        </w14:solidFill>
                      </w14:textFill>
                    </w:rPr>
                    <w:t>防止钻井及试油时产生井喷</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w:t>
                  </w:r>
                </w:p>
              </w:tc>
            </w:tr>
            <w:tr w14:paraId="13E9465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72C850BD">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139" w:type="pct"/>
                  <w:gridSpan w:val="3"/>
                  <w:vAlign w:val="center"/>
                </w:tcPr>
                <w:p w14:paraId="09CE4DA9">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钻井动力系统</w:t>
                  </w:r>
                </w:p>
              </w:tc>
              <w:tc>
                <w:tcPr>
                  <w:tcW w:w="3480" w:type="pct"/>
                  <w:vAlign w:val="center"/>
                </w:tcPr>
                <w:p w14:paraId="4A860E8E">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钻井井场设置3台柴油机。</w:t>
                  </w:r>
                </w:p>
              </w:tc>
            </w:tr>
            <w:tr w14:paraId="3A2ED4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773C2888">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139" w:type="pct"/>
                  <w:gridSpan w:val="3"/>
                  <w:vAlign w:val="center"/>
                </w:tcPr>
                <w:p w14:paraId="59EBDAB2">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不落地系统</w:t>
                  </w:r>
                </w:p>
              </w:tc>
              <w:tc>
                <w:tcPr>
                  <w:tcW w:w="3480" w:type="pct"/>
                  <w:vAlign w:val="center"/>
                </w:tcPr>
                <w:p w14:paraId="4831D114">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钻井井场设置1套钻井液不落地设备。</w:t>
                  </w:r>
                </w:p>
              </w:tc>
            </w:tr>
            <w:tr w14:paraId="229639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restart"/>
                  <w:vAlign w:val="center"/>
                </w:tcPr>
                <w:p w14:paraId="318C534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公用工程</w:t>
                  </w:r>
                </w:p>
              </w:tc>
              <w:tc>
                <w:tcPr>
                  <w:tcW w:w="1139" w:type="pct"/>
                  <w:gridSpan w:val="3"/>
                  <w:vAlign w:val="center"/>
                </w:tcPr>
                <w:p w14:paraId="6F6460A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供配电</w:t>
                  </w:r>
                </w:p>
              </w:tc>
              <w:tc>
                <w:tcPr>
                  <w:tcW w:w="3480" w:type="pct"/>
                  <w:vAlign w:val="center"/>
                </w:tcPr>
                <w:p w14:paraId="78DBC80B">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井场用电由柴油发电机供给；外购柴油由罐车从附近村庄拉运至井场，井场设置柴油储罐区，井场储罐区内设置1座3</w:t>
                  </w:r>
                  <w:r>
                    <w:rPr>
                      <w:rFonts w:ascii="宋体" w:hAnsi="宋体" w:cs="宋体"/>
                      <w:color w:val="0D0D0D" w:themeColor="text1" w:themeTint="F2"/>
                      <w:sz w:val="21"/>
                      <w:szCs w:val="21"/>
                      <w14:textFill>
                        <w14:solidFill>
                          <w14:schemeClr w14:val="tx1">
                            <w14:lumMod w14:val="95000"/>
                            <w14:lumOff w14:val="5000"/>
                          </w14:schemeClr>
                        </w14:solidFill>
                      </w14:textFill>
                    </w:rPr>
                    <w:t>0</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m</w:t>
                  </w:r>
                  <w:r>
                    <w:rPr>
                      <w:rFonts w:ascii="宋体" w:hAnsi="宋体" w:cs="宋体"/>
                      <w:color w:val="0D0D0D" w:themeColor="text1" w:themeTint="F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的柴油储罐，日常储备柴油20t，钻试期柴油消耗总量约1848t。</w:t>
                  </w:r>
                </w:p>
              </w:tc>
            </w:tr>
            <w:tr w14:paraId="76CDE6E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7834EF7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139" w:type="pct"/>
                  <w:gridSpan w:val="3"/>
                  <w:vAlign w:val="center"/>
                </w:tcPr>
                <w:p w14:paraId="21D2F78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给排水</w:t>
                  </w:r>
                </w:p>
              </w:tc>
              <w:tc>
                <w:tcPr>
                  <w:tcW w:w="3480" w:type="pct"/>
                  <w:vAlign w:val="center"/>
                </w:tcPr>
                <w:p w14:paraId="356ECD7C">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施工期用水主要为洗井用水和生活用水，从附近村庄由罐车拉运至井场，运距约2.2km；洗井废水和压裂返排液暂存至试油废水储罐；生活污水排至生活营地临时防渗收集池暂存。</w:t>
                  </w:r>
                </w:p>
              </w:tc>
            </w:tr>
            <w:tr w14:paraId="44B66E1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542062D1">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139" w:type="pct"/>
                  <w:gridSpan w:val="3"/>
                  <w:vAlign w:val="center"/>
                </w:tcPr>
                <w:p w14:paraId="797BD499">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供暖</w:t>
                  </w:r>
                </w:p>
              </w:tc>
              <w:tc>
                <w:tcPr>
                  <w:tcW w:w="3480" w:type="pct"/>
                  <w:vAlign w:val="center"/>
                </w:tcPr>
                <w:p w14:paraId="1E97E845">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冬季生活营地采用电采暖。</w:t>
                  </w:r>
                </w:p>
              </w:tc>
            </w:tr>
            <w:tr w14:paraId="3A7936F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25AB4094">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139" w:type="pct"/>
                  <w:gridSpan w:val="3"/>
                  <w:vAlign w:val="center"/>
                </w:tcPr>
                <w:p w14:paraId="35D932C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道路</w:t>
                  </w:r>
                </w:p>
              </w:tc>
              <w:tc>
                <w:tcPr>
                  <w:tcW w:w="3480" w:type="pct"/>
                  <w:vAlign w:val="center"/>
                </w:tcPr>
                <w:p w14:paraId="687DBAEE">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bookmarkStart w:id="7" w:name="_Hlk176171515"/>
                  <w:r>
                    <w:rPr>
                      <w:rFonts w:hint="eastAsia" w:ascii="宋体" w:hAnsi="宋体" w:cs="宋体"/>
                      <w:color w:val="0D0D0D" w:themeColor="text1" w:themeTint="F2"/>
                      <w:sz w:val="21"/>
                      <w:szCs w:val="21"/>
                      <w14:textFill>
                        <w14:solidFill>
                          <w14:schemeClr w14:val="tx1">
                            <w14:lumMod w14:val="95000"/>
                            <w14:lumOff w14:val="5000"/>
                          </w14:schemeClr>
                        </w14:solidFill>
                      </w14:textFill>
                    </w:rPr>
                    <w:t>新建探临道路818m，宽度16m，采用砂石路面。</w:t>
                  </w:r>
                  <w:bookmarkEnd w:id="7"/>
                </w:p>
              </w:tc>
            </w:tr>
            <w:tr w14:paraId="07374B7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573EA142">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139" w:type="pct"/>
                  <w:gridSpan w:val="3"/>
                  <w:vAlign w:val="center"/>
                </w:tcPr>
                <w:p w14:paraId="18BD40AA">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消防</w:t>
                  </w:r>
                </w:p>
              </w:tc>
              <w:tc>
                <w:tcPr>
                  <w:tcW w:w="3480" w:type="pct"/>
                  <w:vAlign w:val="center"/>
                </w:tcPr>
                <w:p w14:paraId="2F666B83">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按规范配置一定数量的消防器材。</w:t>
                  </w:r>
                </w:p>
              </w:tc>
            </w:tr>
            <w:tr w14:paraId="7529997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restart"/>
                  <w:vAlign w:val="center"/>
                </w:tcPr>
                <w:p w14:paraId="6F56197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环保工程</w:t>
                  </w:r>
                </w:p>
              </w:tc>
              <w:tc>
                <w:tcPr>
                  <w:tcW w:w="376" w:type="pct"/>
                  <w:gridSpan w:val="2"/>
                  <w:vMerge w:val="restart"/>
                  <w:tcBorders>
                    <w:right w:val="single" w:color="auto" w:sz="4" w:space="0"/>
                  </w:tcBorders>
                  <w:vAlign w:val="center"/>
                </w:tcPr>
                <w:p w14:paraId="551D091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废气</w:t>
                  </w:r>
                </w:p>
              </w:tc>
              <w:tc>
                <w:tcPr>
                  <w:tcW w:w="763" w:type="pct"/>
                  <w:tcBorders>
                    <w:left w:val="single" w:color="auto" w:sz="4" w:space="0"/>
                  </w:tcBorders>
                  <w:vAlign w:val="center"/>
                </w:tcPr>
                <w:p w14:paraId="55F3474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伴生气</w:t>
                  </w:r>
                </w:p>
              </w:tc>
              <w:tc>
                <w:tcPr>
                  <w:tcW w:w="3480" w:type="pct"/>
                  <w:vAlign w:val="center"/>
                </w:tcPr>
                <w:p w14:paraId="71020292">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由排气管线充分燃烧后放空，属于低矮源。</w:t>
                  </w:r>
                </w:p>
              </w:tc>
            </w:tr>
            <w:tr w14:paraId="655D1738">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57F06E5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76" w:type="pct"/>
                  <w:gridSpan w:val="2"/>
                  <w:vMerge w:val="continue"/>
                  <w:tcBorders>
                    <w:right w:val="single" w:color="auto" w:sz="4" w:space="0"/>
                  </w:tcBorders>
                  <w:vAlign w:val="center"/>
                </w:tcPr>
                <w:p w14:paraId="3DC7292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763" w:type="pct"/>
                  <w:tcBorders>
                    <w:left w:val="single" w:color="auto" w:sz="4" w:space="0"/>
                  </w:tcBorders>
                  <w:vAlign w:val="center"/>
                </w:tcPr>
                <w:p w14:paraId="1C8178B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ascii="宋体" w:hAnsi="宋体"/>
                      <w:color w:val="0D0D0D" w:themeColor="text1" w:themeTint="F2"/>
                      <w:sz w:val="21"/>
                      <w:szCs w:val="21"/>
                      <w14:textFill>
                        <w14:solidFill>
                          <w14:schemeClr w14:val="tx1">
                            <w14:lumMod w14:val="95000"/>
                            <w14:lumOff w14:val="5000"/>
                          </w14:schemeClr>
                        </w14:solidFill>
                      </w14:textFill>
                    </w:rPr>
                    <w:t>施工扬尘</w:t>
                  </w:r>
                </w:p>
              </w:tc>
              <w:tc>
                <w:tcPr>
                  <w:tcW w:w="3480" w:type="pct"/>
                  <w:vAlign w:val="center"/>
                </w:tcPr>
                <w:p w14:paraId="2E00878E">
                  <w:pPr>
                    <w:adjustRightInd w:val="0"/>
                    <w:snapToGrid w:val="0"/>
                    <w:spacing w:line="300" w:lineRule="exact"/>
                    <w:rPr>
                      <w:rFonts w:hint="eastAsia" w:ascii="宋体" w:hAnsi="宋体" w:cs="宋体"/>
                      <w:color w:val="0D0D0D" w:themeColor="text1" w:themeTint="F2"/>
                      <w:spacing w:val="-6"/>
                      <w:sz w:val="21"/>
                      <w:szCs w:val="21"/>
                      <w14:textFill>
                        <w14:solidFill>
                          <w14:schemeClr w14:val="tx1">
                            <w14:lumMod w14:val="95000"/>
                            <w14:lumOff w14:val="5000"/>
                          </w14:schemeClr>
                        </w14:solidFill>
                      </w14:textFill>
                    </w:rPr>
                  </w:pPr>
                  <w:r>
                    <w:rPr>
                      <w:rFonts w:hint="eastAsia" w:ascii="宋体" w:hAnsi="宋体"/>
                      <w:color w:val="0D0D0D" w:themeColor="text1" w:themeTint="F2"/>
                      <w:spacing w:val="-6"/>
                      <w:sz w:val="21"/>
                      <w:szCs w:val="21"/>
                      <w14:textFill>
                        <w14:solidFill>
                          <w14:schemeClr w14:val="tx1">
                            <w14:lumMod w14:val="95000"/>
                            <w14:lumOff w14:val="5000"/>
                          </w14:schemeClr>
                        </w14:solidFill>
                      </w14:textFill>
                    </w:rPr>
                    <w:t>对易起尘物料进行遮盖；加强车辆管理等</w:t>
                  </w:r>
                  <w:r>
                    <w:rPr>
                      <w:rFonts w:ascii="宋体" w:hAnsi="宋体"/>
                      <w:color w:val="0D0D0D" w:themeColor="text1" w:themeTint="F2"/>
                      <w:spacing w:val="-6"/>
                      <w:sz w:val="21"/>
                      <w:szCs w:val="21"/>
                      <w14:textFill>
                        <w14:solidFill>
                          <w14:schemeClr w14:val="tx1">
                            <w14:lumMod w14:val="95000"/>
                            <w14:lumOff w14:val="5000"/>
                          </w14:schemeClr>
                        </w14:solidFill>
                      </w14:textFill>
                    </w:rPr>
                    <w:t>措施</w:t>
                  </w:r>
                  <w:r>
                    <w:rPr>
                      <w:rFonts w:hint="eastAsia" w:ascii="宋体" w:hAnsi="宋体"/>
                      <w:color w:val="0D0D0D" w:themeColor="text1" w:themeTint="F2"/>
                      <w:spacing w:val="-6"/>
                      <w:sz w:val="21"/>
                      <w:szCs w:val="21"/>
                      <w14:textFill>
                        <w14:solidFill>
                          <w14:schemeClr w14:val="tx1">
                            <w14:lumMod w14:val="95000"/>
                            <w14:lumOff w14:val="5000"/>
                          </w14:schemeClr>
                        </w14:solidFill>
                      </w14:textFill>
                    </w:rPr>
                    <w:t>；水基钻井岩屑和油基钻井岩屑暂存于罐中，并及时清运，不长期存储。</w:t>
                  </w:r>
                </w:p>
              </w:tc>
            </w:tr>
            <w:tr w14:paraId="77482B6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3F50A7DE">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76" w:type="pct"/>
                  <w:gridSpan w:val="2"/>
                  <w:vMerge w:val="continue"/>
                  <w:tcBorders>
                    <w:right w:val="single" w:color="auto" w:sz="4" w:space="0"/>
                  </w:tcBorders>
                  <w:vAlign w:val="center"/>
                </w:tcPr>
                <w:p w14:paraId="1444D86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763" w:type="pct"/>
                  <w:tcBorders>
                    <w:left w:val="single" w:color="auto" w:sz="4" w:space="0"/>
                  </w:tcBorders>
                  <w:vAlign w:val="center"/>
                </w:tcPr>
                <w:p w14:paraId="302E9859">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无组织挥发烃类</w:t>
                  </w:r>
                </w:p>
              </w:tc>
              <w:tc>
                <w:tcPr>
                  <w:tcW w:w="3480" w:type="pct"/>
                  <w:vAlign w:val="center"/>
                </w:tcPr>
                <w:p w14:paraId="06975944">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加强采出液储罐管理；装卸必须采取密闭装载方式；柴油储罐采用固定顶罐，罐体应保持完好，不应有孔洞，加强密闭管理。</w:t>
                  </w:r>
                </w:p>
              </w:tc>
            </w:tr>
            <w:tr w14:paraId="5D93363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26B5832E">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76" w:type="pct"/>
                  <w:gridSpan w:val="2"/>
                  <w:vMerge w:val="restart"/>
                  <w:tcBorders>
                    <w:right w:val="single" w:color="auto" w:sz="4" w:space="0"/>
                  </w:tcBorders>
                  <w:vAlign w:val="center"/>
                </w:tcPr>
                <w:p w14:paraId="1C764C4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废水</w:t>
                  </w:r>
                </w:p>
              </w:tc>
              <w:tc>
                <w:tcPr>
                  <w:tcW w:w="763" w:type="pct"/>
                  <w:tcBorders>
                    <w:left w:val="single" w:color="auto" w:sz="4" w:space="0"/>
                  </w:tcBorders>
                  <w:vAlign w:val="center"/>
                </w:tcPr>
                <w:p w14:paraId="015863E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生活污水</w:t>
                  </w:r>
                </w:p>
              </w:tc>
              <w:tc>
                <w:tcPr>
                  <w:tcW w:w="3480" w:type="pct"/>
                  <w:vAlign w:val="center"/>
                </w:tcPr>
                <w:p w14:paraId="36FE8724">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生活营地设1座容积为4</w:t>
                  </w:r>
                  <w:r>
                    <w:rPr>
                      <w:rFonts w:ascii="宋体" w:hAnsi="宋体" w:cs="宋体"/>
                      <w:color w:val="0D0D0D" w:themeColor="text1" w:themeTint="F2"/>
                      <w:sz w:val="21"/>
                      <w:szCs w:val="21"/>
                      <w14:textFill>
                        <w14:solidFill>
                          <w14:schemeClr w14:val="tx1">
                            <w14:lumMod w14:val="95000"/>
                            <w14:lumOff w14:val="5000"/>
                          </w14:schemeClr>
                        </w14:solidFill>
                      </w14:textFill>
                    </w:rPr>
                    <w:t>0m</w:t>
                  </w:r>
                  <w:r>
                    <w:rPr>
                      <w:rFonts w:ascii="宋体" w:hAnsi="宋体" w:cs="宋体"/>
                      <w:color w:val="0D0D0D" w:themeColor="text1" w:themeTint="F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防渗收集池，定期清运至沙湾市第二污水处理厂处理。</w:t>
                  </w:r>
                </w:p>
              </w:tc>
            </w:tr>
            <w:tr w14:paraId="1512680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73939B84">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76" w:type="pct"/>
                  <w:gridSpan w:val="2"/>
                  <w:vMerge w:val="continue"/>
                  <w:tcBorders>
                    <w:right w:val="single" w:color="auto" w:sz="4" w:space="0"/>
                  </w:tcBorders>
                  <w:vAlign w:val="center"/>
                </w:tcPr>
                <w:p w14:paraId="00C2185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763" w:type="pct"/>
                  <w:tcBorders>
                    <w:left w:val="single" w:color="auto" w:sz="4" w:space="0"/>
                  </w:tcBorders>
                  <w:vAlign w:val="center"/>
                </w:tcPr>
                <w:p w14:paraId="312D2936">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洗井废水和压裂返排液</w:t>
                  </w:r>
                </w:p>
              </w:tc>
              <w:tc>
                <w:tcPr>
                  <w:tcW w:w="3480" w:type="pct"/>
                  <w:vAlign w:val="center"/>
                </w:tcPr>
                <w:p w14:paraId="2C92C167">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采用专用储罐收集后送至车89集中处理站采出水处理系统处理。</w:t>
                  </w:r>
                </w:p>
              </w:tc>
            </w:tr>
            <w:tr w14:paraId="7025DB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7E2D509B">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76" w:type="pct"/>
                  <w:gridSpan w:val="2"/>
                  <w:tcBorders>
                    <w:right w:val="single" w:color="auto" w:sz="4" w:space="0"/>
                  </w:tcBorders>
                  <w:vAlign w:val="center"/>
                </w:tcPr>
                <w:p w14:paraId="2B7A492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噪声</w:t>
                  </w:r>
                </w:p>
              </w:tc>
              <w:tc>
                <w:tcPr>
                  <w:tcW w:w="763" w:type="pct"/>
                  <w:tcBorders>
                    <w:left w:val="single" w:color="auto" w:sz="4" w:space="0"/>
                  </w:tcBorders>
                  <w:vAlign w:val="center"/>
                </w:tcPr>
                <w:p w14:paraId="0D5427C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钻试设备运行噪声</w:t>
                  </w:r>
                </w:p>
              </w:tc>
              <w:tc>
                <w:tcPr>
                  <w:tcW w:w="3480" w:type="pct"/>
                  <w:vAlign w:val="center"/>
                </w:tcPr>
                <w:p w14:paraId="70866D8E">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优先选用低噪声设备，设备底部进行基础减振。</w:t>
                  </w:r>
                </w:p>
              </w:tc>
            </w:tr>
            <w:tr w14:paraId="1F71A26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7758C0B2">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76" w:type="pct"/>
                  <w:gridSpan w:val="2"/>
                  <w:vMerge w:val="restart"/>
                  <w:tcBorders>
                    <w:right w:val="single" w:color="auto" w:sz="4" w:space="0"/>
                  </w:tcBorders>
                  <w:vAlign w:val="center"/>
                </w:tcPr>
                <w:p w14:paraId="22E57184">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固体废物</w:t>
                  </w:r>
                </w:p>
              </w:tc>
              <w:tc>
                <w:tcPr>
                  <w:tcW w:w="763" w:type="pct"/>
                  <w:tcBorders>
                    <w:left w:val="single" w:color="auto" w:sz="4" w:space="0"/>
                  </w:tcBorders>
                  <w:vAlign w:val="center"/>
                </w:tcPr>
                <w:p w14:paraId="57408A6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钻井岩屑</w:t>
                  </w:r>
                </w:p>
              </w:tc>
              <w:tc>
                <w:tcPr>
                  <w:tcW w:w="3480" w:type="pct"/>
                  <w:vAlign w:val="center"/>
                </w:tcPr>
                <w:p w14:paraId="62097245">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使用钻井液不落地设备，一开钻井过程中分离出的水基钻井岩屑暂存于岩屑储罐区的岩屑储罐中，由委托的岩屑处置单位及时清运、处置。二开至四开钻井过程中分离出的油基钻井岩屑暂存于油基钻井岩屑专用储罐，储罐下方采用防渗膜防渗，由具有相应危险废物处置资质的单位及时清运和处置。</w:t>
                  </w:r>
                </w:p>
              </w:tc>
            </w:tr>
            <w:tr w14:paraId="60ECE06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656FFB0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76" w:type="pct"/>
                  <w:gridSpan w:val="2"/>
                  <w:vMerge w:val="continue"/>
                  <w:tcBorders>
                    <w:right w:val="single" w:color="auto" w:sz="4" w:space="0"/>
                  </w:tcBorders>
                  <w:vAlign w:val="center"/>
                </w:tcPr>
                <w:p w14:paraId="13FDD219">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763" w:type="pct"/>
                  <w:tcBorders>
                    <w:left w:val="single" w:color="auto" w:sz="4" w:space="0"/>
                  </w:tcBorders>
                  <w:vAlign w:val="center"/>
                </w:tcPr>
                <w:p w14:paraId="0B71D669">
                  <w:pPr>
                    <w:adjustRightInd w:val="0"/>
                    <w:snapToGrid w:val="0"/>
                    <w:spacing w:line="24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废防渗材料、废润滑油、废润滑油桶</w:t>
                  </w:r>
                </w:p>
              </w:tc>
              <w:tc>
                <w:tcPr>
                  <w:tcW w:w="3480" w:type="pct"/>
                  <w:vAlign w:val="center"/>
                </w:tcPr>
                <w:p w14:paraId="293B3F01">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井井场设置1座危险废物贮存点，分区暂存各类危险废物；施工过程中产生的沾油废防渗材料、设备检修与维护过程中产生的废润滑油及废润滑油桶均属于危险废物，沾油废防渗材料、废润滑油和废润滑油桶分区暂存在井场设置的危险废物贮存点，定期由具有相应危险废物处置资质的单位进行接收、转运和处置。</w:t>
                  </w:r>
                </w:p>
              </w:tc>
            </w:tr>
            <w:tr w14:paraId="3A17B07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7A6AB858">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76" w:type="pct"/>
                  <w:gridSpan w:val="2"/>
                  <w:vMerge w:val="continue"/>
                  <w:tcBorders>
                    <w:right w:val="single" w:color="auto" w:sz="4" w:space="0"/>
                  </w:tcBorders>
                  <w:vAlign w:val="center"/>
                </w:tcPr>
                <w:p w14:paraId="6B2F06B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763" w:type="pct"/>
                  <w:tcBorders>
                    <w:left w:val="single" w:color="auto" w:sz="4" w:space="0"/>
                  </w:tcBorders>
                  <w:vAlign w:val="center"/>
                </w:tcPr>
                <w:p w14:paraId="0622B41E">
                  <w:pPr>
                    <w:adjustRightInd w:val="0"/>
                    <w:snapToGrid w:val="0"/>
                    <w:spacing w:line="24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建筑垃圾</w:t>
                  </w:r>
                </w:p>
              </w:tc>
              <w:tc>
                <w:tcPr>
                  <w:tcW w:w="3480" w:type="pct"/>
                  <w:vAlign w:val="center"/>
                </w:tcPr>
                <w:p w14:paraId="7C649792">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建筑垃圾主要为废边角料、废包装物等，产生量较少，优先回收利用，无法回收利用的由钻井队负责清运。</w:t>
                  </w:r>
                </w:p>
              </w:tc>
            </w:tr>
            <w:tr w14:paraId="6A4448B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39DA1CA6">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376" w:type="pct"/>
                  <w:gridSpan w:val="2"/>
                  <w:vMerge w:val="continue"/>
                  <w:tcBorders>
                    <w:right w:val="single" w:color="auto" w:sz="4" w:space="0"/>
                  </w:tcBorders>
                  <w:vAlign w:val="center"/>
                </w:tcPr>
                <w:p w14:paraId="7F89EE7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763" w:type="pct"/>
                  <w:tcBorders>
                    <w:left w:val="single" w:color="auto" w:sz="4" w:space="0"/>
                  </w:tcBorders>
                  <w:vAlign w:val="center"/>
                </w:tcPr>
                <w:p w14:paraId="698DFCC2">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生活垃圾</w:t>
                  </w:r>
                </w:p>
              </w:tc>
              <w:tc>
                <w:tcPr>
                  <w:tcW w:w="3480" w:type="pct"/>
                  <w:vAlign w:val="center"/>
                </w:tcPr>
                <w:p w14:paraId="07267ADE">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井场和生活营地均设有垃圾箱暂存生活垃圾，定期清运至沙湾市生活垃圾填埋场处置。</w:t>
                  </w:r>
                </w:p>
              </w:tc>
            </w:tr>
            <w:tr w14:paraId="31F7B6E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58A5E1C1">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139" w:type="pct"/>
                  <w:gridSpan w:val="3"/>
                  <w:vAlign w:val="center"/>
                </w:tcPr>
                <w:p w14:paraId="6ED2841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生态措施</w:t>
                  </w:r>
                </w:p>
              </w:tc>
              <w:tc>
                <w:tcPr>
                  <w:tcW w:w="3480" w:type="pct"/>
                  <w:vAlign w:val="center"/>
                </w:tcPr>
                <w:p w14:paraId="1D21BA60">
                  <w:pPr>
                    <w:adjustRightInd w:val="0"/>
                    <w:snapToGrid w:val="0"/>
                    <w:spacing w:line="300" w:lineRule="exact"/>
                    <w:rPr>
                      <w:rFonts w:hint="eastAsia" w:ascii="宋体" w:hAnsi="宋体" w:cs="宋体"/>
                      <w:color w:val="0D0D0D" w:themeColor="text1" w:themeTint="F2"/>
                      <w:spacing w:val="-6"/>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pacing w:val="-6"/>
                      <w:sz w:val="21"/>
                      <w:szCs w:val="21"/>
                      <w14:textFill>
                        <w14:solidFill>
                          <w14:schemeClr w14:val="tx1">
                            <w14:lumMod w14:val="95000"/>
                            <w14:lumOff w14:val="5000"/>
                          </w14:schemeClr>
                        </w14:solidFill>
                      </w14:textFill>
                    </w:rPr>
                    <w:t>施工结束后及时对临时占地进行清理、平整，植被自然恢复。</w:t>
                  </w:r>
                </w:p>
              </w:tc>
            </w:tr>
            <w:tr w14:paraId="3E642BC3">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072FFD48">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139" w:type="pct"/>
                  <w:gridSpan w:val="3"/>
                  <w:vAlign w:val="center"/>
                </w:tcPr>
                <w:p w14:paraId="57146C53">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H</w:t>
                  </w:r>
                  <w:r>
                    <w:rPr>
                      <w:rFonts w:hint="eastAsia" w:ascii="宋体" w:hAnsi="宋体" w:cs="宋体"/>
                      <w:color w:val="0D0D0D" w:themeColor="text1" w:themeTint="F2"/>
                      <w:sz w:val="21"/>
                      <w:szCs w:val="21"/>
                      <w:vertAlign w:val="subscript"/>
                      <w14:textFill>
                        <w14:solidFill>
                          <w14:schemeClr w14:val="tx1">
                            <w14:lumMod w14:val="95000"/>
                            <w14:lumOff w14:val="5000"/>
                          </w14:schemeClr>
                        </w14:solidFill>
                      </w14:textFill>
                    </w:rPr>
                    <w:t>2</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S监测</w:t>
                  </w:r>
                </w:p>
              </w:tc>
              <w:tc>
                <w:tcPr>
                  <w:tcW w:w="3480" w:type="pct"/>
                  <w:vAlign w:val="center"/>
                </w:tcPr>
                <w:p w14:paraId="458C9CB2">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井场按规范设置H</w:t>
                  </w:r>
                  <w:r>
                    <w:rPr>
                      <w:rFonts w:hint="eastAsia" w:ascii="宋体" w:hAnsi="宋体" w:cs="宋体"/>
                      <w:color w:val="0D0D0D" w:themeColor="text1" w:themeTint="F2"/>
                      <w:sz w:val="21"/>
                      <w:szCs w:val="21"/>
                      <w:vertAlign w:val="subscript"/>
                      <w14:textFill>
                        <w14:solidFill>
                          <w14:schemeClr w14:val="tx1">
                            <w14:lumMod w14:val="95000"/>
                            <w14:lumOff w14:val="5000"/>
                          </w14:schemeClr>
                        </w14:solidFill>
                      </w14:textFill>
                    </w:rPr>
                    <w:t>2</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S监测仪。</w:t>
                  </w:r>
                </w:p>
              </w:tc>
            </w:tr>
            <w:tr w14:paraId="3487B9C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381" w:type="pct"/>
                  <w:vMerge w:val="continue"/>
                  <w:vAlign w:val="center"/>
                </w:tcPr>
                <w:p w14:paraId="23EF9C2D">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139" w:type="pct"/>
                  <w:gridSpan w:val="3"/>
                  <w:vAlign w:val="center"/>
                </w:tcPr>
                <w:p w14:paraId="3A473700">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放喷设施</w:t>
                  </w:r>
                </w:p>
              </w:tc>
              <w:tc>
                <w:tcPr>
                  <w:tcW w:w="3480" w:type="pct"/>
                  <w:vAlign w:val="center"/>
                </w:tcPr>
                <w:p w14:paraId="5915CDDF">
                  <w:pPr>
                    <w:adjustRightInd w:val="0"/>
                    <w:snapToGrid w:val="0"/>
                    <w:spacing w:line="300" w:lineRule="exact"/>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pPr>
                  <w:r>
                    <w:rPr>
                      <w:rFonts w:ascii="宋体" w:hAnsi="宋体" w:cs="宋体"/>
                      <w:color w:val="0D0D0D" w:themeColor="text1" w:themeTint="F2"/>
                      <w:spacing w:val="-2"/>
                      <w:sz w:val="21"/>
                      <w:szCs w:val="21"/>
                      <w14:textFill>
                        <w14:solidFill>
                          <w14:schemeClr w14:val="tx1">
                            <w14:lumMod w14:val="95000"/>
                            <w14:lumOff w14:val="5000"/>
                          </w14:schemeClr>
                        </w14:solidFill>
                      </w14:textFill>
                    </w:rPr>
                    <w:t>井场左右两侧各设置1条</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放喷管线</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t>，</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预留应急放喷池位置，左右两侧各1个，容积约100m</w:t>
                  </w:r>
                  <w:r>
                    <w:rPr>
                      <w:rFonts w:hint="eastAsia"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井喷出的采出物通过液气分离器进行气液分离，井喷液体应立即通过放喷管线排放至应急放喷池内，应急放喷池场地进行防渗。待事故结束后，将应急放喷池内的放喷液运至车89集中处理站处理。井喷气体由排气管线充分燃烧后放空。</w:t>
                  </w:r>
                </w:p>
              </w:tc>
            </w:tr>
            <w:tr w14:paraId="52DB95E6">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89" w:type="pct"/>
                  <w:gridSpan w:val="2"/>
                  <w:vMerge w:val="restart"/>
                  <w:vAlign w:val="center"/>
                </w:tcPr>
                <w:p w14:paraId="55EFECDA">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依托工程</w:t>
                  </w:r>
                </w:p>
              </w:tc>
              <w:tc>
                <w:tcPr>
                  <w:tcW w:w="1131" w:type="pct"/>
                  <w:gridSpan w:val="2"/>
                  <w:vAlign w:val="center"/>
                </w:tcPr>
                <w:p w14:paraId="705E38F1">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试油废水（洗井废水、压裂返排液）</w:t>
                  </w:r>
                </w:p>
              </w:tc>
              <w:tc>
                <w:tcPr>
                  <w:tcW w:w="3480" w:type="pct"/>
                  <w:vAlign w:val="center"/>
                </w:tcPr>
                <w:p w14:paraId="69BB55E8">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由罐车送至车89集中处理站采出水处理系统处理。</w:t>
                  </w:r>
                </w:p>
              </w:tc>
            </w:tr>
            <w:tr w14:paraId="500C502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89" w:type="pct"/>
                  <w:gridSpan w:val="2"/>
                  <w:vMerge w:val="continue"/>
                  <w:vAlign w:val="center"/>
                </w:tcPr>
                <w:p w14:paraId="4D12729E">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131" w:type="pct"/>
                  <w:gridSpan w:val="2"/>
                  <w:vAlign w:val="center"/>
                </w:tcPr>
                <w:p w14:paraId="57C3FDF9">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采出液</w:t>
                  </w:r>
                </w:p>
              </w:tc>
              <w:tc>
                <w:tcPr>
                  <w:tcW w:w="3480" w:type="pct"/>
                  <w:vAlign w:val="center"/>
                </w:tcPr>
                <w:p w14:paraId="14F32CD9">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由罐车送至车89集中处理站原油处理系统处理。</w:t>
                  </w:r>
                </w:p>
              </w:tc>
            </w:tr>
            <w:tr w14:paraId="1E6FC17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89" w:type="pct"/>
                  <w:gridSpan w:val="2"/>
                  <w:vMerge w:val="continue"/>
                  <w:vAlign w:val="center"/>
                </w:tcPr>
                <w:p w14:paraId="036CDC44">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131" w:type="pct"/>
                  <w:gridSpan w:val="2"/>
                  <w:vAlign w:val="center"/>
                </w:tcPr>
                <w:p w14:paraId="024AD13B">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生活污水</w:t>
                  </w:r>
                </w:p>
              </w:tc>
              <w:tc>
                <w:tcPr>
                  <w:tcW w:w="3480" w:type="pct"/>
                  <w:vAlign w:val="center"/>
                </w:tcPr>
                <w:p w14:paraId="0B498493">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生活营地设1座容积为4</w:t>
                  </w:r>
                  <w:r>
                    <w:rPr>
                      <w:rFonts w:ascii="宋体" w:hAnsi="宋体" w:cs="宋体"/>
                      <w:color w:val="0D0D0D" w:themeColor="text1" w:themeTint="F2"/>
                      <w:sz w:val="21"/>
                      <w:szCs w:val="21"/>
                      <w14:textFill>
                        <w14:solidFill>
                          <w14:schemeClr w14:val="tx1">
                            <w14:lumMod w14:val="95000"/>
                            <w14:lumOff w14:val="5000"/>
                          </w14:schemeClr>
                        </w14:solidFill>
                      </w14:textFill>
                    </w:rPr>
                    <w:t>0m</w:t>
                  </w:r>
                  <w:r>
                    <w:rPr>
                      <w:rFonts w:ascii="宋体" w:hAnsi="宋体" w:cs="宋体"/>
                      <w:color w:val="0D0D0D" w:themeColor="text1" w:themeTint="F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z w:val="21"/>
                      <w:szCs w:val="21"/>
                      <w14:textFill>
                        <w14:solidFill>
                          <w14:schemeClr w14:val="tx1">
                            <w14:lumMod w14:val="95000"/>
                            <w14:lumOff w14:val="5000"/>
                          </w14:schemeClr>
                        </w14:solidFill>
                      </w14:textFill>
                    </w:rPr>
                    <w:t>防渗收集池，定期清运至沙湾市第二污水处理厂处理。</w:t>
                  </w:r>
                </w:p>
              </w:tc>
            </w:tr>
            <w:tr w14:paraId="6B34204B">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89" w:type="pct"/>
                  <w:gridSpan w:val="2"/>
                  <w:vMerge w:val="continue"/>
                  <w:vAlign w:val="center"/>
                </w:tcPr>
                <w:p w14:paraId="405DB655">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131" w:type="pct"/>
                  <w:gridSpan w:val="2"/>
                  <w:vAlign w:val="center"/>
                </w:tcPr>
                <w:p w14:paraId="6628A9BD">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生活垃圾</w:t>
                  </w:r>
                </w:p>
              </w:tc>
              <w:tc>
                <w:tcPr>
                  <w:tcW w:w="3480" w:type="pct"/>
                  <w:vAlign w:val="center"/>
                </w:tcPr>
                <w:p w14:paraId="4104AB80">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井场和生活营地均设有垃圾箱暂存生活垃圾，定期清运至沙湾市生活垃圾填埋场处置。</w:t>
                  </w:r>
                </w:p>
              </w:tc>
            </w:tr>
            <w:tr w14:paraId="710D5909">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89" w:type="pct"/>
                  <w:gridSpan w:val="2"/>
                  <w:vMerge w:val="continue"/>
                  <w:vAlign w:val="center"/>
                </w:tcPr>
                <w:p w14:paraId="49C7D26F">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131" w:type="pct"/>
                  <w:gridSpan w:val="2"/>
                  <w:vAlign w:val="center"/>
                </w:tcPr>
                <w:p w14:paraId="11E0C977">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水基钻井岩屑</w:t>
                  </w:r>
                </w:p>
              </w:tc>
              <w:tc>
                <w:tcPr>
                  <w:tcW w:w="3480" w:type="pct"/>
                  <w:vAlign w:val="center"/>
                </w:tcPr>
                <w:p w14:paraId="779D853C">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委托岩屑处置单位处置。</w:t>
                  </w:r>
                </w:p>
              </w:tc>
            </w:tr>
            <w:tr w14:paraId="10BE43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89" w:type="pct"/>
                  <w:gridSpan w:val="2"/>
                  <w:vMerge w:val="continue"/>
                  <w:vAlign w:val="center"/>
                </w:tcPr>
                <w:p w14:paraId="281DB36B">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p>
              </w:tc>
              <w:tc>
                <w:tcPr>
                  <w:tcW w:w="1131" w:type="pct"/>
                  <w:gridSpan w:val="2"/>
                  <w:vAlign w:val="center"/>
                </w:tcPr>
                <w:p w14:paraId="1678E12C">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危险废物</w:t>
                  </w:r>
                </w:p>
              </w:tc>
              <w:tc>
                <w:tcPr>
                  <w:tcW w:w="3480" w:type="pct"/>
                  <w:vAlign w:val="center"/>
                </w:tcPr>
                <w:p w14:paraId="36630B88">
                  <w:pPr>
                    <w:adjustRightInd w:val="0"/>
                    <w:snapToGrid w:val="0"/>
                    <w:spacing w:line="300" w:lineRule="exact"/>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钻试过程中产生的油基岩屑、沾油废防渗材料、废润滑油及废润滑油桶均属于危险废物，最终交由有相应危废处置资质的单位负责接收、转运以及处置。</w:t>
                  </w:r>
                </w:p>
              </w:tc>
            </w:tr>
            <w:tr w14:paraId="49182F3D">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89" w:type="pct"/>
                  <w:gridSpan w:val="2"/>
                  <w:vAlign w:val="center"/>
                </w:tcPr>
                <w:p w14:paraId="6E264509">
                  <w:pPr>
                    <w:adjustRightInd w:val="0"/>
                    <w:snapToGrid w:val="0"/>
                    <w:spacing w:line="300" w:lineRule="exact"/>
                    <w:jc w:val="center"/>
                    <w:rPr>
                      <w:rFonts w:hint="eastAsia" w:ascii="宋体" w:hAnsi="宋体" w:cs="宋体"/>
                      <w:color w:val="0D0D0D" w:themeColor="text1" w:themeTint="F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z w:val="21"/>
                      <w:szCs w:val="21"/>
                      <w14:textFill>
                        <w14:solidFill>
                          <w14:schemeClr w14:val="tx1">
                            <w14:lumMod w14:val="95000"/>
                            <w14:lumOff w14:val="5000"/>
                          </w14:schemeClr>
                        </w14:solidFill>
                      </w14:textFill>
                    </w:rPr>
                    <w:t>储运工程</w:t>
                  </w:r>
                </w:p>
              </w:tc>
              <w:tc>
                <w:tcPr>
                  <w:tcW w:w="4611" w:type="pct"/>
                  <w:gridSpan w:val="3"/>
                  <w:vAlign w:val="center"/>
                </w:tcPr>
                <w:p w14:paraId="4D336E38">
                  <w:pPr>
                    <w:keepNext/>
                    <w:adjustRightInd w:val="0"/>
                    <w:snapToGrid w:val="0"/>
                    <w:spacing w:line="300" w:lineRule="exact"/>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pP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试油废水、采出液、钻井液、水基钻井岩屑、油基钻井岩屑、柴油等均为罐装，储罐区底部铺设有防渗膜；其他施工材料在井场专门区域（材料房、材料爬犁、化工爬犁）堆放。</w:t>
                  </w:r>
                  <w:bookmarkStart w:id="8" w:name="_Hlk143203469"/>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试油井场设置1座20m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的试油废水储罐及4座20m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采出液方罐</w:t>
                  </w:r>
                  <w:bookmarkEnd w:id="8"/>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；钻井井场设置柴油储罐区（1座</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0m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柴油储罐）、</w:t>
                  </w:r>
                  <w:bookmarkStart w:id="9" w:name="_Hlk213891708"/>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1座6</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t>0</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的储水罐</w:t>
                  </w:r>
                  <w:bookmarkEnd w:id="9"/>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，设置钻井液储罐区（7座5</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t>0</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的钻井液储罐，容积不小于350m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），4座2</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t>5</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的水基钻井岩屑储罐或4座2</w:t>
                  </w:r>
                  <w:r>
                    <w:rPr>
                      <w:rFonts w:ascii="宋体" w:hAnsi="宋体" w:cs="宋体"/>
                      <w:color w:val="0D0D0D" w:themeColor="text1" w:themeTint="F2"/>
                      <w:spacing w:val="-2"/>
                      <w:sz w:val="21"/>
                      <w:szCs w:val="21"/>
                      <w14:textFill>
                        <w14:solidFill>
                          <w14:schemeClr w14:val="tx1">
                            <w14:lumMod w14:val="95000"/>
                            <w14:lumOff w14:val="5000"/>
                          </w14:schemeClr>
                        </w14:solidFill>
                      </w14:textFill>
                    </w:rPr>
                    <w:t>5</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m</w:t>
                  </w:r>
                  <w:r>
                    <w:rPr>
                      <w:rFonts w:ascii="宋体" w:hAnsi="宋体" w:cs="宋体"/>
                      <w:color w:val="0D0D0D" w:themeColor="text1" w:themeTint="F2"/>
                      <w:spacing w:val="-2"/>
                      <w:sz w:val="21"/>
                      <w:szCs w:val="21"/>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spacing w:val="-2"/>
                      <w:sz w:val="21"/>
                      <w:szCs w:val="21"/>
                      <w14:textFill>
                        <w14:solidFill>
                          <w14:schemeClr w14:val="tx1">
                            <w14:lumMod w14:val="95000"/>
                            <w14:lumOff w14:val="5000"/>
                          </w14:schemeClr>
                        </w14:solidFill>
                      </w14:textFill>
                    </w:rPr>
                    <w:t>的油基钻井岩屑专用储罐。</w:t>
                  </w:r>
                </w:p>
              </w:tc>
            </w:tr>
            <w:bookmarkEnd w:id="4"/>
          </w:tbl>
          <w:p w14:paraId="3FD90948">
            <w:pPr>
              <w:pStyle w:val="8"/>
              <w:rPr>
                <w:rFonts w:hint="eastAsia" w:ascii="宋体" w:hAnsi="宋体" w:cs="宋体"/>
                <w:color w:val="0D0D0D" w:themeColor="text1" w:themeTint="F2"/>
                <w14:textFill>
                  <w14:solidFill>
                    <w14:schemeClr w14:val="tx1">
                      <w14:lumMod w14:val="95000"/>
                      <w14:lumOff w14:val="5000"/>
                    </w14:schemeClr>
                  </w14:solidFill>
                </w14:textFill>
              </w:rPr>
            </w:pPr>
          </w:p>
        </w:tc>
      </w:tr>
      <w:bookmarkEnd w:id="1"/>
    </w:tbl>
    <w:p w14:paraId="36CC2349">
      <w:pPr>
        <w:pStyle w:val="2"/>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pPr>
      <w:bookmarkStart w:id="10" w:name="_Hlk136794953"/>
      <w:bookmarkStart w:id="11" w:name="_Hlk232117994"/>
      <w:r>
        <w:rPr>
          <w:rFonts w:hint="eastAsia" w:ascii="黑体" w:hAnsi="黑体" w:eastAsia="黑体"/>
          <w:b w:val="0"/>
          <w:bCs/>
          <w:color w:val="0D0D0D" w:themeColor="text1" w:themeTint="F2"/>
          <w:sz w:val="30"/>
          <w:szCs w:val="30"/>
          <w:lang w:eastAsia="zh-CN"/>
          <w14:textFill>
            <w14:solidFill>
              <w14:schemeClr w14:val="tx1">
                <w14:lumMod w14:val="95000"/>
                <w14:lumOff w14:val="5000"/>
              </w14:schemeClr>
            </w14:solidFill>
          </w14:textFill>
        </w:rPr>
        <w:t>二</w:t>
      </w:r>
      <w:r>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t>、主要生态环境保护措施</w:t>
      </w:r>
    </w:p>
    <w:bookmarkEnd w:id="10"/>
    <w:tbl>
      <w:tblPr>
        <w:tblStyle w:val="2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7"/>
        <w:gridCol w:w="8449"/>
      </w:tblGrid>
      <w:tr w14:paraId="6A7D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66" w:type="pct"/>
            <w:vAlign w:val="center"/>
          </w:tcPr>
          <w:p w14:paraId="50728135">
            <w:pPr>
              <w:adjustRightInd w:val="0"/>
              <w:snapToGrid w:val="0"/>
              <w:spacing w:line="50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bCs/>
                <w:color w:val="0D0D0D" w:themeColor="text1" w:themeTint="F2"/>
                <w14:textFill>
                  <w14:solidFill>
                    <w14:schemeClr w14:val="tx1">
                      <w14:lumMod w14:val="95000"/>
                      <w14:lumOff w14:val="5000"/>
                    </w14:schemeClr>
                  </w14:solidFill>
                </w14:textFill>
              </w:rPr>
              <w:t>施工期生态环境保护措施</w:t>
            </w:r>
          </w:p>
        </w:tc>
        <w:tc>
          <w:tcPr>
            <w:tcW w:w="4633" w:type="pct"/>
          </w:tcPr>
          <w:p w14:paraId="53D3B85A">
            <w:pPr>
              <w:pStyle w:val="37"/>
              <w:ind w:firstLine="482"/>
              <w:rPr>
                <w:rFonts w:hint="eastAsia"/>
                <w:b/>
                <w:bCs/>
                <w:color w:val="0D0D0D" w:themeColor="text1" w:themeTint="F2"/>
                <w14:textFill>
                  <w14:solidFill>
                    <w14:schemeClr w14:val="tx1">
                      <w14:lumMod w14:val="95000"/>
                      <w14:lumOff w14:val="5000"/>
                    </w14:schemeClr>
                  </w14:solidFill>
                </w14:textFill>
              </w:rPr>
            </w:pPr>
            <w:r>
              <w:rPr>
                <w:rFonts w:hint="eastAsia"/>
                <w:b/>
                <w:bCs/>
                <w:color w:val="0D0D0D" w:themeColor="text1" w:themeTint="F2"/>
                <w:lang w:eastAsia="zh-CN"/>
                <w14:textFill>
                  <w14:solidFill>
                    <w14:schemeClr w14:val="tx1">
                      <w14:lumMod w14:val="95000"/>
                      <w14:lumOff w14:val="5000"/>
                    </w14:schemeClr>
                  </w14:solidFill>
                </w14:textFill>
              </w:rPr>
              <w:t>1.</w:t>
            </w:r>
            <w:r>
              <w:rPr>
                <w:rFonts w:hint="eastAsia"/>
                <w:b/>
                <w:bCs/>
                <w:color w:val="0D0D0D" w:themeColor="text1" w:themeTint="F2"/>
                <w14:textFill>
                  <w14:solidFill>
                    <w14:schemeClr w14:val="tx1">
                      <w14:lumMod w14:val="95000"/>
                      <w14:lumOff w14:val="5000"/>
                    </w14:schemeClr>
                  </w14:solidFill>
                </w14:textFill>
              </w:rPr>
              <w:t>生态环境保护措施</w:t>
            </w:r>
          </w:p>
          <w:p w14:paraId="7C543653">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建设单位及施工单位应严格执行本次评价提出的生态环境保护措施，并确保各项保护措施与钻试工程同时设计、同时施工、同时使用。</w:t>
            </w:r>
          </w:p>
          <w:p w14:paraId="45B501FE">
            <w:pPr>
              <w:pStyle w:val="37"/>
              <w:ind w:firstLine="480"/>
              <w:rPr>
                <w:rFonts w:hint="eastAsia"/>
                <w:color w:val="0D0D0D" w:themeColor="text1" w:themeTint="F2"/>
                <w14:textFill>
                  <w14:solidFill>
                    <w14:schemeClr w14:val="tx1">
                      <w14:lumMod w14:val="95000"/>
                      <w14:lumOff w14:val="5000"/>
                    </w14:schemeClr>
                  </w14:solidFill>
                </w14:textFill>
              </w:rPr>
            </w:pPr>
            <w:bookmarkStart w:id="12" w:name="_Hlk140837423"/>
            <w:bookmarkStart w:id="13" w:name="_Hlk213898970"/>
            <w:r>
              <w:rPr>
                <w:rFonts w:hint="eastAsia"/>
                <w:color w:val="0D0D0D" w:themeColor="text1" w:themeTint="F2"/>
                <w14:textFill>
                  <w14:solidFill>
                    <w14:schemeClr w14:val="tx1">
                      <w14:lumMod w14:val="95000"/>
                      <w14:lumOff w14:val="5000"/>
                    </w14:schemeClr>
                  </w14:solidFill>
                </w14:textFill>
              </w:rPr>
              <w:t>（1）植被保护措施</w:t>
            </w:r>
          </w:p>
          <w:p w14:paraId="4C1A4038">
            <w:pPr>
              <w:pStyle w:val="37"/>
              <w:ind w:firstLine="480"/>
              <w:rPr>
                <w:rFonts w:hint="eastAsia"/>
                <w:color w:val="0D0D0D" w:themeColor="text1" w:themeTint="F2"/>
                <w14:textFill>
                  <w14:solidFill>
                    <w14:schemeClr w14:val="tx1">
                      <w14:lumMod w14:val="95000"/>
                      <w14:lumOff w14:val="5000"/>
                    </w14:schemeClr>
                  </w14:solidFill>
                </w14:textFill>
              </w:rPr>
            </w:pPr>
            <w:bookmarkStart w:id="14" w:name="_Hlk140834056"/>
            <w:r>
              <w:rPr>
                <w:rFonts w:hint="eastAsia"/>
                <w:color w:val="0D0D0D" w:themeColor="text1" w:themeTint="F2"/>
                <w14:textFill>
                  <w14:solidFill>
                    <w14:schemeClr w14:val="tx1">
                      <w14:lumMod w14:val="95000"/>
                      <w14:lumOff w14:val="5000"/>
                    </w14:schemeClr>
                  </w14:solidFill>
                </w14:textFill>
              </w:rPr>
              <w:t>①工程避让措施：施工井场、生活营地等选址、探临道路选线时应提前踏勘，在满足勘探设计和施工要求的前提下，对井场、生活营地位置、探临道路路由等临时占地进行适当调整，避开野生植物生长密集地带，减少占地，以减轻对影响区域内植被的扰动和破坏。</w:t>
            </w:r>
            <w:bookmarkStart w:id="15" w:name="_Hlk136795909"/>
          </w:p>
          <w:p w14:paraId="261E811B">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②减缓措施：严格控制施工作业区面积，</w:t>
            </w:r>
            <w:bookmarkStart w:id="16" w:name="_Hlk213895889"/>
            <w:r>
              <w:rPr>
                <w:rFonts w:hint="eastAsia"/>
                <w:color w:val="0D0D0D" w:themeColor="text1" w:themeTint="F2"/>
                <w14:textFill>
                  <w14:solidFill>
                    <w14:schemeClr w14:val="tx1">
                      <w14:lumMod w14:val="95000"/>
                      <w14:lumOff w14:val="5000"/>
                    </w14:schemeClr>
                  </w14:solidFill>
                </w14:textFill>
              </w:rPr>
              <w:t>严格控制探临道路施工作业带范围，严格控制井场、生活营地及探临道路等各类工程建设活动在临时占地范围内，不得随意扩大、碾压周边野生植被，最大限度</w:t>
            </w:r>
            <w:r>
              <w:rPr>
                <w:rFonts w:hint="eastAsia"/>
                <w:color w:val="0D0D0D" w:themeColor="text1" w:themeTint="F2"/>
                <w:lang w:eastAsia="zh-CN"/>
                <w14:textFill>
                  <w14:solidFill>
                    <w14:schemeClr w14:val="tx1">
                      <w14:lumMod w14:val="95000"/>
                      <w14:lumOff w14:val="5000"/>
                    </w14:schemeClr>
                  </w14:solidFill>
                </w14:textFill>
              </w:rPr>
              <w:t>减少</w:t>
            </w:r>
            <w:r>
              <w:rPr>
                <w:rFonts w:hint="eastAsia"/>
                <w:color w:val="0D0D0D" w:themeColor="text1" w:themeTint="F2"/>
                <w14:textFill>
                  <w14:solidFill>
                    <w14:schemeClr w14:val="tx1">
                      <w14:lumMod w14:val="95000"/>
                      <w14:lumOff w14:val="5000"/>
                    </w14:schemeClr>
                  </w14:solidFill>
                </w14:textFill>
              </w:rPr>
              <w:t>对野生植物生存环境的破坏。尽量缩小施工占地，不得随意开辟道路，减少影响范围；确保各环保设施正常运行，避免各类污染物对土壤环境的影响，防止进一步影响其上部生长的野生植被。</w:t>
            </w:r>
            <w:bookmarkEnd w:id="16"/>
            <w:r>
              <w:rPr>
                <w:rFonts w:hint="eastAsia"/>
                <w:color w:val="0D0D0D" w:themeColor="text1" w:themeTint="F2"/>
                <w14:textFill>
                  <w14:solidFill>
                    <w14:schemeClr w14:val="tx1">
                      <w14:lumMod w14:val="95000"/>
                      <w14:lumOff w14:val="5000"/>
                    </w14:schemeClr>
                  </w14:solidFill>
                </w14:textFill>
              </w:rPr>
              <w:t>项目在建设过程中，应避免在大风天气作业，避免风蚀从而造成水土流失；提高施工效率，缩短施工时间。严格按施工方案要求在指定地点堆放临时土石方，并压紧、夯实，做好洒水降尘工作，减少扬尘对野生植被的影响。</w:t>
            </w:r>
            <w:bookmarkStart w:id="17" w:name="_Hlk120058480"/>
            <w:r>
              <w:rPr>
                <w:rFonts w:hint="eastAsia"/>
                <w:color w:val="0D0D0D" w:themeColor="text1" w:themeTint="F2"/>
                <w14:textFill>
                  <w14:solidFill>
                    <w14:schemeClr w14:val="tx1">
                      <w14:lumMod w14:val="95000"/>
                      <w14:lumOff w14:val="5000"/>
                    </w14:schemeClr>
                  </w14:solidFill>
                </w14:textFill>
              </w:rPr>
              <w:t>井场、临时道路施工、应急放喷池、生活污水临时储集池施工产生</w:t>
            </w:r>
            <w:r>
              <w:rPr>
                <w:rFonts w:hint="eastAsia" w:cs="宋体"/>
                <w:color w:val="0D0D0D" w:themeColor="text1" w:themeTint="F2"/>
                <w:spacing w:val="-2"/>
                <w14:textFill>
                  <w14:solidFill>
                    <w14:schemeClr w14:val="tx1">
                      <w14:lumMod w14:val="95000"/>
                      <w14:lumOff w14:val="5000"/>
                    </w14:schemeClr>
                  </w14:solidFill>
                </w14:textFill>
              </w:rPr>
              <w:t>的土方应压实并采用苫布遮盖，减少施工扬尘的产生</w:t>
            </w:r>
            <w:bookmarkEnd w:id="17"/>
            <w:r>
              <w:rPr>
                <w:rFonts w:hint="eastAsia" w:cs="宋体"/>
                <w:color w:val="0D0D0D" w:themeColor="text1" w:themeTint="F2"/>
                <w:spacing w:val="-2"/>
                <w14:textFill>
                  <w14:solidFill>
                    <w14:schemeClr w14:val="tx1">
                      <w14:lumMod w14:val="95000"/>
                      <w14:lumOff w14:val="5000"/>
                    </w14:schemeClr>
                  </w14:solidFill>
                </w14:textFill>
              </w:rPr>
              <w:t>。</w:t>
            </w:r>
          </w:p>
          <w:p w14:paraId="7B4BBDB3">
            <w:pPr>
              <w:pStyle w:val="37"/>
              <w:ind w:firstLine="480"/>
              <w:rPr>
                <w:rFonts w:hint="eastAsia"/>
                <w:color w:val="0D0D0D" w:themeColor="text1" w:themeTint="F2"/>
                <w14:textFill>
                  <w14:solidFill>
                    <w14:schemeClr w14:val="tx1">
                      <w14:lumMod w14:val="95000"/>
                      <w14:lumOff w14:val="5000"/>
                    </w14:schemeClr>
                  </w14:solidFill>
                </w14:textFill>
              </w:rPr>
            </w:pPr>
            <w:bookmarkStart w:id="18" w:name="_Hlk143198760"/>
            <w:r>
              <w:rPr>
                <w:rFonts w:hint="eastAsia"/>
                <w:color w:val="0D0D0D" w:themeColor="text1" w:themeTint="F2"/>
                <w14:textFill>
                  <w14:solidFill>
                    <w14:schemeClr w14:val="tx1">
                      <w14:lumMod w14:val="95000"/>
                      <w14:lumOff w14:val="5000"/>
                    </w14:schemeClr>
                  </w14:solidFill>
                </w14:textFill>
              </w:rPr>
              <w:t>③</w:t>
            </w:r>
            <w:r>
              <w:rPr>
                <w:rFonts w:hint="eastAsia"/>
                <w:color w:val="0D0D0D" w:themeColor="text1" w:themeTint="F2"/>
                <w:lang w:bidi="ar"/>
                <w14:textFill>
                  <w14:solidFill>
                    <w14:schemeClr w14:val="tx1">
                      <w14:lumMod w14:val="95000"/>
                      <w14:lumOff w14:val="5000"/>
                    </w14:schemeClr>
                  </w14:solidFill>
                </w14:textFill>
              </w:rPr>
              <w:t>修复措施：</w:t>
            </w:r>
            <w:bookmarkStart w:id="19" w:name="_Hlk193817417"/>
            <w:r>
              <w:rPr>
                <w:rFonts w:hint="eastAsia"/>
                <w:color w:val="0D0D0D" w:themeColor="text1" w:themeTint="F2"/>
                <w:lang w:bidi="ar"/>
                <w14:textFill>
                  <w14:solidFill>
                    <w14:schemeClr w14:val="tx1">
                      <w14:lumMod w14:val="95000"/>
                      <w14:lumOff w14:val="5000"/>
                    </w14:schemeClr>
                  </w14:solidFill>
                </w14:textFill>
              </w:rPr>
              <w:t>钻前工程需要对临时占地范围进行平整、压实，以便于铺垫砂石料，施工结束后，井场铺垫砂石料全部清理，拉运至其他拟施工井场，重复利用。</w:t>
            </w:r>
            <w:bookmarkEnd w:id="19"/>
            <w:r>
              <w:rPr>
                <w:rFonts w:hint="eastAsia"/>
                <w:color w:val="0D0D0D" w:themeColor="text1" w:themeTint="F2"/>
                <w:lang w:bidi="ar"/>
                <w14:textFill>
                  <w14:solidFill>
                    <w14:schemeClr w14:val="tx1">
                      <w14:lumMod w14:val="95000"/>
                      <w14:lumOff w14:val="5000"/>
                    </w14:schemeClr>
                  </w14:solidFill>
                </w14:textFill>
              </w:rPr>
              <w:t>施工结束后，施工单位应负责及时清理现场，做到井场整洁、无杂物，完井后施工机械、设备及时撤离，对生活营地和探临道路等占地进行清理平整，废水和固体废物全部妥善处置，禁止现场遗留；尽量利用井场及探临道路施工时产生的表层土对临时占地进行覆盖，植被主要靠自然恢复。施工为分段施工，建议“边施工、边修复”。</w:t>
            </w:r>
          </w:p>
          <w:bookmarkEnd w:id="12"/>
          <w:bookmarkEnd w:id="13"/>
          <w:bookmarkEnd w:id="14"/>
          <w:bookmarkEnd w:id="15"/>
          <w:bookmarkEnd w:id="18"/>
          <w:p w14:paraId="60D808AB">
            <w:pPr>
              <w:snapToGrid w:val="0"/>
              <w:spacing w:line="50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r>
              <w:rPr>
                <w:rFonts w:hint="eastAsia" w:ascii="宋体" w:hAnsi="宋体" w:cs="宋体"/>
                <w:b/>
                <w:bCs/>
                <w:color w:val="0D0D0D" w:themeColor="text1" w:themeTint="F2"/>
                <w:lang w:eastAsia="zh-CN"/>
                <w14:textFill>
                  <w14:solidFill>
                    <w14:schemeClr w14:val="tx1">
                      <w14:lumMod w14:val="95000"/>
                      <w14:lumOff w14:val="5000"/>
                    </w14:schemeClr>
                  </w14:solidFill>
                </w14:textFill>
              </w:rPr>
              <w:t>2.</w:t>
            </w:r>
            <w:r>
              <w:rPr>
                <w:rFonts w:hint="eastAsia" w:ascii="宋体" w:hAnsi="宋体" w:cs="宋体"/>
                <w:b/>
                <w:bCs/>
                <w:color w:val="0D0D0D" w:themeColor="text1" w:themeTint="F2"/>
                <w14:textFill>
                  <w14:solidFill>
                    <w14:schemeClr w14:val="tx1">
                      <w14:lumMod w14:val="95000"/>
                      <w14:lumOff w14:val="5000"/>
                    </w14:schemeClr>
                  </w14:solidFill>
                </w14:textFill>
              </w:rPr>
              <w:t>防沙治沙防治措施</w:t>
            </w:r>
          </w:p>
          <w:p w14:paraId="44A56411">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本次评价要求建设单位严格按照《中华人民共和国防沙治沙法》（2018）和《关于加强沙区建设项目环境影响评价工作的通知》（新环环评发〔2020〕138号）中有关规定，执行以下防沙治沙措施：</w:t>
            </w:r>
          </w:p>
          <w:p w14:paraId="17FCBB37">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（1）大力宣传《中华人民共和国防沙治沙法》，使施工人员知法、懂法、守法，自觉保护林草植被，自觉履行防治义务；</w:t>
            </w:r>
          </w:p>
          <w:p w14:paraId="55A6FB0E">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（2）严格控制施工活动范围，严禁施工车辆乱碾乱轧，避免对占地范围外的土壤和植被造成扰动；</w:t>
            </w:r>
          </w:p>
          <w:p w14:paraId="01FA2C45">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（3）优化施工组织，缩短施工时间，避免在大风天气作业，避免造成土壤风蚀影响；</w:t>
            </w:r>
          </w:p>
          <w:p w14:paraId="758100EB">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（4）施工结束后及时对占地进行清理、平整，按照征地文件规定对占地进行经济补偿。</w:t>
            </w:r>
          </w:p>
          <w:p w14:paraId="53182B9F">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（5）</w:t>
            </w:r>
            <w:r>
              <w:rPr>
                <w:rFonts w:ascii="宋体" w:hAnsi="宋体" w:cs="宋体"/>
                <w:color w:val="0D0D0D" w:themeColor="text1" w:themeTint="F2"/>
                <w14:textFill>
                  <w14:solidFill>
                    <w14:schemeClr w14:val="tx1">
                      <w14:lumMod w14:val="95000"/>
                      <w14:lumOff w14:val="5000"/>
                    </w14:schemeClr>
                  </w14:solidFill>
                </w14:textFill>
              </w:rPr>
              <w:t>采取少占地、少破坏植被的原则，缩小施工范围，避免破坏区域土壤肥力；项目施工结束后采取自然恢复的方式对区域植被进行恢复。</w:t>
            </w:r>
          </w:p>
          <w:p w14:paraId="7DB7C2B3">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经采取上述</w:t>
            </w:r>
            <w:r>
              <w:rPr>
                <w:rFonts w:ascii="宋体" w:hAnsi="宋体" w:cs="宋体"/>
                <w:color w:val="0D0D0D" w:themeColor="text1" w:themeTint="F2"/>
                <w14:textFill>
                  <w14:solidFill>
                    <w14:schemeClr w14:val="tx1">
                      <w14:lumMod w14:val="95000"/>
                      <w14:lumOff w14:val="5000"/>
                    </w14:schemeClr>
                  </w14:solidFill>
                </w14:textFill>
              </w:rPr>
              <w:t>防沙治沙措施实施后，预计区域植被覆盖度能维持现状，</w:t>
            </w:r>
            <w:r>
              <w:rPr>
                <w:rFonts w:hint="eastAsia" w:ascii="宋体" w:hAnsi="宋体" w:cs="宋体"/>
                <w:color w:val="0D0D0D" w:themeColor="text1" w:themeTint="F2"/>
                <w14:textFill>
                  <w14:solidFill>
                    <w14:schemeClr w14:val="tx1">
                      <w14:lumMod w14:val="95000"/>
                      <w14:lumOff w14:val="5000"/>
                    </w14:schemeClr>
                  </w14:solidFill>
                </w14:textFill>
              </w:rPr>
              <w:t>可有效</w:t>
            </w:r>
            <w:r>
              <w:rPr>
                <w:rFonts w:ascii="宋体" w:hAnsi="宋体" w:cs="宋体"/>
                <w:color w:val="0D0D0D" w:themeColor="text1" w:themeTint="F2"/>
                <w14:textFill>
                  <w14:solidFill>
                    <w14:schemeClr w14:val="tx1">
                      <w14:lumMod w14:val="95000"/>
                      <w14:lumOff w14:val="5000"/>
                    </w14:schemeClr>
                  </w14:solidFill>
                </w14:textFill>
              </w:rPr>
              <w:t>避免区域土地沙化。</w:t>
            </w:r>
          </w:p>
          <w:p w14:paraId="0DB5545A">
            <w:pPr>
              <w:pStyle w:val="37"/>
              <w:ind w:firstLine="482"/>
              <w:rPr>
                <w:rFonts w:hint="eastAsia"/>
                <w:b/>
                <w:bCs/>
                <w:color w:val="0D0D0D" w:themeColor="text1" w:themeTint="F2"/>
                <w14:textFill>
                  <w14:solidFill>
                    <w14:schemeClr w14:val="tx1">
                      <w14:lumMod w14:val="95000"/>
                      <w14:lumOff w14:val="5000"/>
                    </w14:schemeClr>
                  </w14:solidFill>
                </w14:textFill>
              </w:rPr>
            </w:pPr>
            <w:r>
              <w:rPr>
                <w:rFonts w:hint="eastAsia"/>
                <w:b/>
                <w:bCs/>
                <w:color w:val="0D0D0D" w:themeColor="text1" w:themeTint="F2"/>
                <w:lang w:eastAsia="zh-CN"/>
                <w14:textFill>
                  <w14:solidFill>
                    <w14:schemeClr w14:val="tx1">
                      <w14:lumMod w14:val="95000"/>
                      <w14:lumOff w14:val="5000"/>
                    </w14:schemeClr>
                  </w14:solidFill>
                </w14:textFill>
              </w:rPr>
              <w:t>3.</w:t>
            </w:r>
            <w:r>
              <w:rPr>
                <w:rFonts w:hint="eastAsia"/>
                <w:b/>
                <w:bCs/>
                <w:color w:val="0D0D0D" w:themeColor="text1" w:themeTint="F2"/>
                <w14:textFill>
                  <w14:solidFill>
                    <w14:schemeClr w14:val="tx1">
                      <w14:lumMod w14:val="95000"/>
                      <w14:lumOff w14:val="5000"/>
                    </w14:schemeClr>
                  </w14:solidFill>
                </w14:textFill>
              </w:rPr>
              <w:t>大气污染防治措施</w:t>
            </w:r>
          </w:p>
          <w:p w14:paraId="0071B5F9">
            <w:pPr>
              <w:pStyle w:val="37"/>
              <w:ind w:firstLine="480"/>
              <w:rPr>
                <w:rFonts w:hint="eastAsia"/>
                <w:color w:val="0D0D0D" w:themeColor="text1" w:themeTint="F2"/>
                <w14:textFill>
                  <w14:solidFill>
                    <w14:schemeClr w14:val="tx1">
                      <w14:lumMod w14:val="95000"/>
                      <w14:lumOff w14:val="5000"/>
                    </w14:schemeClr>
                  </w14:solidFill>
                </w14:textFill>
              </w:rPr>
            </w:pPr>
            <w:bookmarkStart w:id="20" w:name="_Hlk176185340"/>
            <w:r>
              <w:rPr>
                <w:rFonts w:hint="eastAsia"/>
                <w:color w:val="0D0D0D" w:themeColor="text1" w:themeTint="F2"/>
                <w14:textFill>
                  <w14:solidFill>
                    <w14:schemeClr w14:val="tx1">
                      <w14:lumMod w14:val="95000"/>
                      <w14:lumOff w14:val="5000"/>
                    </w14:schemeClr>
                  </w14:solidFill>
                </w14:textFill>
              </w:rPr>
              <w:t>（1）使用符合国家标准的油品，加强机械、车辆的维护。</w:t>
            </w:r>
          </w:p>
          <w:p w14:paraId="255ECA8E">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（2）施工现场运输车辆应低速慢行、不得超载，并采取密闭或遮盖措施；车辆沿道路行驶，不得随意开设便道。</w:t>
            </w:r>
          </w:p>
          <w:p w14:paraId="408D6CCC">
            <w:pPr>
              <w:pStyle w:val="37"/>
              <w:ind w:firstLine="472"/>
              <w:rPr>
                <w:rFonts w:hint="eastAsia"/>
                <w:color w:val="0D0D0D" w:themeColor="text1" w:themeTint="F2"/>
                <w:spacing w:val="-4"/>
                <w14:textFill>
                  <w14:solidFill>
                    <w14:schemeClr w14:val="tx1">
                      <w14:lumMod w14:val="95000"/>
                      <w14:lumOff w14:val="5000"/>
                    </w14:schemeClr>
                  </w14:solidFill>
                </w14:textFill>
              </w:rPr>
            </w:pPr>
            <w:r>
              <w:rPr>
                <w:rFonts w:hint="eastAsia"/>
                <w:color w:val="0D0D0D" w:themeColor="text1" w:themeTint="F2"/>
                <w:spacing w:val="-4"/>
                <w14:textFill>
                  <w14:solidFill>
                    <w14:schemeClr w14:val="tx1">
                      <w14:lumMod w14:val="95000"/>
                      <w14:lumOff w14:val="5000"/>
                    </w14:schemeClr>
                  </w14:solidFill>
                </w14:textFill>
              </w:rPr>
              <w:t>（3）</w:t>
            </w:r>
            <w:r>
              <w:rPr>
                <w:color w:val="0D0D0D" w:themeColor="text1" w:themeTint="F2"/>
                <w:spacing w:val="-4"/>
                <w14:textFill>
                  <w14:solidFill>
                    <w14:schemeClr w14:val="tx1">
                      <w14:lumMod w14:val="95000"/>
                      <w14:lumOff w14:val="5000"/>
                    </w14:schemeClr>
                  </w14:solidFill>
                </w14:textFill>
              </w:rPr>
              <w:t>施工期间加强管理</w:t>
            </w:r>
            <w:r>
              <w:rPr>
                <w:rFonts w:hint="eastAsia"/>
                <w:color w:val="0D0D0D" w:themeColor="text1" w:themeTint="F2"/>
                <w:spacing w:val="-4"/>
                <w14:textFill>
                  <w14:solidFill>
                    <w14:schemeClr w14:val="tx1">
                      <w14:lumMod w14:val="95000"/>
                      <w14:lumOff w14:val="5000"/>
                    </w14:schemeClr>
                  </w14:solidFill>
                </w14:textFill>
              </w:rPr>
              <w:t>，</w:t>
            </w:r>
            <w:r>
              <w:rPr>
                <w:color w:val="0D0D0D" w:themeColor="text1" w:themeTint="F2"/>
                <w:spacing w:val="-4"/>
                <w14:textFill>
                  <w14:solidFill>
                    <w14:schemeClr w14:val="tx1">
                      <w14:lumMod w14:val="95000"/>
                      <w14:lumOff w14:val="5000"/>
                    </w14:schemeClr>
                  </w14:solidFill>
                </w14:textFill>
              </w:rPr>
              <w:t>对易起尘物料进行苫盖</w:t>
            </w:r>
            <w:r>
              <w:rPr>
                <w:rFonts w:hint="eastAsia"/>
                <w:color w:val="0D0D0D" w:themeColor="text1" w:themeTint="F2"/>
                <w:spacing w:val="-4"/>
                <w14:textFill>
                  <w14:solidFill>
                    <w14:schemeClr w14:val="tx1">
                      <w14:lumMod w14:val="95000"/>
                      <w14:lumOff w14:val="5000"/>
                    </w14:schemeClr>
                  </w14:solidFill>
                </w14:textFill>
              </w:rPr>
              <w:t>，</w:t>
            </w:r>
            <w:r>
              <w:rPr>
                <w:color w:val="0D0D0D" w:themeColor="text1" w:themeTint="F2"/>
                <w:spacing w:val="-4"/>
                <w14:textFill>
                  <w14:solidFill>
                    <w14:schemeClr w14:val="tx1">
                      <w14:lumMod w14:val="95000"/>
                      <w14:lumOff w14:val="5000"/>
                    </w14:schemeClr>
                  </w14:solidFill>
                </w14:textFill>
              </w:rPr>
              <w:t>车辆低速慢行，合理安排施工时间，避开大风天气进行施工</w:t>
            </w:r>
            <w:r>
              <w:rPr>
                <w:rFonts w:hint="eastAsia"/>
                <w:color w:val="0D0D0D" w:themeColor="text1" w:themeTint="F2"/>
                <w:spacing w:val="-4"/>
                <w14:textFill>
                  <w14:solidFill>
                    <w14:schemeClr w14:val="tx1">
                      <w14:lumMod w14:val="95000"/>
                      <w14:lumOff w14:val="5000"/>
                    </w14:schemeClr>
                  </w14:solidFill>
                </w14:textFill>
              </w:rPr>
              <w:t>，</w:t>
            </w:r>
            <w:r>
              <w:rPr>
                <w:color w:val="0D0D0D" w:themeColor="text1" w:themeTint="F2"/>
                <w:spacing w:val="-4"/>
                <w14:textFill>
                  <w14:solidFill>
                    <w14:schemeClr w14:val="tx1">
                      <w14:lumMod w14:val="95000"/>
                      <w14:lumOff w14:val="5000"/>
                    </w14:schemeClr>
                  </w14:solidFill>
                </w14:textFill>
              </w:rPr>
              <w:t>施工道路采用砂石路面，并定期洒水抑尘</w:t>
            </w:r>
            <w:r>
              <w:rPr>
                <w:rFonts w:hint="eastAsia"/>
                <w:color w:val="0D0D0D" w:themeColor="text1" w:themeTint="F2"/>
                <w:spacing w:val="-4"/>
                <w14:textFill>
                  <w14:solidFill>
                    <w14:schemeClr w14:val="tx1">
                      <w14:lumMod w14:val="95000"/>
                      <w14:lumOff w14:val="5000"/>
                    </w14:schemeClr>
                  </w14:solidFill>
                </w14:textFill>
              </w:rPr>
              <w:t>。</w:t>
            </w:r>
          </w:p>
          <w:p w14:paraId="0C93B0D5">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4</w:t>
            </w:r>
            <w:r>
              <w:rPr>
                <w:rFonts w:hint="eastAsia"/>
                <w:color w:val="0D0D0D" w:themeColor="text1" w:themeTint="F2"/>
                <w14:textFill>
                  <w14:solidFill>
                    <w14:schemeClr w14:val="tx1">
                      <w14:lumMod w14:val="95000"/>
                      <w14:lumOff w14:val="5000"/>
                    </w14:schemeClr>
                  </w14:solidFill>
                </w14:textFill>
              </w:rPr>
              <w:t>）试油期伴生气产生量不稳定，不具备回收利用条件，经排气管线充分燃烧后排放。应定期检查伴生气燃烧设备，加强燃烧设备的运营维护，确保伴生气充分燃烧，以减轻燃烧废气对区域大气环境质量的不良影响。</w:t>
            </w:r>
          </w:p>
          <w:p w14:paraId="18F38797">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5</w:t>
            </w:r>
            <w:r>
              <w:rPr>
                <w:rFonts w:hint="eastAsia"/>
                <w:color w:val="0D0D0D" w:themeColor="text1" w:themeTint="F2"/>
                <w14:textFill>
                  <w14:solidFill>
                    <w14:schemeClr w14:val="tx1">
                      <w14:lumMod w14:val="95000"/>
                      <w14:lumOff w14:val="5000"/>
                    </w14:schemeClr>
                  </w14:solidFill>
                </w14:textFill>
              </w:rPr>
              <w:t>）试油期加强采出液储罐管理、装卸必须采取密闭装载方式，尽可能减少无组织挥发性有机物的排放。</w:t>
            </w:r>
          </w:p>
          <w:p w14:paraId="51A565C6">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6</w:t>
            </w:r>
            <w:r>
              <w:rPr>
                <w:rFonts w:hint="eastAsia"/>
                <w:color w:val="0D0D0D" w:themeColor="text1" w:themeTint="F2"/>
                <w14:textFill>
                  <w14:solidFill>
                    <w14:schemeClr w14:val="tx1">
                      <w14:lumMod w14:val="95000"/>
                      <w14:lumOff w14:val="5000"/>
                    </w14:schemeClr>
                  </w14:solidFill>
                </w14:textFill>
              </w:rPr>
              <w:t>）</w:t>
            </w:r>
            <w:r>
              <w:rPr>
                <w:rFonts w:hint="eastAsia"/>
                <w:color w:val="0D0D0D" w:themeColor="text1" w:themeTint="F2"/>
                <w:spacing w:val="-4"/>
                <w14:textFill>
                  <w14:solidFill>
                    <w14:schemeClr w14:val="tx1">
                      <w14:lumMod w14:val="95000"/>
                      <w14:lumOff w14:val="5000"/>
                    </w14:schemeClr>
                  </w14:solidFill>
                </w14:textFill>
              </w:rPr>
              <w:t>柴油储罐采用固定顶罐，井场内柴油罐容积为</w:t>
            </w:r>
            <w:r>
              <w:rPr>
                <w:color w:val="0D0D0D" w:themeColor="text1" w:themeTint="F2"/>
                <w:spacing w:val="-4"/>
                <w14:textFill>
                  <w14:solidFill>
                    <w14:schemeClr w14:val="tx1">
                      <w14:lumMod w14:val="95000"/>
                      <w14:lumOff w14:val="5000"/>
                    </w14:schemeClr>
                  </w14:solidFill>
                </w14:textFill>
              </w:rPr>
              <w:t>30</w:t>
            </w:r>
            <w:r>
              <w:rPr>
                <w:rFonts w:hint="eastAsia"/>
                <w:color w:val="0D0D0D" w:themeColor="text1" w:themeTint="F2"/>
                <w:spacing w:val="-4"/>
                <w14:textFill>
                  <w14:solidFill>
                    <w14:schemeClr w14:val="tx1">
                      <w14:lumMod w14:val="95000"/>
                      <w14:lumOff w14:val="5000"/>
                    </w14:schemeClr>
                  </w14:solidFill>
                </w14:textFill>
              </w:rPr>
              <w:t>m</w:t>
            </w:r>
            <w:r>
              <w:rPr>
                <w:rFonts w:hint="eastAsia"/>
                <w:color w:val="0D0D0D" w:themeColor="text1" w:themeTint="F2"/>
                <w:spacing w:val="-4"/>
                <w:vertAlign w:val="superscript"/>
                <w14:textFill>
                  <w14:solidFill>
                    <w14:schemeClr w14:val="tx1">
                      <w14:lumMod w14:val="95000"/>
                      <w14:lumOff w14:val="5000"/>
                    </w14:schemeClr>
                  </w14:solidFill>
                </w14:textFill>
              </w:rPr>
              <w:t>3</w:t>
            </w:r>
            <w:r>
              <w:rPr>
                <w:rFonts w:hint="eastAsia"/>
                <w:color w:val="0D0D0D" w:themeColor="text1" w:themeTint="F2"/>
                <w:spacing w:val="-4"/>
                <w14:textFill>
                  <w14:solidFill>
                    <w14:schemeClr w14:val="tx1">
                      <w14:lumMod w14:val="95000"/>
                      <w14:lumOff w14:val="5000"/>
                    </w14:schemeClr>
                  </w14:solidFill>
                </w14:textFill>
              </w:rPr>
              <w:t>，小于75m</w:t>
            </w:r>
            <w:r>
              <w:rPr>
                <w:rFonts w:hint="eastAsia"/>
                <w:color w:val="0D0D0D" w:themeColor="text1" w:themeTint="F2"/>
                <w:spacing w:val="-4"/>
                <w:vertAlign w:val="superscript"/>
                <w14:textFill>
                  <w14:solidFill>
                    <w14:schemeClr w14:val="tx1">
                      <w14:lumMod w14:val="95000"/>
                      <w14:lumOff w14:val="5000"/>
                    </w14:schemeClr>
                  </w14:solidFill>
                </w14:textFill>
              </w:rPr>
              <w:t>3</w:t>
            </w:r>
            <w:r>
              <w:rPr>
                <w:rFonts w:hint="eastAsia"/>
                <w:color w:val="0D0D0D" w:themeColor="text1" w:themeTint="F2"/>
                <w:spacing w:val="-4"/>
                <w14:textFill>
                  <w14:solidFill>
                    <w14:schemeClr w14:val="tx1">
                      <w14:lumMod w14:val="95000"/>
                      <w14:lumOff w14:val="5000"/>
                    </w14:schemeClr>
                  </w14:solidFill>
                </w14:textFill>
              </w:rPr>
              <w:t>，且柴油真实蒸气压小于27.6kPa，按照《挥发性有机物无组织排放控制标准》（G</w:t>
            </w:r>
            <w:r>
              <w:rPr>
                <w:color w:val="0D0D0D" w:themeColor="text1" w:themeTint="F2"/>
                <w:spacing w:val="-4"/>
                <w14:textFill>
                  <w14:solidFill>
                    <w14:schemeClr w14:val="tx1">
                      <w14:lumMod w14:val="95000"/>
                      <w14:lumOff w14:val="5000"/>
                    </w14:schemeClr>
                  </w14:solidFill>
                </w14:textFill>
              </w:rPr>
              <w:t>B37822-2019</w:t>
            </w:r>
            <w:r>
              <w:rPr>
                <w:rFonts w:hint="eastAsia"/>
                <w:color w:val="0D0D0D" w:themeColor="text1" w:themeTint="F2"/>
                <w:spacing w:val="-4"/>
                <w14:textFill>
                  <w14:solidFill>
                    <w14:schemeClr w14:val="tx1">
                      <w14:lumMod w14:val="95000"/>
                      <w14:lumOff w14:val="5000"/>
                    </w14:schemeClr>
                  </w14:solidFill>
                </w14:textFill>
              </w:rPr>
              <w:t>）中要求可不采取油罐烃蒸气回收措施。施工</w:t>
            </w:r>
            <w:r>
              <w:rPr>
                <w:rFonts w:hint="eastAsia"/>
                <w:color w:val="0D0D0D" w:themeColor="text1" w:themeTint="F2"/>
                <w:spacing w:val="-4"/>
                <w:lang w:eastAsia="zh-CN"/>
                <w14:textFill>
                  <w14:solidFill>
                    <w14:schemeClr w14:val="tx1">
                      <w14:lumMod w14:val="95000"/>
                      <w14:lumOff w14:val="5000"/>
                    </w14:schemeClr>
                  </w14:solidFill>
                </w14:textFill>
              </w:rPr>
              <w:t>期间</w:t>
            </w:r>
            <w:r>
              <w:rPr>
                <w:rFonts w:hint="eastAsia"/>
                <w:color w:val="0D0D0D" w:themeColor="text1" w:themeTint="F2"/>
                <w:spacing w:val="-4"/>
                <w14:textFill>
                  <w14:solidFill>
                    <w14:schemeClr w14:val="tx1">
                      <w14:lumMod w14:val="95000"/>
                      <w14:lumOff w14:val="5000"/>
                    </w14:schemeClr>
                  </w14:solidFill>
                </w14:textFill>
              </w:rPr>
              <w:t>应加强储罐的检修和维护，柴油储罐罐体应保持完好，不应有孔洞；储罐附件开口（孔），除采样、计量和例行检查、维护和其他正常活动外，应密闭；定期监测呼吸阀的定压是否符合设定要求</w:t>
            </w:r>
            <w:r>
              <w:rPr>
                <w:rFonts w:hint="eastAsia"/>
                <w:color w:val="0D0D0D" w:themeColor="text1" w:themeTint="F2"/>
                <w14:textFill>
                  <w14:solidFill>
                    <w14:schemeClr w14:val="tx1">
                      <w14:lumMod w14:val="95000"/>
                      <w14:lumOff w14:val="5000"/>
                    </w14:schemeClr>
                  </w14:solidFill>
                </w14:textFill>
              </w:rPr>
              <w:t>。</w:t>
            </w:r>
          </w:p>
          <w:p w14:paraId="513E466E">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（7）水基钻井岩屑和油基钻井岩屑暂存于罐中，及时转运。</w:t>
            </w:r>
          </w:p>
          <w:p w14:paraId="5D20BA35">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（8）射孔压裂作业完成后，及时进行试油作业。</w:t>
            </w:r>
          </w:p>
          <w:p w14:paraId="4B9471B3">
            <w:pPr>
              <w:pStyle w:val="37"/>
              <w:ind w:firstLine="480"/>
              <w:rPr>
                <w:rFonts w:hint="eastAsia"/>
                <w:color w:val="0D0D0D" w:themeColor="text1" w:themeTint="F2"/>
                <w14:textFill>
                  <w14:solidFill>
                    <w14:schemeClr w14:val="tx1">
                      <w14:lumMod w14:val="95000"/>
                      <w14:lumOff w14:val="5000"/>
                    </w14:schemeClr>
                  </w14:solidFill>
                </w14:textFill>
              </w:rPr>
            </w:pPr>
            <w:r>
              <w:rPr>
                <w:color w:val="0D0D0D" w:themeColor="text1" w:themeTint="F2"/>
                <w14:textFill>
                  <w14:solidFill>
                    <w14:schemeClr w14:val="tx1">
                      <w14:lumMod w14:val="95000"/>
                      <w14:lumOff w14:val="5000"/>
                    </w14:schemeClr>
                  </w14:solidFill>
                </w14:textFill>
              </w:rPr>
              <w:t>以上防治措施，简单可行，具有可操作性，施工扬尘影响能够减缓到可以接受的程度</w:t>
            </w:r>
            <w:r>
              <w:rPr>
                <w:rFonts w:hint="eastAsia"/>
                <w:color w:val="0D0D0D" w:themeColor="text1" w:themeTint="F2"/>
                <w14:textFill>
                  <w14:solidFill>
                    <w14:schemeClr w14:val="tx1">
                      <w14:lumMod w14:val="95000"/>
                      <w14:lumOff w14:val="5000"/>
                    </w14:schemeClr>
                  </w14:solidFill>
                </w14:textFill>
              </w:rPr>
              <w:t>。</w:t>
            </w:r>
          </w:p>
          <w:bookmarkEnd w:id="20"/>
          <w:p w14:paraId="18DAAFD4">
            <w:pPr>
              <w:widowControl/>
              <w:snapToGrid w:val="0"/>
              <w:spacing w:line="50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bookmarkStart w:id="21" w:name="_Hlk136795800"/>
            <w:r>
              <w:rPr>
                <w:rFonts w:hint="eastAsia" w:ascii="宋体" w:hAnsi="宋体" w:cs="宋体"/>
                <w:b/>
                <w:bCs/>
                <w:color w:val="0D0D0D" w:themeColor="text1" w:themeTint="F2"/>
                <w:lang w:eastAsia="zh-CN"/>
                <w14:textFill>
                  <w14:solidFill>
                    <w14:schemeClr w14:val="tx1">
                      <w14:lumMod w14:val="95000"/>
                      <w14:lumOff w14:val="5000"/>
                    </w14:schemeClr>
                  </w14:solidFill>
                </w14:textFill>
              </w:rPr>
              <w:t>4.</w:t>
            </w:r>
            <w:r>
              <w:rPr>
                <w:rFonts w:hint="eastAsia" w:ascii="宋体" w:hAnsi="宋体" w:cs="宋体"/>
                <w:b/>
                <w:bCs/>
                <w:color w:val="0D0D0D" w:themeColor="text1" w:themeTint="F2"/>
                <w14:textFill>
                  <w14:solidFill>
                    <w14:schemeClr w14:val="tx1">
                      <w14:lumMod w14:val="95000"/>
                      <w14:lumOff w14:val="5000"/>
                    </w14:schemeClr>
                  </w14:solidFill>
                </w14:textFill>
              </w:rPr>
              <w:t>水污染防治措施</w:t>
            </w:r>
          </w:p>
          <w:p w14:paraId="18981CA7">
            <w:pPr>
              <w:widowControl/>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（1）生活污水</w:t>
            </w:r>
          </w:p>
          <w:p w14:paraId="1E8FF4D5">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bookmarkStart w:id="22" w:name="_Hlk91252762"/>
            <w:bookmarkStart w:id="23" w:name="_Hlk62325205"/>
            <w:r>
              <w:rPr>
                <w:rFonts w:hint="eastAsia" w:ascii="宋体" w:hAnsi="宋体" w:cs="宋体"/>
                <w:color w:val="0D0D0D" w:themeColor="text1" w:themeTint="F2"/>
                <w14:textFill>
                  <w14:solidFill>
                    <w14:schemeClr w14:val="tx1">
                      <w14:lumMod w14:val="95000"/>
                      <w14:lumOff w14:val="5000"/>
                    </w14:schemeClr>
                  </w14:solidFill>
                </w14:textFill>
              </w:rPr>
              <w:t>施工期生活污水产生总量约117m</w:t>
            </w:r>
            <w:r>
              <w:rPr>
                <w:rFonts w:hint="eastAsia" w:ascii="宋体" w:hAnsi="宋体" w:cs="宋体"/>
                <w:color w:val="0D0D0D" w:themeColor="text1" w:themeTint="F2"/>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14:textFill>
                  <w14:solidFill>
                    <w14:schemeClr w14:val="tx1">
                      <w14:lumMod w14:val="95000"/>
                      <w14:lumOff w14:val="5000"/>
                    </w14:schemeClr>
                  </w14:solidFill>
                </w14:textFill>
              </w:rPr>
              <w:t>，排入生活营地临时防渗收集池（容积为40m</w:t>
            </w:r>
            <w:r>
              <w:rPr>
                <w:rFonts w:hint="eastAsia" w:ascii="宋体" w:hAnsi="宋体" w:cs="宋体"/>
                <w:color w:val="0D0D0D" w:themeColor="text1" w:themeTint="F2"/>
                <w:vertAlign w:val="superscript"/>
                <w14:textFill>
                  <w14:solidFill>
                    <w14:schemeClr w14:val="tx1">
                      <w14:lumMod w14:val="95000"/>
                      <w14:lumOff w14:val="5000"/>
                    </w14:schemeClr>
                  </w14:solidFill>
                </w14:textFill>
              </w:rPr>
              <w:t>3</w:t>
            </w:r>
            <w:r>
              <w:rPr>
                <w:rFonts w:hint="eastAsia" w:ascii="宋体" w:hAnsi="宋体" w:cs="宋体"/>
                <w:color w:val="0D0D0D" w:themeColor="text1" w:themeTint="F2"/>
                <w14:textFill>
                  <w14:solidFill>
                    <w14:schemeClr w14:val="tx1">
                      <w14:lumMod w14:val="95000"/>
                      <w14:lumOff w14:val="5000"/>
                    </w14:schemeClr>
                  </w14:solidFill>
                </w14:textFill>
              </w:rPr>
              <w:t>）暂存，定期由吸污车抽出后运至沙湾市第二污水处理厂。生活污水收集池采用HDPE防渗膜防渗，</w:t>
            </w:r>
            <w:r>
              <w:rPr>
                <w:rFonts w:hint="eastAsia"/>
                <w:color w:val="0D0D0D" w:themeColor="text1" w:themeTint="F2"/>
                <w14:textFill>
                  <w14:solidFill>
                    <w14:schemeClr w14:val="tx1">
                      <w14:lumMod w14:val="95000"/>
                      <w14:lumOff w14:val="5000"/>
                    </w14:schemeClr>
                  </w14:solidFill>
                </w14:textFill>
              </w:rPr>
              <w:t>施工结束后防渗膜回收、收集池占地及时恢复原貌</w:t>
            </w:r>
            <w:r>
              <w:rPr>
                <w:rFonts w:hint="eastAsia" w:ascii="宋体" w:hAnsi="宋体" w:cs="宋体"/>
                <w:color w:val="0D0D0D" w:themeColor="text1" w:themeTint="F2"/>
                <w14:textFill>
                  <w14:solidFill>
                    <w14:schemeClr w14:val="tx1">
                      <w14:lumMod w14:val="95000"/>
                      <w14:lumOff w14:val="5000"/>
                    </w14:schemeClr>
                  </w14:solidFill>
                </w14:textFill>
              </w:rPr>
              <w:t>。</w:t>
            </w:r>
          </w:p>
          <w:p w14:paraId="52D7DEBA">
            <w:pPr>
              <w:pStyle w:val="63"/>
              <w:spacing w:line="500" w:lineRule="exact"/>
              <w:ind w:firstLine="472" w:firstLineChars="200"/>
              <w:rPr>
                <w:rFonts w:hint="eastAsia" w:ascii="宋体"/>
                <w:color w:val="0D0D0D" w:themeColor="text1" w:themeTint="F2"/>
                <w:kern w:val="2"/>
                <w14:textFill>
                  <w14:solidFill>
                    <w14:schemeClr w14:val="tx1">
                      <w14:lumMod w14:val="95000"/>
                      <w14:lumOff w14:val="5000"/>
                    </w14:schemeClr>
                  </w14:solidFill>
                </w14:textFill>
              </w:rPr>
            </w:pPr>
            <w:bookmarkStart w:id="24" w:name="_Hlk208334736"/>
            <w:r>
              <w:rPr>
                <w:rFonts w:hint="eastAsia" w:ascii="宋体"/>
                <w:color w:val="0D0D0D" w:themeColor="text1" w:themeTint="F2"/>
                <w:kern w:val="2"/>
                <w14:textFill>
                  <w14:solidFill>
                    <w14:schemeClr w14:val="tx1">
                      <w14:lumMod w14:val="95000"/>
                      <w14:lumOff w14:val="5000"/>
                    </w14:schemeClr>
                  </w14:solidFill>
                </w14:textFill>
              </w:rPr>
              <w:t>沙湾市第二污水处理厂位于石锋4井西北侧约30km</w:t>
            </w:r>
            <w:r>
              <w:rPr>
                <w:rFonts w:hint="eastAsia" w:ascii="宋体"/>
                <w:color w:val="0D0D0D" w:themeColor="text1" w:themeTint="F2"/>
                <w14:textFill>
                  <w14:solidFill>
                    <w14:schemeClr w14:val="tx1">
                      <w14:lumMod w14:val="95000"/>
                      <w14:lumOff w14:val="5000"/>
                    </w14:schemeClr>
                  </w14:solidFill>
                </w14:textFill>
              </w:rPr>
              <w:t>（见附图10）</w:t>
            </w:r>
            <w:r>
              <w:rPr>
                <w:rFonts w:hint="eastAsia" w:ascii="宋体"/>
                <w:color w:val="0D0D0D" w:themeColor="text1" w:themeTint="F2"/>
                <w:kern w:val="2"/>
                <w14:textFill>
                  <w14:solidFill>
                    <w14:schemeClr w14:val="tx1">
                      <w14:lumMod w14:val="95000"/>
                      <w14:lumOff w14:val="5000"/>
                    </w14:schemeClr>
                  </w14:solidFill>
                </w14:textFill>
              </w:rPr>
              <w:t>，</w:t>
            </w:r>
            <w:r>
              <w:rPr>
                <w:rFonts w:ascii="宋体"/>
                <w:color w:val="0D0D0D" w:themeColor="text1" w:themeTint="F2"/>
                <w:kern w:val="2"/>
                <w14:textFill>
                  <w14:solidFill>
                    <w14:schemeClr w14:val="tx1">
                      <w14:lumMod w14:val="95000"/>
                      <w14:lumOff w14:val="5000"/>
                    </w14:schemeClr>
                  </w14:solidFill>
                </w14:textFill>
              </w:rPr>
              <w:t>采用A</w:t>
            </w:r>
            <w:r>
              <w:rPr>
                <w:rFonts w:ascii="宋体"/>
                <w:color w:val="0D0D0D" w:themeColor="text1" w:themeTint="F2"/>
                <w:kern w:val="2"/>
                <w:vertAlign w:val="superscript"/>
                <w14:textFill>
                  <w14:solidFill>
                    <w14:schemeClr w14:val="tx1">
                      <w14:lumMod w14:val="95000"/>
                      <w14:lumOff w14:val="5000"/>
                    </w14:schemeClr>
                  </w14:solidFill>
                </w14:textFill>
              </w:rPr>
              <w:t>2</w:t>
            </w:r>
            <w:r>
              <w:rPr>
                <w:rFonts w:ascii="宋体"/>
                <w:color w:val="0D0D0D" w:themeColor="text1" w:themeTint="F2"/>
                <w:kern w:val="2"/>
                <w14:textFill>
                  <w14:solidFill>
                    <w14:schemeClr w14:val="tx1">
                      <w14:lumMod w14:val="95000"/>
                      <w14:lumOff w14:val="5000"/>
                    </w14:schemeClr>
                  </w14:solidFill>
                </w14:textFill>
              </w:rPr>
              <w:t>O+MBR膜处理工艺，</w:t>
            </w:r>
            <w:r>
              <w:rPr>
                <w:rFonts w:hint="eastAsia" w:ascii="宋体"/>
                <w:color w:val="0D0D0D" w:themeColor="text1" w:themeTint="F2"/>
                <w:kern w:val="2"/>
                <w14:textFill>
                  <w14:solidFill>
                    <w14:schemeClr w14:val="tx1">
                      <w14:lumMod w14:val="95000"/>
                      <w14:lumOff w14:val="5000"/>
                    </w14:schemeClr>
                  </w14:solidFill>
                </w14:textFill>
              </w:rPr>
              <w:t>出水水质执行</w:t>
            </w:r>
            <w:r>
              <w:rPr>
                <w:rFonts w:ascii="宋体"/>
                <w:color w:val="0D0D0D" w:themeColor="text1" w:themeTint="F2"/>
                <w:kern w:val="2"/>
                <w14:textFill>
                  <w14:solidFill>
                    <w14:schemeClr w14:val="tx1">
                      <w14:lumMod w14:val="95000"/>
                      <w14:lumOff w14:val="5000"/>
                    </w14:schemeClr>
                  </w14:solidFill>
                </w14:textFill>
              </w:rPr>
              <w:t>《城镇污水处理厂污染物排放标准》（GB18918-2002）中一级A标准</w:t>
            </w:r>
            <w:r>
              <w:rPr>
                <w:rFonts w:hint="eastAsia" w:ascii="宋体"/>
                <w:color w:val="0D0D0D" w:themeColor="text1" w:themeTint="F2"/>
                <w:kern w:val="2"/>
                <w14:textFill>
                  <w14:solidFill>
                    <w14:schemeClr w14:val="tx1">
                      <w14:lumMod w14:val="95000"/>
                      <w14:lumOff w14:val="5000"/>
                    </w14:schemeClr>
                  </w14:solidFill>
                </w14:textFill>
              </w:rPr>
              <w:t>。该污水处理厂建于</w:t>
            </w:r>
            <w:r>
              <w:rPr>
                <w:rFonts w:ascii="宋体"/>
                <w:color w:val="0D0D0D" w:themeColor="text1" w:themeTint="F2"/>
                <w:kern w:val="2"/>
                <w14:textFill>
                  <w14:solidFill>
                    <w14:schemeClr w14:val="tx1">
                      <w14:lumMod w14:val="95000"/>
                      <w14:lumOff w14:val="5000"/>
                    </w14:schemeClr>
                  </w14:solidFill>
                </w14:textFill>
              </w:rPr>
              <w:t>2015年</w:t>
            </w:r>
            <w:r>
              <w:rPr>
                <w:rFonts w:hint="eastAsia" w:ascii="宋体"/>
                <w:color w:val="0D0D0D" w:themeColor="text1" w:themeTint="F2"/>
                <w:kern w:val="2"/>
                <w14:textFill>
                  <w14:solidFill>
                    <w14:schemeClr w14:val="tx1">
                      <w14:lumMod w14:val="95000"/>
                      <w14:lumOff w14:val="5000"/>
                    </w14:schemeClr>
                  </w14:solidFill>
                </w14:textFill>
              </w:rPr>
              <w:t>3月，原塔城地区环境保护局以塔地环函〔2015〕16号文予以批复，并通过了竣工环境保护验收。</w:t>
            </w:r>
          </w:p>
          <w:p w14:paraId="3E8872E4">
            <w:pPr>
              <w:pStyle w:val="37"/>
              <w:ind w:firstLine="480"/>
              <w:rPr>
                <w:rFonts w:hint="eastAsia"/>
                <w:color w:val="0D0D0D" w:themeColor="text1" w:themeTint="F2"/>
                <w:kern w:val="2"/>
                <w14:textFill>
                  <w14:solidFill>
                    <w14:schemeClr w14:val="tx1">
                      <w14:lumMod w14:val="95000"/>
                      <w14:lumOff w14:val="5000"/>
                    </w14:schemeClr>
                  </w14:solidFill>
                </w14:textFill>
              </w:rPr>
            </w:pPr>
            <w:bookmarkStart w:id="25" w:name="_Hlk208346789"/>
            <w:r>
              <w:rPr>
                <w:rFonts w:hint="eastAsia"/>
                <w:color w:val="0D0D0D" w:themeColor="text1" w:themeTint="F2"/>
                <w:kern w:val="2"/>
                <w14:textFill>
                  <w14:solidFill>
                    <w14:schemeClr w14:val="tx1">
                      <w14:lumMod w14:val="95000"/>
                      <w14:lumOff w14:val="5000"/>
                    </w14:schemeClr>
                  </w14:solidFill>
                </w14:textFill>
              </w:rPr>
              <w:t>沙湾市第二污水处理厂设计处理能力为30</w:t>
            </w:r>
            <w:r>
              <w:rPr>
                <w:color w:val="0D0D0D" w:themeColor="text1" w:themeTint="F2"/>
                <w:kern w:val="2"/>
                <w14:textFill>
                  <w14:solidFill>
                    <w14:schemeClr w14:val="tx1">
                      <w14:lumMod w14:val="95000"/>
                      <w14:lumOff w14:val="5000"/>
                    </w14:schemeClr>
                  </w14:solidFill>
                </w14:textFill>
              </w:rPr>
              <w:t>000m</w:t>
            </w:r>
            <w:r>
              <w:rPr>
                <w:color w:val="0D0D0D" w:themeColor="text1" w:themeTint="F2"/>
                <w:kern w:val="2"/>
                <w:vertAlign w:val="superscript"/>
                <w14:textFill>
                  <w14:solidFill>
                    <w14:schemeClr w14:val="tx1">
                      <w14:lumMod w14:val="95000"/>
                      <w14:lumOff w14:val="5000"/>
                    </w14:schemeClr>
                  </w14:solidFill>
                </w14:textFill>
              </w:rPr>
              <w:t>3</w:t>
            </w:r>
            <w:r>
              <w:rPr>
                <w:color w:val="0D0D0D" w:themeColor="text1" w:themeTint="F2"/>
                <w:kern w:val="2"/>
                <w14:textFill>
                  <w14:solidFill>
                    <w14:schemeClr w14:val="tx1">
                      <w14:lumMod w14:val="95000"/>
                      <w14:lumOff w14:val="5000"/>
                    </w14:schemeClr>
                  </w14:solidFill>
                </w14:textFill>
              </w:rPr>
              <w:t>/d</w:t>
            </w:r>
            <w:r>
              <w:rPr>
                <w:rFonts w:hint="eastAsia"/>
                <w:color w:val="0D0D0D" w:themeColor="text1" w:themeTint="F2"/>
                <w:kern w:val="2"/>
                <w14:textFill>
                  <w14:solidFill>
                    <w14:schemeClr w14:val="tx1">
                      <w14:lumMod w14:val="95000"/>
                      <w14:lumOff w14:val="5000"/>
                    </w14:schemeClr>
                  </w14:solidFill>
                </w14:textFill>
              </w:rPr>
              <w:t>，实际处理规模约为15000</w:t>
            </w:r>
            <w:r>
              <w:rPr>
                <w:color w:val="0D0D0D" w:themeColor="text1" w:themeTint="F2"/>
                <w:kern w:val="2"/>
                <w14:textFill>
                  <w14:solidFill>
                    <w14:schemeClr w14:val="tx1">
                      <w14:lumMod w14:val="95000"/>
                      <w14:lumOff w14:val="5000"/>
                    </w14:schemeClr>
                  </w14:solidFill>
                </w14:textFill>
              </w:rPr>
              <w:t>m</w:t>
            </w:r>
            <w:r>
              <w:rPr>
                <w:color w:val="0D0D0D" w:themeColor="text1" w:themeTint="F2"/>
                <w:kern w:val="2"/>
                <w:vertAlign w:val="superscript"/>
                <w14:textFill>
                  <w14:solidFill>
                    <w14:schemeClr w14:val="tx1">
                      <w14:lumMod w14:val="95000"/>
                      <w14:lumOff w14:val="5000"/>
                    </w14:schemeClr>
                  </w14:solidFill>
                </w14:textFill>
              </w:rPr>
              <w:t>3</w:t>
            </w:r>
            <w:r>
              <w:rPr>
                <w:color w:val="0D0D0D" w:themeColor="text1" w:themeTint="F2"/>
                <w:kern w:val="2"/>
                <w14:textFill>
                  <w14:solidFill>
                    <w14:schemeClr w14:val="tx1">
                      <w14:lumMod w14:val="95000"/>
                      <w14:lumOff w14:val="5000"/>
                    </w14:schemeClr>
                  </w14:solidFill>
                </w14:textFill>
              </w:rPr>
              <w:t>/d</w:t>
            </w:r>
            <w:r>
              <w:rPr>
                <w:rFonts w:hint="eastAsia"/>
                <w:color w:val="0D0D0D" w:themeColor="text1" w:themeTint="F2"/>
                <w:kern w:val="2"/>
                <w14:textFill>
                  <w14:solidFill>
                    <w14:schemeClr w14:val="tx1">
                      <w14:lumMod w14:val="95000"/>
                      <w14:lumOff w14:val="5000"/>
                    </w14:schemeClr>
                  </w14:solidFill>
                </w14:textFill>
              </w:rPr>
              <w:t>。施工期生活污水产生量共计144</w:t>
            </w:r>
            <w:r>
              <w:rPr>
                <w:color w:val="0D0D0D" w:themeColor="text1" w:themeTint="F2"/>
                <w:kern w:val="2"/>
                <w14:textFill>
                  <w14:solidFill>
                    <w14:schemeClr w14:val="tx1">
                      <w14:lumMod w14:val="95000"/>
                      <w14:lumOff w14:val="5000"/>
                    </w14:schemeClr>
                  </w14:solidFill>
                </w14:textFill>
              </w:rPr>
              <w:t>m</w:t>
            </w:r>
            <w:r>
              <w:rPr>
                <w:color w:val="0D0D0D" w:themeColor="text1" w:themeTint="F2"/>
                <w:kern w:val="2"/>
                <w:vertAlign w:val="superscript"/>
                <w14:textFill>
                  <w14:solidFill>
                    <w14:schemeClr w14:val="tx1">
                      <w14:lumMod w14:val="95000"/>
                      <w14:lumOff w14:val="5000"/>
                    </w14:schemeClr>
                  </w14:solidFill>
                </w14:textFill>
              </w:rPr>
              <w:t>3</w:t>
            </w:r>
            <w:r>
              <w:rPr>
                <w:rFonts w:hint="eastAsia"/>
                <w:color w:val="0D0D0D" w:themeColor="text1" w:themeTint="F2"/>
                <w:kern w:val="2"/>
                <w14:textFill>
                  <w14:solidFill>
                    <w14:schemeClr w14:val="tx1">
                      <w14:lumMod w14:val="95000"/>
                      <w14:lumOff w14:val="5000"/>
                    </w14:schemeClr>
                  </w14:solidFill>
                </w14:textFill>
              </w:rPr>
              <w:t>，定期采用吸污车清运，</w:t>
            </w:r>
            <w:r>
              <w:rPr>
                <w:rFonts w:hint="eastAsia"/>
                <w:color w:val="0D0D0D" w:themeColor="text1" w:themeTint="F2"/>
                <w14:textFill>
                  <w14:solidFill>
                    <w14:schemeClr w14:val="tx1">
                      <w14:lumMod w14:val="95000"/>
                      <w14:lumOff w14:val="5000"/>
                    </w14:schemeClr>
                  </w14:solidFill>
                </w14:textFill>
              </w:rPr>
              <w:t>根据实际清运经验数据，吸污车最大容量约为3</w:t>
            </w:r>
            <w:r>
              <w:rPr>
                <w:color w:val="0D0D0D" w:themeColor="text1" w:themeTint="F2"/>
                <w14:textFill>
                  <w14:solidFill>
                    <w14:schemeClr w14:val="tx1">
                      <w14:lumMod w14:val="95000"/>
                      <w14:lumOff w14:val="5000"/>
                    </w14:schemeClr>
                  </w14:solidFill>
                </w14:textFill>
              </w:rPr>
              <w:t>0m</w:t>
            </w:r>
            <w:r>
              <w:rPr>
                <w:color w:val="0D0D0D" w:themeColor="text1" w:themeTint="F2"/>
                <w:vertAlign w:val="superscript"/>
                <w14:textFill>
                  <w14:solidFill>
                    <w14:schemeClr w14:val="tx1">
                      <w14:lumMod w14:val="95000"/>
                      <w14:lumOff w14:val="5000"/>
                    </w14:schemeClr>
                  </w14:solidFill>
                </w14:textFill>
              </w:rPr>
              <w:t>3</w:t>
            </w:r>
            <w:r>
              <w:rPr>
                <w:rFonts w:hint="eastAsia"/>
                <w:color w:val="0D0D0D" w:themeColor="text1" w:themeTint="F2"/>
                <w14:textFill>
                  <w14:solidFill>
                    <w14:schemeClr w14:val="tx1">
                      <w14:lumMod w14:val="95000"/>
                      <w14:lumOff w14:val="5000"/>
                    </w14:schemeClr>
                  </w14:solidFill>
                </w14:textFill>
              </w:rPr>
              <w:t>，清运时每日清运一次，即单日进入污水处理厂的污水量为30</w:t>
            </w:r>
            <w:r>
              <w:rPr>
                <w:color w:val="0D0D0D" w:themeColor="text1" w:themeTint="F2"/>
                <w14:textFill>
                  <w14:solidFill>
                    <w14:schemeClr w14:val="tx1">
                      <w14:lumMod w14:val="95000"/>
                      <w14:lumOff w14:val="5000"/>
                    </w14:schemeClr>
                  </w14:solidFill>
                </w14:textFill>
              </w:rPr>
              <w:t>m</w:t>
            </w:r>
            <w:r>
              <w:rPr>
                <w:color w:val="0D0D0D" w:themeColor="text1" w:themeTint="F2"/>
                <w:vertAlign w:val="superscript"/>
                <w14:textFill>
                  <w14:solidFill>
                    <w14:schemeClr w14:val="tx1">
                      <w14:lumMod w14:val="95000"/>
                      <w14:lumOff w14:val="5000"/>
                    </w14:schemeClr>
                  </w14:solidFill>
                </w14:textFill>
              </w:rPr>
              <w:t>3</w:t>
            </w:r>
            <w:r>
              <w:rPr>
                <w:rFonts w:hint="eastAsia"/>
                <w:color w:val="0D0D0D" w:themeColor="text1" w:themeTint="F2"/>
                <w14:textFill>
                  <w14:solidFill>
                    <w14:schemeClr w14:val="tx1">
                      <w14:lumMod w14:val="95000"/>
                      <w14:lumOff w14:val="5000"/>
                    </w14:schemeClr>
                  </w14:solidFill>
                </w14:textFill>
              </w:rPr>
              <w:t>，水量较小，不会对污水处理系统造成冲击；生活营地生活污水水质与居民生活污水相似，主要污染物浓度分别为化学需氧量（COD）350mg/L、氨氮（NH</w:t>
            </w:r>
            <w:r>
              <w:rPr>
                <w:rFonts w:hint="eastAsia"/>
                <w:color w:val="0D0D0D" w:themeColor="text1" w:themeTint="F2"/>
                <w:vertAlign w:val="subscript"/>
                <w14:textFill>
                  <w14:solidFill>
                    <w14:schemeClr w14:val="tx1">
                      <w14:lumMod w14:val="95000"/>
                      <w14:lumOff w14:val="5000"/>
                    </w14:schemeClr>
                  </w14:solidFill>
                </w14:textFill>
              </w:rPr>
              <w:t>3</w:t>
            </w:r>
            <w:r>
              <w:rPr>
                <w:rFonts w:hint="eastAsia"/>
                <w:color w:val="0D0D0D" w:themeColor="text1" w:themeTint="F2"/>
                <w14:textFill>
                  <w14:solidFill>
                    <w14:schemeClr w14:val="tx1">
                      <w14:lumMod w14:val="95000"/>
                      <w14:lumOff w14:val="5000"/>
                    </w14:schemeClr>
                  </w14:solidFill>
                </w14:textFill>
              </w:rPr>
              <w:t>-N）30mg/L、悬浮物（SS）200mg/L，满足《污水综合排放标准》（GB8978-1996）三级排放标准，沙湾市第二污水处理厂为城镇污水处理厂，可以接纳本项目废水。综上所述，生活污水处置依托可行。</w:t>
            </w:r>
          </w:p>
          <w:bookmarkEnd w:id="22"/>
          <w:bookmarkEnd w:id="23"/>
          <w:bookmarkEnd w:id="24"/>
          <w:bookmarkEnd w:id="25"/>
          <w:p w14:paraId="6E3DA37E">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（2）试油废水</w:t>
            </w:r>
          </w:p>
          <w:p w14:paraId="4DB60A11">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试油期产生的洗井废水和压裂返排液由专用方罐收集后，拉运至车89集中处理站采出水处理系统进行处理，处理达标后全部回注油藏。</w:t>
            </w:r>
          </w:p>
          <w:p w14:paraId="0156D1D5">
            <w:pPr>
              <w:pStyle w:val="63"/>
              <w:spacing w:line="500" w:lineRule="exact"/>
              <w:ind w:firstLine="472" w:firstLineChars="200"/>
              <w:rPr>
                <w:rFonts w:hint="eastAsia"/>
                <w:color w:val="0D0D0D" w:themeColor="text1" w:themeTint="F2"/>
                <w14:textFill>
                  <w14:solidFill>
                    <w14:schemeClr w14:val="tx1">
                      <w14:lumMod w14:val="95000"/>
                      <w14:lumOff w14:val="5000"/>
                    </w14:schemeClr>
                  </w14:solidFill>
                </w14:textFill>
              </w:rPr>
            </w:pPr>
            <w:bookmarkStart w:id="26" w:name="_Hlk208333828"/>
            <w:r>
              <w:rPr>
                <w:rFonts w:hint="eastAsia"/>
                <w:color w:val="0D0D0D" w:themeColor="text1" w:themeTint="F2"/>
                <w14:textFill>
                  <w14:solidFill>
                    <w14:schemeClr w14:val="tx1">
                      <w14:lumMod w14:val="95000"/>
                      <w14:lumOff w14:val="5000"/>
                    </w14:schemeClr>
                  </w14:solidFill>
                </w14:textFill>
              </w:rPr>
              <w:t>车89集中处理站建设于2009年，于2010年11月投产，是一座集油气处理、采出水处理等功能为一体的综合性处理站，位于克拉玛依市</w:t>
            </w:r>
            <w:r>
              <w:rPr>
                <w:rFonts w:hint="eastAsia"/>
                <w:color w:val="0D0D0D" w:themeColor="text1" w:themeTint="F2"/>
                <w:lang w:eastAsia="zh-CN"/>
                <w14:textFill>
                  <w14:solidFill>
                    <w14:schemeClr w14:val="tx1">
                      <w14:lumMod w14:val="95000"/>
                      <w14:lumOff w14:val="5000"/>
                    </w14:schemeClr>
                  </w14:solidFill>
                </w14:textFill>
              </w:rPr>
              <w:t>五</w:t>
            </w:r>
            <w:r>
              <w:rPr>
                <w:rFonts w:hint="eastAsia"/>
                <w:color w:val="0D0D0D" w:themeColor="text1" w:themeTint="F2"/>
                <w14:textFill>
                  <w14:solidFill>
                    <w14:schemeClr w14:val="tx1">
                      <w14:lumMod w14:val="95000"/>
                      <w14:lumOff w14:val="5000"/>
                    </w14:schemeClr>
                  </w14:solidFill>
                </w14:textFill>
              </w:rPr>
              <w:t>新镇境内。其污水处理工艺流程主要为：油区来的含油污水（含油≤1000，悬浮物≤500）进入除油罐进行油、水、悬浮物的初步分离，经泵提升后进入多功能反应罐中经化学反应，沉降后的水再进入双滤料过滤器进一步除油和悬浮物，并在流程中通过投加配套化学药剂，增强污水处理效果，</w:t>
            </w:r>
            <w:r>
              <w:rPr>
                <w:rStyle w:val="34"/>
                <w:rFonts w:hint="eastAsia" w:cs="宋体"/>
                <w:color w:val="0D0D0D" w:themeColor="text1" w:themeTint="F2"/>
                <w:sz w:val="24"/>
                <w:szCs w:val="24"/>
                <w14:textFill>
                  <w14:solidFill>
                    <w14:schemeClr w14:val="tx1">
                      <w14:lumMod w14:val="95000"/>
                      <w14:lumOff w14:val="5000"/>
                    </w14:schemeClr>
                  </w14:solidFill>
                </w14:textFill>
              </w:rPr>
              <w:t>出水水质满足《碎屑岩油藏注水水质技术要求及分析方法》（SY/T 5329-2022）相关要求（悬浮物≤15mg/L，含油≤10mg/L）</w:t>
            </w:r>
            <w:r>
              <w:rPr>
                <w:rFonts w:hint="eastAsia"/>
                <w:color w:val="0D0D0D" w:themeColor="text1" w:themeTint="F2"/>
                <w14:textFill>
                  <w14:solidFill>
                    <w14:schemeClr w14:val="tx1">
                      <w14:lumMod w14:val="95000"/>
                      <w14:lumOff w14:val="5000"/>
                    </w14:schemeClr>
                  </w14:solidFill>
                </w14:textFill>
              </w:rPr>
              <w:t>后，全部用于油田回注。</w:t>
            </w:r>
            <w:bookmarkEnd w:id="26"/>
            <w:bookmarkStart w:id="27" w:name="_Hlk519245556"/>
            <w:bookmarkStart w:id="28" w:name="_Hlk208333839"/>
          </w:p>
          <w:p w14:paraId="70456728">
            <w:pPr>
              <w:pStyle w:val="63"/>
              <w:spacing w:line="500" w:lineRule="exact"/>
              <w:ind w:firstLine="472" w:firstLineChars="200"/>
              <w:rPr>
                <w:rFonts w:hint="eastAsia" w:asciiTheme="minorEastAsia" w:hAnsiTheme="minorEastAsia" w:eastAsiaTheme="minorEastAsia"/>
                <w:color w:val="0D0D0D" w:themeColor="text1" w:themeTint="F2"/>
                <w:kern w:val="2"/>
                <w14:textFill>
                  <w14:solidFill>
                    <w14:schemeClr w14:val="tx1">
                      <w14:lumMod w14:val="95000"/>
                      <w14:lumOff w14:val="5000"/>
                    </w14:schemeClr>
                  </w14:solidFill>
                </w14:textFill>
              </w:rPr>
            </w:pPr>
            <w:r>
              <w:rPr>
                <w:rFonts w:hint="eastAsia" w:ascii="宋体"/>
                <w:color w:val="0D0D0D" w:themeColor="text1" w:themeTint="F2"/>
                <w14:textFill>
                  <w14:solidFill>
                    <w14:schemeClr w14:val="tx1">
                      <w14:lumMod w14:val="95000"/>
                      <w14:lumOff w14:val="5000"/>
                    </w14:schemeClr>
                  </w14:solidFill>
                </w14:textFill>
              </w:rPr>
              <w:t>车89集中处理站污水处理系统设计处理能力为1</w:t>
            </w:r>
            <w:r>
              <w:rPr>
                <w:rFonts w:ascii="宋体"/>
                <w:color w:val="0D0D0D" w:themeColor="text1" w:themeTint="F2"/>
                <w14:textFill>
                  <w14:solidFill>
                    <w14:schemeClr w14:val="tx1">
                      <w14:lumMod w14:val="95000"/>
                      <w14:lumOff w14:val="5000"/>
                    </w14:schemeClr>
                  </w14:solidFill>
                </w14:textFill>
              </w:rPr>
              <w:t>000</w:t>
            </w:r>
            <w:r>
              <w:rPr>
                <w:rFonts w:hint="eastAsia" w:ascii="宋体"/>
                <w:color w:val="0D0D0D" w:themeColor="text1" w:themeTint="F2"/>
                <w14:textFill>
                  <w14:solidFill>
                    <w14:schemeClr w14:val="tx1">
                      <w14:lumMod w14:val="95000"/>
                      <w14:lumOff w14:val="5000"/>
                    </w14:schemeClr>
                  </w14:solidFill>
                </w14:textFill>
              </w:rPr>
              <w:t>m</w:t>
            </w:r>
            <w:r>
              <w:rPr>
                <w:rFonts w:hint="eastAsia" w:ascii="宋体"/>
                <w:color w:val="0D0D0D" w:themeColor="text1" w:themeTint="F2"/>
                <w:vertAlign w:val="superscript"/>
                <w14:textFill>
                  <w14:solidFill>
                    <w14:schemeClr w14:val="tx1">
                      <w14:lumMod w14:val="95000"/>
                      <w14:lumOff w14:val="5000"/>
                    </w14:schemeClr>
                  </w14:solidFill>
                </w14:textFill>
              </w:rPr>
              <w:t>3</w:t>
            </w:r>
            <w:r>
              <w:rPr>
                <w:rFonts w:hint="eastAsia" w:ascii="宋体"/>
                <w:color w:val="0D0D0D" w:themeColor="text1" w:themeTint="F2"/>
                <w14:textFill>
                  <w14:solidFill>
                    <w14:schemeClr w14:val="tx1">
                      <w14:lumMod w14:val="95000"/>
                      <w14:lumOff w14:val="5000"/>
                    </w14:schemeClr>
                  </w14:solidFill>
                </w14:textFill>
              </w:rPr>
              <w:t>/d，目前实际处理能力为</w:t>
            </w:r>
            <w:r>
              <w:rPr>
                <w:rFonts w:ascii="宋体"/>
                <w:color w:val="0D0D0D" w:themeColor="text1" w:themeTint="F2"/>
                <w14:textFill>
                  <w14:solidFill>
                    <w14:schemeClr w14:val="tx1">
                      <w14:lumMod w14:val="95000"/>
                      <w14:lumOff w14:val="5000"/>
                    </w14:schemeClr>
                  </w14:solidFill>
                </w14:textFill>
              </w:rPr>
              <w:t>400</w:t>
            </w:r>
            <w:r>
              <w:rPr>
                <w:rFonts w:hint="eastAsia" w:ascii="宋体"/>
                <w:color w:val="0D0D0D" w:themeColor="text1" w:themeTint="F2"/>
                <w14:textFill>
                  <w14:solidFill>
                    <w14:schemeClr w14:val="tx1">
                      <w14:lumMod w14:val="95000"/>
                      <w14:lumOff w14:val="5000"/>
                    </w14:schemeClr>
                  </w14:solidFill>
                </w14:textFill>
              </w:rPr>
              <w:t>m</w:t>
            </w:r>
            <w:r>
              <w:rPr>
                <w:rFonts w:hint="eastAsia" w:ascii="宋体"/>
                <w:color w:val="0D0D0D" w:themeColor="text1" w:themeTint="F2"/>
                <w:vertAlign w:val="superscript"/>
                <w14:textFill>
                  <w14:solidFill>
                    <w14:schemeClr w14:val="tx1">
                      <w14:lumMod w14:val="95000"/>
                      <w14:lumOff w14:val="5000"/>
                    </w14:schemeClr>
                  </w14:solidFill>
                </w14:textFill>
              </w:rPr>
              <w:t>3</w:t>
            </w:r>
            <w:r>
              <w:rPr>
                <w:rFonts w:hint="eastAsia" w:ascii="宋体"/>
                <w:color w:val="0D0D0D" w:themeColor="text1" w:themeTint="F2"/>
                <w14:textFill>
                  <w14:solidFill>
                    <w14:schemeClr w14:val="tx1">
                      <w14:lumMod w14:val="95000"/>
                      <w14:lumOff w14:val="5000"/>
                    </w14:schemeClr>
                  </w14:solidFill>
                </w14:textFill>
              </w:rPr>
              <w:t>/d，富余</w:t>
            </w:r>
            <w:r>
              <w:rPr>
                <w:rFonts w:ascii="宋体"/>
                <w:color w:val="0D0D0D" w:themeColor="text1" w:themeTint="F2"/>
                <w14:textFill>
                  <w14:solidFill>
                    <w14:schemeClr w14:val="tx1">
                      <w14:lumMod w14:val="95000"/>
                      <w14:lumOff w14:val="5000"/>
                    </w14:schemeClr>
                  </w14:solidFill>
                </w14:textFill>
              </w:rPr>
              <w:t>600</w:t>
            </w:r>
            <w:r>
              <w:rPr>
                <w:rFonts w:hint="eastAsia" w:ascii="宋体"/>
                <w:color w:val="0D0D0D" w:themeColor="text1" w:themeTint="F2"/>
                <w14:textFill>
                  <w14:solidFill>
                    <w14:schemeClr w14:val="tx1">
                      <w14:lumMod w14:val="95000"/>
                      <w14:lumOff w14:val="5000"/>
                    </w14:schemeClr>
                  </w14:solidFill>
                </w14:textFill>
              </w:rPr>
              <w:t>m</w:t>
            </w:r>
            <w:r>
              <w:rPr>
                <w:rFonts w:hint="eastAsia" w:ascii="宋体"/>
                <w:color w:val="0D0D0D" w:themeColor="text1" w:themeTint="F2"/>
                <w:vertAlign w:val="superscript"/>
                <w14:textFill>
                  <w14:solidFill>
                    <w14:schemeClr w14:val="tx1">
                      <w14:lumMod w14:val="95000"/>
                      <w14:lumOff w14:val="5000"/>
                    </w14:schemeClr>
                  </w14:solidFill>
                </w14:textFill>
              </w:rPr>
              <w:t>3</w:t>
            </w:r>
            <w:r>
              <w:rPr>
                <w:rFonts w:hint="eastAsia" w:ascii="宋体"/>
                <w:color w:val="0D0D0D" w:themeColor="text1" w:themeTint="F2"/>
                <w14:textFill>
                  <w14:solidFill>
                    <w14:schemeClr w14:val="tx1">
                      <w14:lumMod w14:val="95000"/>
                      <w14:lumOff w14:val="5000"/>
                    </w14:schemeClr>
                  </w14:solidFill>
                </w14:textFill>
              </w:rPr>
              <w:t>/d。本项目洗井废水产生量为6</w:t>
            </w:r>
            <w:r>
              <w:rPr>
                <w:rFonts w:ascii="宋体"/>
                <w:color w:val="0D0D0D" w:themeColor="text1" w:themeTint="F2"/>
                <w14:textFill>
                  <w14:solidFill>
                    <w14:schemeClr w14:val="tx1">
                      <w14:lumMod w14:val="95000"/>
                      <w14:lumOff w14:val="5000"/>
                    </w14:schemeClr>
                  </w14:solidFill>
                </w14:textFill>
              </w:rPr>
              <w:t>0</w:t>
            </w:r>
            <w:r>
              <w:rPr>
                <w:rFonts w:hint="eastAsia" w:ascii="宋体"/>
                <w:color w:val="0D0D0D" w:themeColor="text1" w:themeTint="F2"/>
                <w14:textFill>
                  <w14:solidFill>
                    <w14:schemeClr w14:val="tx1">
                      <w14:lumMod w14:val="95000"/>
                      <w14:lumOff w14:val="5000"/>
                    </w14:schemeClr>
                  </w14:solidFill>
                </w14:textFill>
              </w:rPr>
              <w:t>0</w:t>
            </w:r>
            <w:r>
              <w:rPr>
                <w:rFonts w:ascii="宋体"/>
                <w:color w:val="0D0D0D" w:themeColor="text1" w:themeTint="F2"/>
                <w14:textFill>
                  <w14:solidFill>
                    <w14:schemeClr w14:val="tx1">
                      <w14:lumMod w14:val="95000"/>
                      <w14:lumOff w14:val="5000"/>
                    </w14:schemeClr>
                  </w14:solidFill>
                </w14:textFill>
              </w:rPr>
              <w:t>m</w:t>
            </w:r>
            <w:r>
              <w:rPr>
                <w:rFonts w:ascii="宋体"/>
                <w:color w:val="0D0D0D" w:themeColor="text1" w:themeTint="F2"/>
                <w:vertAlign w:val="superscript"/>
                <w14:textFill>
                  <w14:solidFill>
                    <w14:schemeClr w14:val="tx1">
                      <w14:lumMod w14:val="95000"/>
                      <w14:lumOff w14:val="5000"/>
                    </w14:schemeClr>
                  </w14:solidFill>
                </w14:textFill>
              </w:rPr>
              <w:t>3</w:t>
            </w:r>
            <w:r>
              <w:rPr>
                <w:rFonts w:hint="eastAsia" w:ascii="宋体"/>
                <w:color w:val="0D0D0D" w:themeColor="text1" w:themeTint="F2"/>
                <w14:textFill>
                  <w14:solidFill>
                    <w14:schemeClr w14:val="tx1">
                      <w14:lumMod w14:val="95000"/>
                      <w14:lumOff w14:val="5000"/>
                    </w14:schemeClr>
                  </w14:solidFill>
                </w14:textFill>
              </w:rPr>
              <w:t>、压裂返排液产生量约400</w:t>
            </w:r>
            <w:r>
              <w:rPr>
                <w:rFonts w:ascii="宋体"/>
                <w:color w:val="0D0D0D" w:themeColor="text1" w:themeTint="F2"/>
                <w14:textFill>
                  <w14:solidFill>
                    <w14:schemeClr w14:val="tx1">
                      <w14:lumMod w14:val="95000"/>
                      <w14:lumOff w14:val="5000"/>
                    </w14:schemeClr>
                  </w14:solidFill>
                </w14:textFill>
              </w:rPr>
              <w:t>m</w:t>
            </w:r>
            <w:r>
              <w:rPr>
                <w:rFonts w:ascii="宋体"/>
                <w:color w:val="0D0D0D" w:themeColor="text1" w:themeTint="F2"/>
                <w:vertAlign w:val="superscript"/>
                <w14:textFill>
                  <w14:solidFill>
                    <w14:schemeClr w14:val="tx1">
                      <w14:lumMod w14:val="95000"/>
                      <w14:lumOff w14:val="5000"/>
                    </w14:schemeClr>
                  </w14:solidFill>
                </w14:textFill>
              </w:rPr>
              <w:t>3</w:t>
            </w:r>
            <w:r>
              <w:rPr>
                <w:rFonts w:hint="eastAsia" w:ascii="宋体"/>
                <w:color w:val="0D0D0D" w:themeColor="text1" w:themeTint="F2"/>
                <w14:textFill>
                  <w14:solidFill>
                    <w14:schemeClr w14:val="tx1">
                      <w14:lumMod w14:val="95000"/>
                      <w14:lumOff w14:val="5000"/>
                    </w14:schemeClr>
                  </w14:solidFill>
                </w14:textFill>
              </w:rPr>
              <w:t>。</w:t>
            </w:r>
            <w:r>
              <w:rPr>
                <w:rFonts w:hint="eastAsia" w:cs="宋体" w:asciiTheme="minorEastAsia" w:hAnsiTheme="minorEastAsia" w:eastAsiaTheme="minorEastAsia"/>
                <w:color w:val="0D0D0D" w:themeColor="text1" w:themeTint="F2"/>
                <w:spacing w:val="-6"/>
                <w14:textFill>
                  <w14:solidFill>
                    <w14:schemeClr w14:val="tx1">
                      <w14:lumMod w14:val="95000"/>
                      <w14:lumOff w14:val="5000"/>
                    </w14:schemeClr>
                  </w14:solidFill>
                </w14:textFill>
              </w:rPr>
              <w:t>根据实际生产经验数据，洗井及压裂作业大约持续10天，试油期间洗井废水和压裂返排液产生量约为100m</w:t>
            </w:r>
            <w:r>
              <w:rPr>
                <w:rFonts w:hint="eastAsia" w:cs="宋体" w:asciiTheme="minorEastAsia" w:hAnsiTheme="minorEastAsia" w:eastAsiaTheme="minorEastAsia"/>
                <w:color w:val="0D0D0D" w:themeColor="text1" w:themeTint="F2"/>
                <w:spacing w:val="-6"/>
                <w:vertAlign w:val="superscript"/>
                <w14:textFill>
                  <w14:solidFill>
                    <w14:schemeClr w14:val="tx1">
                      <w14:lumMod w14:val="95000"/>
                      <w14:lumOff w14:val="5000"/>
                    </w14:schemeClr>
                  </w14:solidFill>
                </w14:textFill>
              </w:rPr>
              <w:t>3</w:t>
            </w:r>
            <w:r>
              <w:rPr>
                <w:rFonts w:hint="eastAsia" w:cs="宋体" w:asciiTheme="minorEastAsia" w:hAnsiTheme="minorEastAsia" w:eastAsiaTheme="minorEastAsia"/>
                <w:color w:val="0D0D0D" w:themeColor="text1" w:themeTint="F2"/>
                <w:spacing w:val="-6"/>
                <w14:textFill>
                  <w14:solidFill>
                    <w14:schemeClr w14:val="tx1">
                      <w14:lumMod w14:val="95000"/>
                      <w14:lumOff w14:val="5000"/>
                    </w14:schemeClr>
                  </w14:solidFill>
                </w14:textFill>
              </w:rPr>
              <w:t>/d</w:t>
            </w:r>
            <w:r>
              <w:rPr>
                <w:rFonts w:hint="eastAsia" w:asciiTheme="minorEastAsia" w:hAnsiTheme="minorEastAsia" w:eastAsiaTheme="minorEastAsia"/>
                <w:color w:val="0D0D0D" w:themeColor="text1" w:themeTint="F2"/>
                <w14:textFill>
                  <w14:solidFill>
                    <w14:schemeClr w14:val="tx1">
                      <w14:lumMod w14:val="95000"/>
                      <w14:lumOff w14:val="5000"/>
                    </w14:schemeClr>
                  </w14:solidFill>
                </w14:textFill>
              </w:rPr>
              <w:t>，</w:t>
            </w:r>
            <w:r>
              <w:rPr>
                <w:rFonts w:hint="eastAsia" w:asciiTheme="minorEastAsia" w:hAnsiTheme="minorEastAsia" w:eastAsiaTheme="minorEastAsia"/>
                <w:color w:val="0D0D0D" w:themeColor="text1" w:themeTint="F2"/>
                <w:kern w:val="2"/>
                <w14:textFill>
                  <w14:solidFill>
                    <w14:schemeClr w14:val="tx1">
                      <w14:lumMod w14:val="95000"/>
                      <w14:lumOff w14:val="5000"/>
                    </w14:schemeClr>
                  </w14:solidFill>
                </w14:textFill>
              </w:rPr>
              <w:t>车89集中处理站采出水处理系统富余处理能力可以满足本项目需求，依托可行。</w:t>
            </w:r>
          </w:p>
          <w:bookmarkEnd w:id="27"/>
          <w:bookmarkEnd w:id="28"/>
          <w:p w14:paraId="15E892BD">
            <w:pPr>
              <w:widowControl/>
              <w:tabs>
                <w:tab w:val="left" w:pos="4584"/>
              </w:tabs>
              <w:adjustRightInd w:val="0"/>
              <w:snapToGrid w:val="0"/>
              <w:spacing w:line="500" w:lineRule="exact"/>
              <w:ind w:firstLine="480" w:firstLineChars="200"/>
              <w:rPr>
                <w:rFonts w:hint="eastAsia" w:ascii="宋体" w:hAnsi="宋体" w:cs="宋体"/>
                <w:bCs/>
                <w:color w:val="0D0D0D" w:themeColor="text1" w:themeTint="F2"/>
                <w:lang w:bidi="zh-CN"/>
                <w14:textFill>
                  <w14:solidFill>
                    <w14:schemeClr w14:val="tx1">
                      <w14:lumMod w14:val="95000"/>
                      <w14:lumOff w14:val="5000"/>
                    </w14:schemeClr>
                  </w14:solidFill>
                </w14:textFill>
              </w:rPr>
            </w:pPr>
            <w:r>
              <w:rPr>
                <w:rFonts w:hint="eastAsia" w:cs="宋体"/>
                <w:color w:val="0D0D0D" w:themeColor="text1" w:themeTint="F2"/>
                <w14:textFill>
                  <w14:solidFill>
                    <w14:schemeClr w14:val="tx1">
                      <w14:lumMod w14:val="95000"/>
                      <w14:lumOff w14:val="5000"/>
                    </w14:schemeClr>
                  </w14:solidFill>
                </w14:textFill>
              </w:rPr>
              <w:t>采取上述措施后，施工期产生的废水及采出液均得到妥善处置，不会对地表水环境产生不利影响。</w:t>
            </w:r>
          </w:p>
          <w:bookmarkEnd w:id="21"/>
          <w:p w14:paraId="002AAD31">
            <w:pPr>
              <w:widowControl/>
              <w:tabs>
                <w:tab w:val="left" w:pos="4584"/>
              </w:tabs>
              <w:adjustRightInd w:val="0"/>
              <w:snapToGrid w:val="0"/>
              <w:spacing w:line="500" w:lineRule="exact"/>
              <w:ind w:firstLine="474" w:firstLineChars="200"/>
              <w:jc w:val="left"/>
              <w:rPr>
                <w:rFonts w:hint="eastAsia" w:ascii="宋体" w:hAnsi="宋体" w:cs="宋体"/>
                <w:b/>
                <w:bCs/>
                <w:color w:val="0D0D0D" w:themeColor="text1" w:themeTint="F2"/>
                <w:spacing w:val="-2"/>
                <w14:textFill>
                  <w14:solidFill>
                    <w14:schemeClr w14:val="tx1">
                      <w14:lumMod w14:val="95000"/>
                      <w14:lumOff w14:val="5000"/>
                    </w14:schemeClr>
                  </w14:solidFill>
                </w14:textFill>
              </w:rPr>
            </w:pPr>
            <w:r>
              <w:rPr>
                <w:rFonts w:hint="eastAsia" w:ascii="宋体" w:hAnsi="宋体" w:cs="宋体"/>
                <w:b/>
                <w:bCs/>
                <w:color w:val="0D0D0D" w:themeColor="text1" w:themeTint="F2"/>
                <w:spacing w:val="-2"/>
                <w:lang w:eastAsia="zh-CN"/>
                <w14:textFill>
                  <w14:solidFill>
                    <w14:schemeClr w14:val="tx1">
                      <w14:lumMod w14:val="95000"/>
                      <w14:lumOff w14:val="5000"/>
                    </w14:schemeClr>
                  </w14:solidFill>
                </w14:textFill>
              </w:rPr>
              <w:t>6.</w:t>
            </w:r>
            <w:r>
              <w:rPr>
                <w:rFonts w:hint="eastAsia" w:ascii="宋体" w:hAnsi="宋体" w:cs="宋体"/>
                <w:b/>
                <w:bCs/>
                <w:color w:val="0D0D0D" w:themeColor="text1" w:themeTint="F2"/>
                <w:spacing w:val="-2"/>
                <w14:textFill>
                  <w14:solidFill>
                    <w14:schemeClr w14:val="tx1">
                      <w14:lumMod w14:val="95000"/>
                      <w14:lumOff w14:val="5000"/>
                    </w14:schemeClr>
                  </w14:solidFill>
                </w14:textFill>
              </w:rPr>
              <w:t>地下水和土壤环境保护措施</w:t>
            </w:r>
          </w:p>
          <w:p w14:paraId="0042D871">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1）施工期间钻井井场分为重点防渗区、一般防渗区和简单防渗区。其中柴油储罐、发电房、废料场、不落地系统、钻井液储罐区、岩屑储罐区、钻井井口、危险废物贮存点和应急放喷池（应急放喷池仅在事故状态下开挖）区域为重点防渗区，采用防渗膜进行防渗，防渗层防渗性能不应低于6.0m厚渗透系数不大于10</w:t>
            </w:r>
            <w:r>
              <w:rPr>
                <w:rFonts w:hint="eastAsia"/>
                <w:color w:val="0D0D0D" w:themeColor="text1" w:themeTint="F2"/>
                <w:lang w:eastAsia="zh-CN"/>
                <w14:textFill>
                  <w14:solidFill>
                    <w14:schemeClr w14:val="tx1">
                      <w14:lumMod w14:val="95000"/>
                      <w14:lumOff w14:val="5000"/>
                    </w14:schemeClr>
                  </w14:solidFill>
                </w14:textFill>
              </w:rPr>
              <w:t>—</w:t>
            </w:r>
            <w:r>
              <w:rPr>
                <w:rFonts w:hint="eastAsia"/>
                <w:color w:val="0D0D0D" w:themeColor="text1" w:themeTint="F2"/>
                <w:vertAlign w:val="superscript"/>
                <w14:textFill>
                  <w14:solidFill>
                    <w14:schemeClr w14:val="tx1">
                      <w14:lumMod w14:val="95000"/>
                      <w14:lumOff w14:val="5000"/>
                    </w14:schemeClr>
                  </w14:solidFill>
                </w14:textFill>
              </w:rPr>
              <w:t>10</w:t>
            </w:r>
            <w:r>
              <w:rPr>
                <w:rFonts w:hint="eastAsia"/>
                <w:color w:val="0D0D0D" w:themeColor="text1" w:themeTint="F2"/>
                <w14:textFill>
                  <w14:solidFill>
                    <w14:schemeClr w14:val="tx1">
                      <w14:lumMod w14:val="95000"/>
                      <w14:lumOff w14:val="5000"/>
                    </w14:schemeClr>
                  </w14:solidFill>
                </w14:textFill>
              </w:rPr>
              <w:t>cm/s的黏土的防渗性能；化工爬犁、材料爬犁、材料房和生活污水收集池区域为一般防渗区，防渗层防渗性能不应低于1.5m厚渗透系数不大于10</w:t>
            </w:r>
            <w:r>
              <w:rPr>
                <w:rFonts w:hint="eastAsia"/>
                <w:color w:val="0D0D0D" w:themeColor="text1" w:themeTint="F2"/>
                <w:lang w:eastAsia="zh-CN"/>
                <w14:textFill>
                  <w14:solidFill>
                    <w14:schemeClr w14:val="tx1">
                      <w14:lumMod w14:val="95000"/>
                      <w14:lumOff w14:val="5000"/>
                    </w14:schemeClr>
                  </w14:solidFill>
                </w14:textFill>
              </w:rPr>
              <w:t>—</w:t>
            </w:r>
            <w:r>
              <w:rPr>
                <w:rFonts w:hint="eastAsia"/>
                <w:color w:val="0D0D0D" w:themeColor="text1" w:themeTint="F2"/>
                <w:vertAlign w:val="superscript"/>
                <w14:textFill>
                  <w14:solidFill>
                    <w14:schemeClr w14:val="tx1">
                      <w14:lumMod w14:val="95000"/>
                      <w14:lumOff w14:val="5000"/>
                    </w14:schemeClr>
                  </w14:solidFill>
                </w14:textFill>
              </w:rPr>
              <w:t>7</w:t>
            </w:r>
            <w:r>
              <w:rPr>
                <w:rFonts w:hint="eastAsia"/>
                <w:color w:val="0D0D0D" w:themeColor="text1" w:themeTint="F2"/>
                <w14:textFill>
                  <w14:solidFill>
                    <w14:schemeClr w14:val="tx1">
                      <w14:lumMod w14:val="95000"/>
                      <w14:lumOff w14:val="5000"/>
                    </w14:schemeClr>
                  </w14:solidFill>
                </w14:textFill>
              </w:rPr>
              <w:t>cm/s的黏土的防渗性能；水罐区、地质房、录井房和值班房等其他区域为简单防渗区。</w:t>
            </w:r>
          </w:p>
          <w:p w14:paraId="49C04DB9">
            <w:pPr>
              <w:pStyle w:val="37"/>
              <w:ind w:firstLine="482"/>
              <w:rPr>
                <w:rFonts w:hint="eastAsia"/>
                <w:b/>
                <w:bCs/>
                <w:color w:val="0D0D0D" w:themeColor="text1" w:themeTint="F2"/>
                <w14:textFill>
                  <w14:solidFill>
                    <w14:schemeClr w14:val="tx1">
                      <w14:lumMod w14:val="95000"/>
                      <w14:lumOff w14:val="5000"/>
                    </w14:schemeClr>
                  </w14:solidFill>
                </w14:textFill>
              </w:rPr>
            </w:pPr>
            <w:r>
              <w:rPr>
                <w:rFonts w:hint="eastAsia"/>
                <w:b/>
                <w:bCs/>
                <w:color w:val="0D0D0D" w:themeColor="text1" w:themeTint="F2"/>
                <w:lang w:eastAsia="zh-CN"/>
                <w14:textFill>
                  <w14:solidFill>
                    <w14:schemeClr w14:val="tx1">
                      <w14:lumMod w14:val="95000"/>
                      <w14:lumOff w14:val="5000"/>
                    </w14:schemeClr>
                  </w14:solidFill>
                </w14:textFill>
              </w:rPr>
              <w:t>7.</w:t>
            </w:r>
            <w:r>
              <w:rPr>
                <w:rFonts w:hint="eastAsia"/>
                <w:b/>
                <w:bCs/>
                <w:color w:val="0D0D0D" w:themeColor="text1" w:themeTint="F2"/>
                <w14:textFill>
                  <w14:solidFill>
                    <w14:schemeClr w14:val="tx1">
                      <w14:lumMod w14:val="95000"/>
                      <w14:lumOff w14:val="5000"/>
                    </w14:schemeClr>
                  </w14:solidFill>
                </w14:textFill>
              </w:rPr>
              <w:t>噪声污染防治措施</w:t>
            </w:r>
          </w:p>
          <w:p w14:paraId="717283CD">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施工机械采用低噪声设备；加强设备维护及保养，对噪声较大的设备采取基础减振措施；加强施工场地管理，合理疏导进入施工区的车辆，禁止运输车辆随意高声鸣笛。在采取上述措施后，施工噪声不会对区域声环境产生明显影响。</w:t>
            </w:r>
          </w:p>
          <w:p w14:paraId="51374842">
            <w:pPr>
              <w:snapToGrid w:val="0"/>
              <w:spacing w:line="500" w:lineRule="exact"/>
              <w:ind w:firstLine="482" w:firstLineChars="200"/>
              <w:rPr>
                <w:rFonts w:hint="eastAsia" w:ascii="宋体" w:hAnsi="宋体" w:cs="宋体"/>
                <w:b/>
                <w:bCs/>
                <w:color w:val="0D0D0D" w:themeColor="text1" w:themeTint="F2"/>
                <w14:textFill>
                  <w14:solidFill>
                    <w14:schemeClr w14:val="tx1">
                      <w14:lumMod w14:val="95000"/>
                      <w14:lumOff w14:val="5000"/>
                    </w14:schemeClr>
                  </w14:solidFill>
                </w14:textFill>
              </w:rPr>
            </w:pPr>
            <w:bookmarkStart w:id="29" w:name="_Hlk183349956"/>
            <w:bookmarkStart w:id="30" w:name="_Hlk143015311"/>
            <w:bookmarkStart w:id="31" w:name="_Hlk136795812"/>
            <w:r>
              <w:rPr>
                <w:rFonts w:hint="eastAsia" w:ascii="宋体" w:hAnsi="宋体" w:cs="宋体"/>
                <w:b/>
                <w:bCs/>
                <w:color w:val="0D0D0D" w:themeColor="text1" w:themeTint="F2"/>
                <w:lang w:eastAsia="zh-CN" w:bidi="ar"/>
                <w14:textFill>
                  <w14:solidFill>
                    <w14:schemeClr w14:val="tx1">
                      <w14:lumMod w14:val="95000"/>
                      <w14:lumOff w14:val="5000"/>
                    </w14:schemeClr>
                  </w14:solidFill>
                </w14:textFill>
              </w:rPr>
              <w:t>8.</w:t>
            </w:r>
            <w:r>
              <w:rPr>
                <w:rFonts w:hint="eastAsia" w:ascii="宋体" w:hAnsi="宋体" w:cs="宋体"/>
                <w:b/>
                <w:bCs/>
                <w:color w:val="0D0D0D" w:themeColor="text1" w:themeTint="F2"/>
                <w:lang w:bidi="ar"/>
                <w14:textFill>
                  <w14:solidFill>
                    <w14:schemeClr w14:val="tx1">
                      <w14:lumMod w14:val="95000"/>
                      <w14:lumOff w14:val="5000"/>
                    </w14:schemeClr>
                  </w14:solidFill>
                </w14:textFill>
              </w:rPr>
              <w:t>固体废物处置措施</w:t>
            </w:r>
          </w:p>
          <w:bookmarkEnd w:id="29"/>
          <w:p w14:paraId="50DBDE52">
            <w:pPr>
              <w:pStyle w:val="37"/>
              <w:ind w:firstLine="480"/>
              <w:rPr>
                <w:rFonts w:hint="eastAsia"/>
                <w:color w:val="0D0D0D" w:themeColor="text1" w:themeTint="F2"/>
                <w14:textFill>
                  <w14:solidFill>
                    <w14:schemeClr w14:val="tx1">
                      <w14:lumMod w14:val="95000"/>
                      <w14:lumOff w14:val="5000"/>
                    </w14:schemeClr>
                  </w14:solidFill>
                </w14:textFill>
              </w:rPr>
            </w:pPr>
            <w:bookmarkStart w:id="32" w:name="_Hlk183355720"/>
            <w:r>
              <w:rPr>
                <w:rFonts w:hint="eastAsia"/>
                <w:color w:val="0D0D0D" w:themeColor="text1" w:themeTint="F2"/>
                <w14:textFill>
                  <w14:solidFill>
                    <w14:schemeClr w14:val="tx1">
                      <w14:lumMod w14:val="95000"/>
                      <w14:lumOff w14:val="5000"/>
                    </w14:schemeClr>
                  </w14:solidFill>
                </w14:textFill>
              </w:rPr>
              <w:t>固体废物主要为生活垃圾、建筑垃圾、水基钻井岩屑、油基钻井岩屑、废防渗材料、废润滑油及废润滑油桶。</w:t>
            </w:r>
          </w:p>
          <w:p w14:paraId="1DECE188">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lang w:bidi="ar"/>
                <w14:textFill>
                  <w14:solidFill>
                    <w14:schemeClr w14:val="tx1">
                      <w14:lumMod w14:val="95000"/>
                      <w14:lumOff w14:val="5000"/>
                    </w14:schemeClr>
                  </w14:solidFill>
                </w14:textFill>
              </w:rPr>
              <w:t>（1）水基钻井岩屑</w:t>
            </w:r>
          </w:p>
          <w:p w14:paraId="411DE46D">
            <w:pPr>
              <w:pStyle w:val="26"/>
              <w:snapToGrid w:val="0"/>
              <w:spacing w:before="0" w:beforeAutospacing="0" w:after="0" w:afterAutospacing="0" w:line="500" w:lineRule="exact"/>
              <w:jc w:val="both"/>
              <w:rPr>
                <w:rFonts w:hint="eastAsia" w:ascii="黑体" w:eastAsia="黑体" w:cs="黑体"/>
                <w:color w:val="0D0D0D" w:themeColor="text1" w:themeTint="F2"/>
                <w:sz w:val="21"/>
                <w:szCs w:val="21"/>
                <w14:textFill>
                  <w14:solidFill>
                    <w14:schemeClr w14:val="tx1">
                      <w14:lumMod w14:val="95000"/>
                      <w14:lumOff w14:val="5000"/>
                    </w14:schemeClr>
                  </w14:solidFill>
                </w14:textFill>
              </w:rPr>
            </w:pPr>
            <w:bookmarkStart w:id="33" w:name="_Hlk183357572"/>
            <w:r>
              <w:rPr>
                <w:rFonts w:hint="eastAsia"/>
                <w:color w:val="0D0D0D" w:themeColor="text1" w:themeTint="F2"/>
                <w14:textFill>
                  <w14:solidFill>
                    <w14:schemeClr w14:val="tx1">
                      <w14:lumMod w14:val="95000"/>
                      <w14:lumOff w14:val="5000"/>
                    </w14:schemeClr>
                  </w14:solidFill>
                </w14:textFill>
              </w:rPr>
              <w:t>一开钻井采用水基钻井液，钻井时井筒返排的钻井液及岩屑经不落地设备分离，分离出的液相循环使用，分离出的水基钻井岩屑暂存于水基钻井岩屑方罐中</w:t>
            </w:r>
            <w:bookmarkStart w:id="34" w:name="_Hlk69139413"/>
            <w:r>
              <w:rPr>
                <w:rFonts w:hint="eastAsia"/>
                <w:color w:val="0D0D0D" w:themeColor="text1" w:themeTint="F2"/>
                <w14:textFill>
                  <w14:solidFill>
                    <w14:schemeClr w14:val="tx1">
                      <w14:lumMod w14:val="95000"/>
                      <w14:lumOff w14:val="5000"/>
                    </w14:schemeClr>
                  </w14:solidFill>
                </w14:textFill>
              </w:rPr>
              <w:t>，并及时清运，水基钻井岩屑属于一般工业固体废物，根据</w:t>
            </w:r>
            <w:r>
              <w:rPr>
                <w:rFonts w:hint="eastAsia"/>
                <w:color w:val="0D0D0D" w:themeColor="text1" w:themeTint="F2"/>
                <w:lang w:eastAsia="zh-CN"/>
                <w14:textFill>
                  <w14:solidFill>
                    <w14:schemeClr w14:val="tx1">
                      <w14:lumMod w14:val="95000"/>
                      <w14:lumOff w14:val="5000"/>
                    </w14:schemeClr>
                  </w14:solidFill>
                </w14:textFill>
              </w:rPr>
              <w:t>《固体废物分类与代码目录（2024年）》</w:t>
            </w:r>
            <w:r>
              <w:rPr>
                <w:rFonts w:hint="eastAsia"/>
                <w:color w:val="0D0D0D" w:themeColor="text1" w:themeTint="F2"/>
                <w14:textFill>
                  <w14:solidFill>
                    <w14:schemeClr w14:val="tx1">
                      <w14:lumMod w14:val="95000"/>
                      <w14:lumOff w14:val="5000"/>
                    </w14:schemeClr>
                  </w14:solidFill>
                </w14:textFill>
              </w:rPr>
              <w:t>，水基钻井岩屑废物种类为SW12钻井岩屑（废物代码：071-001-S12）。拉运至岩屑处置点的水基钻井岩屑由岩屑处置单位委托具有相应的检测资质的检测机构进行取样检测，水基钻井岩屑中的各污染物浓度均满足《油气田钻井固体废物综合利用污染控制要求》</w:t>
            </w:r>
            <w:r>
              <w:rPr>
                <w:rFonts w:hint="eastAsia"/>
                <w:color w:val="0D0D0D" w:themeColor="text1" w:themeTint="F2"/>
                <w:lang w:eastAsia="zh-CN"/>
                <w14:textFill>
                  <w14:solidFill>
                    <w14:schemeClr w14:val="tx1">
                      <w14:lumMod w14:val="95000"/>
                      <w14:lumOff w14:val="5000"/>
                    </w14:schemeClr>
                  </w14:solidFill>
                </w14:textFill>
              </w:rPr>
              <w:t>（</w:t>
            </w:r>
            <w:r>
              <w:rPr>
                <w:rFonts w:hint="eastAsia"/>
                <w:color w:val="0D0D0D" w:themeColor="text1" w:themeTint="F2"/>
                <w14:textFill>
                  <w14:solidFill>
                    <w14:schemeClr w14:val="tx1">
                      <w14:lumMod w14:val="95000"/>
                      <w14:lumOff w14:val="5000"/>
                    </w14:schemeClr>
                  </w14:solidFill>
                </w14:textFill>
              </w:rPr>
              <w:t>DB6/T3997-2017</w:t>
            </w:r>
            <w:r>
              <w:rPr>
                <w:rFonts w:hint="eastAsia"/>
                <w:color w:val="0D0D0D" w:themeColor="text1" w:themeTint="F2"/>
                <w:lang w:eastAsia="zh-CN"/>
                <w14:textFill>
                  <w14:solidFill>
                    <w14:schemeClr w14:val="tx1">
                      <w14:lumMod w14:val="95000"/>
                      <w14:lumOff w14:val="5000"/>
                    </w14:schemeClr>
                  </w14:solidFill>
                </w14:textFill>
              </w:rPr>
              <w:t>）</w:t>
            </w:r>
            <w:r>
              <w:rPr>
                <w:rFonts w:hint="eastAsia"/>
                <w:color w:val="0D0D0D" w:themeColor="text1" w:themeTint="F2"/>
                <w14:textFill>
                  <w14:solidFill>
                    <w14:schemeClr w14:val="tx1">
                      <w14:lumMod w14:val="95000"/>
                      <w14:lumOff w14:val="5000"/>
                    </w14:schemeClr>
                  </w14:solidFill>
                </w14:textFill>
              </w:rPr>
              <w:t>后由岩屑处置单位直接拉运综合利用。</w:t>
            </w:r>
            <w:bookmarkEnd w:id="33"/>
            <w:bookmarkEnd w:id="34"/>
            <w:r>
              <w:rPr>
                <w:rFonts w:hint="eastAsia"/>
                <w:color w:val="0D0D0D" w:themeColor="text1" w:themeTint="F2"/>
                <w14:textFill>
                  <w14:solidFill>
                    <w14:schemeClr w14:val="tx1">
                      <w14:lumMod w14:val="95000"/>
                      <w14:lumOff w14:val="5000"/>
                    </w14:schemeClr>
                  </w14:solidFill>
                </w14:textFill>
              </w:rPr>
              <w:t>若不满足《油气田钻井固体废物综合利用污染控制要求》</w:t>
            </w:r>
            <w:r>
              <w:rPr>
                <w:rFonts w:hint="eastAsia"/>
                <w:color w:val="0D0D0D" w:themeColor="text1" w:themeTint="F2"/>
                <w:lang w:eastAsia="zh-CN"/>
                <w14:textFill>
                  <w14:solidFill>
                    <w14:schemeClr w14:val="tx1">
                      <w14:lumMod w14:val="95000"/>
                      <w14:lumOff w14:val="5000"/>
                    </w14:schemeClr>
                  </w14:solidFill>
                </w14:textFill>
              </w:rPr>
              <w:t>（</w:t>
            </w:r>
            <w:r>
              <w:rPr>
                <w:rFonts w:hint="eastAsia"/>
                <w:color w:val="0D0D0D" w:themeColor="text1" w:themeTint="F2"/>
                <w14:textFill>
                  <w14:solidFill>
                    <w14:schemeClr w14:val="tx1">
                      <w14:lumMod w14:val="95000"/>
                      <w14:lumOff w14:val="5000"/>
                    </w14:schemeClr>
                  </w14:solidFill>
                </w14:textFill>
              </w:rPr>
              <w:t>DB6/T3997-2017</w:t>
            </w:r>
            <w:r>
              <w:rPr>
                <w:rFonts w:hint="eastAsia"/>
                <w:color w:val="0D0D0D" w:themeColor="text1" w:themeTint="F2"/>
                <w:lang w:eastAsia="zh-CN"/>
                <w14:textFill>
                  <w14:solidFill>
                    <w14:schemeClr w14:val="tx1">
                      <w14:lumMod w14:val="95000"/>
                      <w14:lumOff w14:val="5000"/>
                    </w14:schemeClr>
                  </w14:solidFill>
                </w14:textFill>
              </w:rPr>
              <w:t>）</w:t>
            </w:r>
            <w:r>
              <w:rPr>
                <w:rFonts w:hint="eastAsia"/>
                <w:color w:val="0D0D0D" w:themeColor="text1" w:themeTint="F2"/>
                <w14:textFill>
                  <w14:solidFill>
                    <w14:schemeClr w14:val="tx1">
                      <w14:lumMod w14:val="95000"/>
                      <w14:lumOff w14:val="5000"/>
                    </w14:schemeClr>
                  </w14:solidFill>
                </w14:textFill>
              </w:rPr>
              <w:t>相关标准限值要求，则由岩屑处置单位进行进一步处置，直至各污染物浓度均满足《油气田钻井固体废物综合利用污染控制要求》</w:t>
            </w:r>
            <w:r>
              <w:rPr>
                <w:rFonts w:hint="eastAsia"/>
                <w:color w:val="0D0D0D" w:themeColor="text1" w:themeTint="F2"/>
                <w:lang w:eastAsia="zh-CN"/>
                <w14:textFill>
                  <w14:solidFill>
                    <w14:schemeClr w14:val="tx1">
                      <w14:lumMod w14:val="95000"/>
                      <w14:lumOff w14:val="5000"/>
                    </w14:schemeClr>
                  </w14:solidFill>
                </w14:textFill>
              </w:rPr>
              <w:t>（</w:t>
            </w:r>
            <w:r>
              <w:rPr>
                <w:rFonts w:hint="eastAsia"/>
                <w:color w:val="0D0D0D" w:themeColor="text1" w:themeTint="F2"/>
                <w14:textFill>
                  <w14:solidFill>
                    <w14:schemeClr w14:val="tx1">
                      <w14:lumMod w14:val="95000"/>
                      <w14:lumOff w14:val="5000"/>
                    </w14:schemeClr>
                  </w14:solidFill>
                </w14:textFill>
              </w:rPr>
              <w:t>DB6/T3997-2017</w:t>
            </w:r>
            <w:r>
              <w:rPr>
                <w:rFonts w:hint="eastAsia"/>
                <w:color w:val="0D0D0D" w:themeColor="text1" w:themeTint="F2"/>
                <w:lang w:eastAsia="zh-CN"/>
                <w14:textFill>
                  <w14:solidFill>
                    <w14:schemeClr w14:val="tx1">
                      <w14:lumMod w14:val="95000"/>
                      <w14:lumOff w14:val="5000"/>
                    </w14:schemeClr>
                  </w14:solidFill>
                </w14:textFill>
              </w:rPr>
              <w:t>）</w:t>
            </w:r>
            <w:r>
              <w:rPr>
                <w:rFonts w:hint="eastAsia"/>
                <w:color w:val="0D0D0D" w:themeColor="text1" w:themeTint="F2"/>
                <w14:textFill>
                  <w14:solidFill>
                    <w14:schemeClr w14:val="tx1">
                      <w14:lumMod w14:val="95000"/>
                      <w14:lumOff w14:val="5000"/>
                    </w14:schemeClr>
                  </w14:solidFill>
                </w14:textFill>
              </w:rPr>
              <w:t>后综合利用。</w:t>
            </w:r>
          </w:p>
          <w:bookmarkEnd w:id="32"/>
          <w:p w14:paraId="7DD0C42F">
            <w:pPr>
              <w:pStyle w:val="37"/>
              <w:ind w:firstLine="480"/>
              <w:rPr>
                <w:rFonts w:hint="eastAsia"/>
                <w:color w:val="0D0D0D" w:themeColor="text1" w:themeTint="F2"/>
                <w:lang w:bidi="ar"/>
                <w14:textFill>
                  <w14:solidFill>
                    <w14:schemeClr w14:val="tx1">
                      <w14:lumMod w14:val="95000"/>
                      <w14:lumOff w14:val="5000"/>
                    </w14:schemeClr>
                  </w14:solidFill>
                </w14:textFill>
              </w:rPr>
            </w:pPr>
            <w:r>
              <w:rPr>
                <w:rFonts w:hint="eastAsia"/>
                <w:color w:val="0D0D0D" w:themeColor="text1" w:themeTint="F2"/>
                <w:lang w:bidi="ar"/>
                <w14:textFill>
                  <w14:solidFill>
                    <w14:schemeClr w14:val="tx1">
                      <w14:lumMod w14:val="95000"/>
                      <w14:lumOff w14:val="5000"/>
                    </w14:schemeClr>
                  </w14:solidFill>
                </w14:textFill>
              </w:rPr>
              <w:t>（2）油基钻井岩屑</w:t>
            </w:r>
          </w:p>
          <w:p w14:paraId="0DB9D0D6">
            <w:pPr>
              <w:pStyle w:val="37"/>
              <w:ind w:firstLine="480"/>
              <w:rPr>
                <w:rFonts w:hint="eastAsia"/>
                <w:color w:val="0D0D0D" w:themeColor="text1" w:themeTint="F2"/>
                <w:lang w:bidi="ar"/>
                <w14:textFill>
                  <w14:solidFill>
                    <w14:schemeClr w14:val="tx1">
                      <w14:lumMod w14:val="95000"/>
                      <w14:lumOff w14:val="5000"/>
                    </w14:schemeClr>
                  </w14:solidFill>
                </w14:textFill>
              </w:rPr>
            </w:pPr>
            <w:bookmarkStart w:id="35" w:name="_Hlk183349504"/>
            <w:r>
              <w:rPr>
                <w:rFonts w:hint="eastAsia"/>
                <w:color w:val="0D0D0D" w:themeColor="text1" w:themeTint="F2"/>
                <w:lang w:bidi="ar"/>
                <w14:textFill>
                  <w14:solidFill>
                    <w14:schemeClr w14:val="tx1">
                      <w14:lumMod w14:val="95000"/>
                      <w14:lumOff w14:val="5000"/>
                    </w14:schemeClr>
                  </w14:solidFill>
                </w14:textFill>
              </w:rPr>
              <w:t>二开至四开采用油基钻井液，钻井时井筒返排的钻井液及岩屑经不落地设备进行初步分离，液相回用于油基钻井液配置</w:t>
            </w:r>
            <w:bookmarkEnd w:id="35"/>
            <w:r>
              <w:rPr>
                <w:rFonts w:hint="eastAsia"/>
                <w:color w:val="0D0D0D" w:themeColor="text1" w:themeTint="F2"/>
                <w:lang w:bidi="ar"/>
                <w14:textFill>
                  <w14:solidFill>
                    <w14:schemeClr w14:val="tx1">
                      <w14:lumMod w14:val="95000"/>
                      <w14:lumOff w14:val="5000"/>
                    </w14:schemeClr>
                  </w14:solidFill>
                </w14:textFill>
              </w:rPr>
              <w:t>；固相再由甩干机进行第一次固液分离，然后由离心机对甩干机排出的液体进行第二次固液分离，从而实现深度分离，分离出的液相回用于油基钻井液配置，</w:t>
            </w:r>
            <w:bookmarkStart w:id="36" w:name="_Hlk183358274"/>
            <w:r>
              <w:rPr>
                <w:rFonts w:hint="eastAsia"/>
                <w:color w:val="0D0D0D" w:themeColor="text1" w:themeTint="F2"/>
                <w:lang w:bidi="ar"/>
                <w14:textFill>
                  <w14:solidFill>
                    <w14:schemeClr w14:val="tx1">
                      <w14:lumMod w14:val="95000"/>
                      <w14:lumOff w14:val="5000"/>
                    </w14:schemeClr>
                  </w14:solidFill>
                </w14:textFill>
              </w:rPr>
              <w:t>分离出的固相（即油基钻井岩屑）属于HW08类危险废物（废物代码：071-002-08），采用专用储罐进行收集，</w:t>
            </w:r>
            <w:bookmarkStart w:id="37" w:name="_Hlk69139460"/>
            <w:r>
              <w:rPr>
                <w:rFonts w:hint="eastAsia"/>
                <w:color w:val="0D0D0D" w:themeColor="text1" w:themeTint="F2"/>
                <w:lang w:bidi="ar"/>
                <w14:textFill>
                  <w14:solidFill>
                    <w14:schemeClr w14:val="tx1">
                      <w14:lumMod w14:val="95000"/>
                      <w14:lumOff w14:val="5000"/>
                    </w14:schemeClr>
                  </w14:solidFill>
                </w14:textFill>
              </w:rPr>
              <w:t>定期交由有相应危险废物处置资质的单位接收、转运和处置</w:t>
            </w:r>
            <w:bookmarkEnd w:id="37"/>
            <w:r>
              <w:rPr>
                <w:rFonts w:hint="eastAsia"/>
                <w:color w:val="0D0D0D" w:themeColor="text1" w:themeTint="F2"/>
                <w:lang w:bidi="ar"/>
                <w14:textFill>
                  <w14:solidFill>
                    <w14:schemeClr w14:val="tx1">
                      <w14:lumMod w14:val="95000"/>
                      <w14:lumOff w14:val="5000"/>
                    </w14:schemeClr>
                  </w14:solidFill>
                </w14:textFill>
              </w:rPr>
              <w:t>。</w:t>
            </w:r>
            <w:bookmarkEnd w:id="36"/>
            <w:r>
              <w:rPr>
                <w:rFonts w:hint="eastAsia"/>
                <w:color w:val="0D0D0D" w:themeColor="text1" w:themeTint="F2"/>
                <w:lang w:bidi="ar"/>
                <w14:textFill>
                  <w14:solidFill>
                    <w14:schemeClr w14:val="tx1">
                      <w14:lumMod w14:val="95000"/>
                      <w14:lumOff w14:val="5000"/>
                    </w14:schemeClr>
                  </w14:solidFill>
                </w14:textFill>
              </w:rPr>
              <w:t>油基钻井岩屑临时贮存在岩屑专用储罐内，储罐底部铺设防渗膜，油基钻井岩屑在井场临时贮存应满足《危险废物贮存污染控制标准》（GB18597-2023）相关要求。</w:t>
            </w:r>
          </w:p>
          <w:p w14:paraId="7ACAD47C">
            <w:pPr>
              <w:pStyle w:val="26"/>
              <w:widowControl w:val="0"/>
              <w:snapToGrid w:val="0"/>
              <w:spacing w:before="0" w:beforeAutospacing="0" w:after="0" w:afterAutospacing="0" w:line="480" w:lineRule="exact"/>
              <w:ind w:firstLine="480" w:firstLineChars="200"/>
              <w:jc w:val="both"/>
              <w:rPr>
                <w:rFonts w:hint="eastAsia" w:cs="宋体"/>
                <w:color w:val="0D0D0D" w:themeColor="text1" w:themeTint="F2"/>
                <w14:textFill>
                  <w14:solidFill>
                    <w14:schemeClr w14:val="tx1">
                      <w14:lumMod w14:val="95000"/>
                      <w14:lumOff w14:val="5000"/>
                    </w14:schemeClr>
                  </w14:solidFill>
                </w14:textFill>
              </w:rPr>
            </w:pPr>
            <w:r>
              <w:rPr>
                <w:rFonts w:hint="eastAsia" w:cs="宋体"/>
                <w:color w:val="0D0D0D" w:themeColor="text1" w:themeTint="F2"/>
                <w:kern w:val="2"/>
                <w:lang w:bidi="ar"/>
                <w14:textFill>
                  <w14:solidFill>
                    <w14:schemeClr w14:val="tx1">
                      <w14:lumMod w14:val="95000"/>
                      <w14:lumOff w14:val="5000"/>
                    </w14:schemeClr>
                  </w14:solidFill>
                </w14:textFill>
              </w:rPr>
              <w:t>（3）沾油废防渗材料</w:t>
            </w:r>
          </w:p>
          <w:p w14:paraId="52469235">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lang w:bidi="ar"/>
                <w14:textFill>
                  <w14:solidFill>
                    <w14:schemeClr w14:val="tx1">
                      <w14:lumMod w14:val="95000"/>
                      <w14:lumOff w14:val="5000"/>
                    </w14:schemeClr>
                  </w14:solidFill>
                </w14:textFill>
              </w:rPr>
              <w:t>施工结束后清理场地时产生的未沾油防渗材料由施工单位集中回收利用，沾油废防渗材料（废物代码为900-249-08，危险特性为毒性和易燃性）分区暂存在井场设置的危险废物贮存点，定期由具有相应危险废物处置资质的单位进行接收、转运和处置。</w:t>
            </w:r>
          </w:p>
          <w:p w14:paraId="7863CA26">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（4）废润滑油、废润滑油桶</w:t>
            </w:r>
          </w:p>
          <w:p w14:paraId="274F1E46">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施工过程中机械、设备检修和维护过程中产生的废润滑油、废润滑油桶分区暂存在井场设置的危险废物贮存点，定期由具有相应危险废物处置资质的单位进行接收、转运和处置。</w:t>
            </w:r>
            <w:bookmarkEnd w:id="30"/>
          </w:p>
          <w:p w14:paraId="214930AF">
            <w:pPr>
              <w:pStyle w:val="37"/>
              <w:ind w:firstLine="480"/>
              <w:rPr>
                <w:rFonts w:hint="eastAsia"/>
                <w:color w:val="0D0D0D" w:themeColor="text1" w:themeTint="F2"/>
                <w14:textFill>
                  <w14:solidFill>
                    <w14:schemeClr w14:val="tx1">
                      <w14:lumMod w14:val="95000"/>
                      <w14:lumOff w14:val="5000"/>
                    </w14:schemeClr>
                  </w14:solidFill>
                </w14:textFill>
              </w:rPr>
            </w:pPr>
            <w:bookmarkStart w:id="38" w:name="_Hlk213898811"/>
            <w:r>
              <w:rPr>
                <w:rFonts w:hint="eastAsia"/>
                <w:color w:val="0D0D0D" w:themeColor="text1" w:themeTint="F2"/>
                <w14:textFill>
                  <w14:solidFill>
                    <w14:schemeClr w14:val="tx1">
                      <w14:lumMod w14:val="95000"/>
                      <w14:lumOff w14:val="5000"/>
                    </w14:schemeClr>
                  </w14:solidFill>
                </w14:textFill>
              </w:rPr>
              <w:t>（5）危险废物贮存点</w:t>
            </w:r>
          </w:p>
          <w:p w14:paraId="7621530D">
            <w:pPr>
              <w:snapToGrid w:val="0"/>
              <w:spacing w:line="500" w:lineRule="exact"/>
              <w:ind w:firstLine="480" w:firstLineChars="200"/>
              <w:rPr>
                <w:rFonts w:hint="eastAsia"/>
                <w:color w:val="0D0D0D" w:themeColor="text1" w:themeTint="F2"/>
                <w:lang w:eastAsia="zh-CN"/>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在井场内设置一座临时危险废物暂存点，</w:t>
            </w:r>
            <w:bookmarkStart w:id="39" w:name="_Hlk183035071"/>
            <w:r>
              <w:rPr>
                <w:color w:val="0D0D0D" w:themeColor="text1" w:themeTint="F2"/>
                <w14:textFill>
                  <w14:solidFill>
                    <w14:schemeClr w14:val="tx1">
                      <w14:lumMod w14:val="95000"/>
                      <w14:lumOff w14:val="5000"/>
                    </w14:schemeClr>
                  </w14:solidFill>
                </w14:textFill>
              </w:rPr>
              <w:t>危废暂存点为彩钢板房棚式结构，面积约4m</w:t>
            </w:r>
            <w:r>
              <w:rPr>
                <w:color w:val="0D0D0D" w:themeColor="text1" w:themeTint="F2"/>
                <w:vertAlign w:val="superscript"/>
                <w14:textFill>
                  <w14:solidFill>
                    <w14:schemeClr w14:val="tx1">
                      <w14:lumMod w14:val="95000"/>
                      <w14:lumOff w14:val="5000"/>
                    </w14:schemeClr>
                  </w14:solidFill>
                </w14:textFill>
              </w:rPr>
              <w:t>2</w:t>
            </w:r>
            <w:r>
              <w:rPr>
                <w:color w:val="0D0D0D" w:themeColor="text1" w:themeTint="F2"/>
                <w14:textFill>
                  <w14:solidFill>
                    <w14:schemeClr w14:val="tx1">
                      <w14:lumMod w14:val="95000"/>
                      <w14:lumOff w14:val="5000"/>
                    </w14:schemeClr>
                  </w14:solidFill>
                </w14:textFill>
              </w:rPr>
              <w:t>，在井场中的位置见附图</w:t>
            </w:r>
            <w:r>
              <w:rPr>
                <w:rFonts w:hint="eastAsia"/>
                <w:color w:val="0D0D0D" w:themeColor="text1" w:themeTint="F2"/>
                <w14:textFill>
                  <w14:solidFill>
                    <w14:schemeClr w14:val="tx1">
                      <w14:lumMod w14:val="95000"/>
                      <w14:lumOff w14:val="5000"/>
                    </w14:schemeClr>
                  </w14:solidFill>
                </w14:textFill>
              </w:rPr>
              <w:t>4</w:t>
            </w:r>
            <w:r>
              <w:rPr>
                <w:color w:val="0D0D0D" w:themeColor="text1" w:themeTint="F2"/>
                <w14:textFill>
                  <w14:solidFill>
                    <w14:schemeClr w14:val="tx1">
                      <w14:lumMod w14:val="95000"/>
                      <w14:lumOff w14:val="5000"/>
                    </w14:schemeClr>
                  </w14:solidFill>
                </w14:textFill>
              </w:rPr>
              <w:t>、附图</w:t>
            </w:r>
            <w:bookmarkEnd w:id="39"/>
            <w:r>
              <w:rPr>
                <w:rFonts w:hint="eastAsia"/>
                <w:color w:val="0D0D0D" w:themeColor="text1" w:themeTint="F2"/>
                <w14:textFill>
                  <w14:solidFill>
                    <w14:schemeClr w14:val="tx1">
                      <w14:lumMod w14:val="95000"/>
                      <w14:lumOff w14:val="5000"/>
                    </w14:schemeClr>
                  </w14:solidFill>
                </w14:textFill>
              </w:rPr>
              <w:t>5。其选址符合《危险废物贮存污染控制标准》（GB18597-2023）的选址要求，建设过程中应严格按照《危险废物贮存污染控制标准》（GB18597-2023）中的相关要求建设</w:t>
            </w:r>
            <w:r>
              <w:rPr>
                <w:rFonts w:hint="eastAsia"/>
                <w:color w:val="0D0D0D" w:themeColor="text1" w:themeTint="F2"/>
                <w:lang w:eastAsia="zh-CN"/>
                <w14:textFill>
                  <w14:solidFill>
                    <w14:schemeClr w14:val="tx1">
                      <w14:lumMod w14:val="95000"/>
                      <w14:lumOff w14:val="5000"/>
                    </w14:schemeClr>
                  </w14:solidFill>
                </w14:textFill>
              </w:rPr>
              <w:t>。</w:t>
            </w:r>
            <w:bookmarkEnd w:id="38"/>
          </w:p>
          <w:p w14:paraId="2963C0A3">
            <w:pPr>
              <w:snapToGrid w:val="0"/>
              <w:spacing w:line="50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14:textFill>
                  <w14:solidFill>
                    <w14:schemeClr w14:val="tx1">
                      <w14:lumMod w14:val="95000"/>
                      <w14:lumOff w14:val="5000"/>
                    </w14:schemeClr>
                  </w14:solidFill>
                </w14:textFill>
              </w:rPr>
              <w:t>（7）生活垃圾</w:t>
            </w:r>
          </w:p>
          <w:p w14:paraId="077DE889">
            <w:pPr>
              <w:pStyle w:val="37"/>
              <w:ind w:firstLine="480"/>
              <w:rPr>
                <w:rFonts w:hint="eastAsia"/>
                <w:bCs/>
                <w:color w:val="0D0D0D" w:themeColor="text1" w:themeTint="F2"/>
                <w14:textFill>
                  <w14:solidFill>
                    <w14:schemeClr w14:val="tx1">
                      <w14:lumMod w14:val="95000"/>
                      <w14:lumOff w14:val="5000"/>
                    </w14:schemeClr>
                  </w14:solidFill>
                </w14:textFill>
              </w:rPr>
            </w:pPr>
            <w:r>
              <w:rPr>
                <w:rFonts w:hint="eastAsia"/>
                <w:bCs/>
                <w:color w:val="0D0D0D" w:themeColor="text1" w:themeTint="F2"/>
                <w14:textFill>
                  <w14:solidFill>
                    <w14:schemeClr w14:val="tx1">
                      <w14:lumMod w14:val="95000"/>
                      <w14:lumOff w14:val="5000"/>
                    </w14:schemeClr>
                  </w14:solidFill>
                </w14:textFill>
              </w:rPr>
              <w:t>井场和生活营地设置生活垃圾收集箱，箱底铺设防渗膜，上部遮盖篷布，集中收集后定期委托拉运至沙湾市生活垃圾填埋场处置。</w:t>
            </w:r>
          </w:p>
          <w:bookmarkEnd w:id="31"/>
          <w:p w14:paraId="3CC6AA9D">
            <w:pPr>
              <w:pStyle w:val="37"/>
              <w:ind w:firstLine="480"/>
              <w:rPr>
                <w:rFonts w:hint="eastAsia"/>
                <w:color w:val="0D0D0D" w:themeColor="text1" w:themeTint="F2"/>
                <w14:textFill>
                  <w14:solidFill>
                    <w14:schemeClr w14:val="tx1">
                      <w14:lumMod w14:val="95000"/>
                      <w14:lumOff w14:val="5000"/>
                    </w14:schemeClr>
                  </w14:solidFill>
                </w14:textFill>
              </w:rPr>
            </w:pPr>
            <w:bookmarkStart w:id="40" w:name="_Hlk136792721"/>
            <w:r>
              <w:rPr>
                <w:rFonts w:hint="eastAsia"/>
                <w:color w:val="0D0D0D" w:themeColor="text1" w:themeTint="F2"/>
                <w14:textFill>
                  <w14:solidFill>
                    <w14:schemeClr w14:val="tx1">
                      <w14:lumMod w14:val="95000"/>
                      <w14:lumOff w14:val="5000"/>
                    </w14:schemeClr>
                  </w14:solidFill>
                </w14:textFill>
              </w:rPr>
              <w:t>（8）建筑垃圾</w:t>
            </w:r>
          </w:p>
          <w:p w14:paraId="2C8C1F5B">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bCs/>
                <w:color w:val="0D0D0D" w:themeColor="text1" w:themeTint="F2"/>
                <w14:textFill>
                  <w14:solidFill>
                    <w14:schemeClr w14:val="tx1">
                      <w14:lumMod w14:val="95000"/>
                      <w14:lumOff w14:val="5000"/>
                    </w14:schemeClr>
                  </w14:solidFill>
                </w14:textFill>
              </w:rPr>
              <w:t>建筑垃圾优先回收利用，无法回收利用的由钻井队负责清运</w:t>
            </w:r>
            <w:r>
              <w:rPr>
                <w:rFonts w:hint="eastAsia"/>
                <w:color w:val="0D0D0D" w:themeColor="text1" w:themeTint="F2"/>
                <w14:textFill>
                  <w14:solidFill>
                    <w14:schemeClr w14:val="tx1">
                      <w14:lumMod w14:val="95000"/>
                      <w14:lumOff w14:val="5000"/>
                    </w14:schemeClr>
                  </w14:solidFill>
                </w14:textFill>
              </w:rPr>
              <w:t>。</w:t>
            </w:r>
          </w:p>
          <w:p w14:paraId="169BA321">
            <w:pPr>
              <w:pStyle w:val="37"/>
              <w:ind w:firstLine="480"/>
              <w:rPr>
                <w:rFonts w:hint="eastAsia"/>
                <w:color w:val="0D0D0D" w:themeColor="text1" w:themeTint="F2"/>
                <w14:textFill>
                  <w14:solidFill>
                    <w14:schemeClr w14:val="tx1">
                      <w14:lumMod w14:val="95000"/>
                      <w14:lumOff w14:val="5000"/>
                    </w14:schemeClr>
                  </w14:solidFill>
                </w14:textFill>
              </w:rPr>
            </w:pPr>
            <w:bookmarkStart w:id="41" w:name="_Hlk183361156"/>
            <w:r>
              <w:rPr>
                <w:rFonts w:hint="eastAsia"/>
                <w:color w:val="0D0D0D" w:themeColor="text1" w:themeTint="F2"/>
                <w:lang w:bidi="ar"/>
                <w14:textFill>
                  <w14:solidFill>
                    <w14:schemeClr w14:val="tx1">
                      <w14:lumMod w14:val="95000"/>
                      <w14:lumOff w14:val="5000"/>
                    </w14:schemeClr>
                  </w14:solidFill>
                </w14:textFill>
              </w:rPr>
              <w:t>（9）一般工业固体废物环境管理要求</w:t>
            </w:r>
          </w:p>
          <w:p w14:paraId="6BCDDDE3">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lang w:bidi="ar"/>
                <w14:textFill>
                  <w14:solidFill>
                    <w14:schemeClr w14:val="tx1">
                      <w14:lumMod w14:val="95000"/>
                      <w14:lumOff w14:val="5000"/>
                    </w14:schemeClr>
                  </w14:solidFill>
                </w14:textFill>
              </w:rPr>
              <w:t>①建设单位应落实污染环境防治责任制度，建立健全工业固体废物产生、收集、贮存、运输、利用、处置全过程的污染环境防治责任制度。建立工业固体废物管理台账，如实记录产生工业固体废物的种类、数量、流向、贮存、利用、处置等信息，实现工业固体废物可追溯、可查询。</w:t>
            </w:r>
          </w:p>
          <w:p w14:paraId="53C63072">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lang w:bidi="ar"/>
                <w14:textFill>
                  <w14:solidFill>
                    <w14:schemeClr w14:val="tx1">
                      <w14:lumMod w14:val="95000"/>
                      <w14:lumOff w14:val="5000"/>
                    </w14:schemeClr>
                  </w14:solidFill>
                </w14:textFill>
              </w:rPr>
              <w:t>②建设单位应与具有相应具有固体废物处置资质的单位签订书面合同，在合同中约定污染防治要求，由受托方负责处置水基岩屑。</w:t>
            </w:r>
          </w:p>
          <w:p w14:paraId="753D5D4D">
            <w:pPr>
              <w:snapToGrid w:val="0"/>
              <w:spacing w:line="480" w:lineRule="exact"/>
              <w:ind w:firstLine="480" w:firstLineChars="200"/>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color w:val="0D0D0D" w:themeColor="text1" w:themeTint="F2"/>
                <w:lang w:bidi="ar"/>
                <w14:textFill>
                  <w14:solidFill>
                    <w14:schemeClr w14:val="tx1">
                      <w14:lumMod w14:val="95000"/>
                      <w14:lumOff w14:val="5000"/>
                    </w14:schemeClr>
                  </w14:solidFill>
                </w14:textFill>
              </w:rPr>
              <w:t>（10）</w:t>
            </w:r>
            <w:bookmarkStart w:id="42" w:name="_Hlk183363774"/>
            <w:r>
              <w:rPr>
                <w:rFonts w:hint="eastAsia" w:ascii="宋体" w:hAnsi="宋体" w:cs="宋体"/>
                <w:color w:val="0D0D0D" w:themeColor="text1" w:themeTint="F2"/>
                <w:lang w:bidi="ar"/>
                <w14:textFill>
                  <w14:solidFill>
                    <w14:schemeClr w14:val="tx1">
                      <w14:lumMod w14:val="95000"/>
                      <w14:lumOff w14:val="5000"/>
                    </w14:schemeClr>
                  </w14:solidFill>
                </w14:textFill>
              </w:rPr>
              <w:t>危险废物环境管理要求</w:t>
            </w:r>
            <w:bookmarkEnd w:id="42"/>
          </w:p>
          <w:bookmarkEnd w:id="41"/>
          <w:p w14:paraId="4E3155A6">
            <w:pPr>
              <w:pStyle w:val="37"/>
              <w:ind w:firstLine="480"/>
              <w:rPr>
                <w:rFonts w:hint="eastAsia" w:eastAsia="宋体"/>
                <w:color w:val="0D0D0D" w:themeColor="text1" w:themeTint="F2"/>
                <w:lang w:eastAsia="zh-CN"/>
                <w14:textFill>
                  <w14:solidFill>
                    <w14:schemeClr w14:val="tx1">
                      <w14:lumMod w14:val="95000"/>
                      <w14:lumOff w14:val="5000"/>
                    </w14:schemeClr>
                  </w14:solidFill>
                </w14:textFill>
              </w:rPr>
            </w:pPr>
            <w:r>
              <w:rPr>
                <w:rFonts w:hint="eastAsia"/>
                <w:color w:val="0D0D0D" w:themeColor="text1" w:themeTint="F2"/>
                <w:lang w:bidi="ar"/>
                <w14:textFill>
                  <w14:solidFill>
                    <w14:schemeClr w14:val="tx1">
                      <w14:lumMod w14:val="95000"/>
                      <w14:lumOff w14:val="5000"/>
                    </w14:schemeClr>
                  </w14:solidFill>
                </w14:textFill>
              </w:rPr>
              <w:t>建设单位及施工单位应对油基钻井岩屑、废润滑油、废润滑油桶和沾油的废防渗材料按照《危险废物环境管理指南  陆上石油天然气开采》中的危险废物环境管理要求进行管理</w:t>
            </w:r>
            <w:r>
              <w:rPr>
                <w:rFonts w:hint="eastAsia"/>
                <w:color w:val="0D0D0D" w:themeColor="text1" w:themeTint="F2"/>
                <w:lang w:eastAsia="zh-CN" w:bidi="ar"/>
                <w14:textFill>
                  <w14:solidFill>
                    <w14:schemeClr w14:val="tx1">
                      <w14:lumMod w14:val="95000"/>
                      <w14:lumOff w14:val="5000"/>
                    </w14:schemeClr>
                  </w14:solidFill>
                </w14:textFill>
              </w:rPr>
              <w:t>。</w:t>
            </w:r>
          </w:p>
          <w:bookmarkEnd w:id="40"/>
          <w:p w14:paraId="33F5745D">
            <w:pPr>
              <w:pStyle w:val="37"/>
              <w:ind w:left="0" w:leftChars="0" w:firstLine="0" w:firstLineChars="0"/>
              <w:rPr>
                <w:rFonts w:hint="eastAsia"/>
                <w:color w:val="0D0D0D" w:themeColor="text1" w:themeTint="F2"/>
                <w14:textFill>
                  <w14:solidFill>
                    <w14:schemeClr w14:val="tx1">
                      <w14:lumMod w14:val="95000"/>
                      <w14:lumOff w14:val="5000"/>
                    </w14:schemeClr>
                  </w14:solidFill>
                </w14:textFill>
              </w:rPr>
            </w:pPr>
          </w:p>
        </w:tc>
      </w:tr>
      <w:tr w14:paraId="77E51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trPr>
        <w:tc>
          <w:tcPr>
            <w:tcW w:w="366" w:type="pct"/>
            <w:vAlign w:val="center"/>
          </w:tcPr>
          <w:p w14:paraId="7D3FB737">
            <w:pPr>
              <w:adjustRightInd w:val="0"/>
              <w:snapToGrid w:val="0"/>
              <w:spacing w:line="480" w:lineRule="exact"/>
              <w:jc w:val="center"/>
              <w:rPr>
                <w:rFonts w:hint="eastAsia" w:ascii="宋体" w:hAnsi="宋体" w:cs="宋体"/>
                <w:color w:val="0D0D0D" w:themeColor="text1" w:themeTint="F2"/>
                <w14:textFill>
                  <w14:solidFill>
                    <w14:schemeClr w14:val="tx1">
                      <w14:lumMod w14:val="95000"/>
                      <w14:lumOff w14:val="5000"/>
                    </w14:schemeClr>
                  </w14:solidFill>
                </w14:textFill>
              </w:rPr>
            </w:pPr>
            <w:r>
              <w:rPr>
                <w:rFonts w:hint="eastAsia" w:ascii="宋体" w:hAnsi="宋体" w:cs="宋体"/>
                <w:bCs/>
                <w:color w:val="0D0D0D" w:themeColor="text1" w:themeTint="F2"/>
                <w:spacing w:val="10"/>
                <w14:textFill>
                  <w14:solidFill>
                    <w14:schemeClr w14:val="tx1">
                      <w14:lumMod w14:val="95000"/>
                      <w14:lumOff w14:val="5000"/>
                    </w14:schemeClr>
                  </w14:solidFill>
                </w14:textFill>
              </w:rPr>
              <w:t>运营期生态环境保护措施</w:t>
            </w:r>
          </w:p>
        </w:tc>
        <w:tc>
          <w:tcPr>
            <w:tcW w:w="4633" w:type="pct"/>
            <w:vAlign w:val="center"/>
          </w:tcPr>
          <w:p w14:paraId="0174C52B">
            <w:pPr>
              <w:pStyle w:val="37"/>
              <w:rPr>
                <w:rFonts w:hint="eastAsia"/>
                <w:color w:val="0D0D0D" w:themeColor="text1" w:themeTint="F2"/>
                <w14:textFill>
                  <w14:solidFill>
                    <w14:schemeClr w14:val="tx1">
                      <w14:lumMod w14:val="95000"/>
                      <w14:lumOff w14:val="5000"/>
                    </w14:schemeClr>
                  </w14:solidFill>
                </w14:textFill>
              </w:rPr>
            </w:pPr>
            <w:bookmarkStart w:id="43" w:name="_Hlk213899059"/>
            <w:bookmarkStart w:id="44" w:name="_Hlk140836626"/>
            <w:r>
              <w:rPr>
                <w:rFonts w:hint="eastAsia"/>
                <w:color w:val="0D0D0D" w:themeColor="text1" w:themeTint="F2"/>
                <w14:textFill>
                  <w14:solidFill>
                    <w14:schemeClr w14:val="tx1">
                      <w14:lumMod w14:val="95000"/>
                      <w14:lumOff w14:val="5000"/>
                    </w14:schemeClr>
                  </w14:solidFill>
                </w14:textFill>
              </w:rPr>
              <w:t>（1）封井</w:t>
            </w:r>
            <w:r>
              <w:rPr>
                <w:color w:val="0D0D0D" w:themeColor="text1" w:themeTint="F2"/>
                <w14:textFill>
                  <w14:solidFill>
                    <w14:schemeClr w14:val="tx1">
                      <w14:lumMod w14:val="95000"/>
                      <w14:lumOff w14:val="5000"/>
                    </w14:schemeClr>
                  </w14:solidFill>
                </w14:textFill>
              </w:rPr>
              <w:t>材料应无污染，不得使用可能对地下水造成污染的材料</w:t>
            </w:r>
            <w:r>
              <w:rPr>
                <w:rFonts w:hint="eastAsia"/>
                <w:color w:val="0D0D0D" w:themeColor="text1" w:themeTint="F2"/>
                <w14:textFill>
                  <w14:solidFill>
                    <w14:schemeClr w14:val="tx1">
                      <w14:lumMod w14:val="95000"/>
                      <w14:lumOff w14:val="5000"/>
                    </w14:schemeClr>
                  </w14:solidFill>
                </w14:textFill>
              </w:rPr>
              <w:t>。</w:t>
            </w:r>
          </w:p>
          <w:p w14:paraId="77BCC3CE">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（2）</w:t>
            </w:r>
            <w:r>
              <w:rPr>
                <w:color w:val="0D0D0D" w:themeColor="text1" w:themeTint="F2"/>
                <w14:textFill>
                  <w14:solidFill>
                    <w14:schemeClr w14:val="tx1">
                      <w14:lumMod w14:val="95000"/>
                      <w14:lumOff w14:val="5000"/>
                    </w14:schemeClr>
                  </w14:solidFill>
                </w14:textFill>
              </w:rPr>
              <w:t>应开展井盖封堵或密闭填充，</w:t>
            </w:r>
            <w:r>
              <w:rPr>
                <w:rFonts w:hint="eastAsia"/>
                <w:color w:val="0D0D0D" w:themeColor="text1" w:themeTint="F2"/>
                <w14:textFill>
                  <w14:solidFill>
                    <w14:schemeClr w14:val="tx1">
                      <w14:lumMod w14:val="95000"/>
                      <w14:lumOff w14:val="5000"/>
                    </w14:schemeClr>
                  </w14:solidFill>
                </w14:textFill>
              </w:rPr>
              <w:t>对废弃井进行封井回填并做好井口处置，</w:t>
            </w:r>
            <w:r>
              <w:rPr>
                <w:color w:val="0D0D0D" w:themeColor="text1" w:themeTint="F2"/>
                <w14:textFill>
                  <w14:solidFill>
                    <w14:schemeClr w14:val="tx1">
                      <w14:lumMod w14:val="95000"/>
                      <w14:lumOff w14:val="5000"/>
                    </w14:schemeClr>
                  </w14:solidFill>
                </w14:textFill>
              </w:rPr>
              <w:t>确保地表污染物不进入井内，各层位地下水不连通</w:t>
            </w:r>
            <w:r>
              <w:rPr>
                <w:rFonts w:hint="eastAsia"/>
                <w:color w:val="0D0D0D" w:themeColor="text1" w:themeTint="F2"/>
                <w14:textFill>
                  <w14:solidFill>
                    <w14:schemeClr w14:val="tx1">
                      <w14:lumMod w14:val="95000"/>
                      <w14:lumOff w14:val="5000"/>
                    </w14:schemeClr>
                  </w14:solidFill>
                </w14:textFill>
              </w:rPr>
              <w:t>。</w:t>
            </w:r>
          </w:p>
          <w:p w14:paraId="1FB0B717">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（3）</w:t>
            </w:r>
            <w:r>
              <w:rPr>
                <w:color w:val="0D0D0D" w:themeColor="text1" w:themeTint="F2"/>
                <w14:textFill>
                  <w14:solidFill>
                    <w14:schemeClr w14:val="tx1">
                      <w14:lumMod w14:val="95000"/>
                      <w14:lumOff w14:val="5000"/>
                    </w14:schemeClr>
                  </w14:solidFill>
                </w14:textFill>
              </w:rPr>
              <w:t>确保封井质量合格</w:t>
            </w:r>
            <w:r>
              <w:rPr>
                <w:rFonts w:hint="eastAsia"/>
                <w:color w:val="0D0D0D" w:themeColor="text1" w:themeTint="F2"/>
                <w14:textFill>
                  <w14:solidFill>
                    <w14:schemeClr w14:val="tx1">
                      <w14:lumMod w14:val="95000"/>
                      <w14:lumOff w14:val="5000"/>
                    </w14:schemeClr>
                  </w14:solidFill>
                </w14:textFill>
              </w:rPr>
              <w:t>。</w:t>
            </w:r>
          </w:p>
          <w:p w14:paraId="3B063326">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（4）封井作业结束后及时清理作业现场</w:t>
            </w:r>
            <w:r>
              <w:rPr>
                <w:color w:val="0D0D0D" w:themeColor="text1" w:themeTint="F2"/>
                <w14:textFill>
                  <w14:solidFill>
                    <w14:schemeClr w14:val="tx1">
                      <w14:lumMod w14:val="95000"/>
                      <w14:lumOff w14:val="5000"/>
                    </w14:schemeClr>
                  </w14:solidFill>
                </w14:textFill>
              </w:rPr>
              <w:t>，各</w:t>
            </w:r>
            <w:r>
              <w:rPr>
                <w:rFonts w:hint="eastAsia"/>
                <w:color w:val="0D0D0D" w:themeColor="text1" w:themeTint="F2"/>
                <w14:textFill>
                  <w14:solidFill>
                    <w14:schemeClr w14:val="tx1">
                      <w14:lumMod w14:val="95000"/>
                      <w14:lumOff w14:val="5000"/>
                    </w14:schemeClr>
                  </w14:solidFill>
                </w14:textFill>
              </w:rPr>
              <w:t>个</w:t>
            </w:r>
            <w:r>
              <w:rPr>
                <w:color w:val="0D0D0D" w:themeColor="text1" w:themeTint="F2"/>
                <w14:textFill>
                  <w14:solidFill>
                    <w14:schemeClr w14:val="tx1">
                      <w14:lumMod w14:val="95000"/>
                      <w14:lumOff w14:val="5000"/>
                    </w14:schemeClr>
                  </w14:solidFill>
                </w14:textFill>
              </w:rPr>
              <w:t>建构筑物和基础设施应全部拆除</w:t>
            </w: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做到“工完、料尽、场地清”，确保采取的封井措施有效可行</w:t>
            </w:r>
            <w:r>
              <w:rPr>
                <w:rFonts w:hint="eastAsia"/>
                <w:color w:val="0D0D0D" w:themeColor="text1" w:themeTint="F2"/>
                <w14:textFill>
                  <w14:solidFill>
                    <w14:schemeClr w14:val="tx1">
                      <w14:lumMod w14:val="95000"/>
                      <w14:lumOff w14:val="5000"/>
                    </w14:schemeClr>
                  </w14:solidFill>
                </w14:textFill>
              </w:rPr>
              <w:t>。</w:t>
            </w:r>
            <w:r>
              <w:rPr>
                <w:color w:val="0D0D0D" w:themeColor="text1" w:themeTint="F2"/>
                <w14:textFill>
                  <w14:solidFill>
                    <w14:schemeClr w14:val="tx1">
                      <w14:lumMod w14:val="95000"/>
                      <w14:lumOff w14:val="5000"/>
                    </w14:schemeClr>
                  </w14:solidFill>
                </w14:textFill>
              </w:rPr>
              <w:t>各</w:t>
            </w:r>
            <w:r>
              <w:rPr>
                <w:rFonts w:hint="eastAsia"/>
                <w:color w:val="0D0D0D" w:themeColor="text1" w:themeTint="F2"/>
                <w14:textFill>
                  <w14:solidFill>
                    <w14:schemeClr w14:val="tx1">
                      <w14:lumMod w14:val="95000"/>
                      <w14:lumOff w14:val="5000"/>
                    </w14:schemeClr>
                  </w14:solidFill>
                </w14:textFill>
              </w:rPr>
              <w:t>个</w:t>
            </w:r>
            <w:r>
              <w:rPr>
                <w:color w:val="0D0D0D" w:themeColor="text1" w:themeTint="F2"/>
                <w14:textFill>
                  <w14:solidFill>
                    <w14:schemeClr w14:val="tx1">
                      <w14:lumMod w14:val="95000"/>
                      <w14:lumOff w14:val="5000"/>
                    </w14:schemeClr>
                  </w14:solidFill>
                </w14:textFill>
              </w:rPr>
              <w:t>建构筑物和基础设施</w:t>
            </w:r>
            <w:r>
              <w:rPr>
                <w:rFonts w:hint="eastAsia"/>
                <w:color w:val="0D0D0D" w:themeColor="text1" w:themeTint="F2"/>
                <w14:textFill>
                  <w14:solidFill>
                    <w14:schemeClr w14:val="tx1">
                      <w14:lumMod w14:val="95000"/>
                      <w14:lumOff w14:val="5000"/>
                    </w14:schemeClr>
                  </w14:solidFill>
                </w14:textFill>
              </w:rPr>
              <w:t>拆除过程中会产生一定扬尘，应避开大风天气施工。</w:t>
            </w:r>
            <w:bookmarkEnd w:id="43"/>
            <w:bookmarkEnd w:id="44"/>
          </w:p>
        </w:tc>
      </w:tr>
      <w:bookmarkEnd w:id="11"/>
    </w:tbl>
    <w:p w14:paraId="6146D103">
      <w:pPr>
        <w:pStyle w:val="2"/>
        <w:rPr>
          <w:rFonts w:hint="eastAsia"/>
          <w:color w:val="0D0D0D" w:themeColor="text1" w:themeTint="F2"/>
          <w14:textFill>
            <w14:solidFill>
              <w14:schemeClr w14:val="tx1">
                <w14:lumMod w14:val="95000"/>
                <w14:lumOff w14:val="5000"/>
              </w14:schemeClr>
            </w14:solidFill>
          </w14:textFill>
        </w:rPr>
        <w:sectPr>
          <w:footerReference r:id="rId6" w:type="default"/>
          <w:pgSz w:w="11906" w:h="16838"/>
          <w:pgMar w:top="1418" w:right="1418" w:bottom="1588" w:left="1588" w:header="851" w:footer="992" w:gutter="0"/>
          <w:cols w:space="425" w:num="1"/>
          <w:docGrid w:type="lines" w:linePitch="326" w:charSpace="0"/>
        </w:sectPr>
      </w:pPr>
    </w:p>
    <w:p w14:paraId="55265AF9">
      <w:pPr>
        <w:pStyle w:val="2"/>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pPr>
      <w:r>
        <w:rPr>
          <w:rFonts w:hint="eastAsia" w:ascii="黑体" w:hAnsi="黑体" w:eastAsia="黑体"/>
          <w:b w:val="0"/>
          <w:bCs/>
          <w:color w:val="0D0D0D" w:themeColor="text1" w:themeTint="F2"/>
          <w:sz w:val="30"/>
          <w:szCs w:val="30"/>
          <w:lang w:eastAsia="zh-CN"/>
          <w14:textFill>
            <w14:solidFill>
              <w14:schemeClr w14:val="tx1">
                <w14:lumMod w14:val="95000"/>
                <w14:lumOff w14:val="5000"/>
              </w14:schemeClr>
            </w14:solidFill>
          </w14:textFill>
        </w:rPr>
        <w:t>三</w:t>
      </w:r>
      <w:r>
        <w:rPr>
          <w:rFonts w:hint="eastAsia" w:ascii="黑体" w:hAnsi="黑体" w:eastAsia="黑体"/>
          <w:b w:val="0"/>
          <w:bCs/>
          <w:color w:val="0D0D0D" w:themeColor="text1" w:themeTint="F2"/>
          <w:sz w:val="30"/>
          <w:szCs w:val="30"/>
          <w14:textFill>
            <w14:solidFill>
              <w14:schemeClr w14:val="tx1">
                <w14:lumMod w14:val="95000"/>
                <w14:lumOff w14:val="5000"/>
              </w14:schemeClr>
            </w14:solidFill>
          </w14:textFill>
        </w:rPr>
        <w:t>、结论</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51EA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vAlign w:val="center"/>
          </w:tcPr>
          <w:p w14:paraId="3B7CF745">
            <w:pPr>
              <w:pStyle w:val="37"/>
              <w:ind w:firstLine="480"/>
              <w:rPr>
                <w:rFonts w:hint="eastAsia"/>
                <w:color w:val="0D0D0D" w:themeColor="text1" w:themeTint="F2"/>
                <w14:textFill>
                  <w14:solidFill>
                    <w14:schemeClr w14:val="tx1">
                      <w14:lumMod w14:val="95000"/>
                      <w14:lumOff w14:val="5000"/>
                    </w14:schemeClr>
                  </w14:solidFill>
                </w14:textFill>
              </w:rPr>
            </w:pPr>
            <w:r>
              <w:rPr>
                <w:rFonts w:hint="eastAsia"/>
                <w:color w:val="0D0D0D" w:themeColor="text1" w:themeTint="F2"/>
                <w14:textFill>
                  <w14:solidFill>
                    <w14:schemeClr w14:val="tx1">
                      <w14:lumMod w14:val="95000"/>
                      <w14:lumOff w14:val="5000"/>
                    </w14:schemeClr>
                  </w14:solidFill>
                </w14:textFill>
              </w:rPr>
              <w:t>本项目符合国家产业政策、“三线一单”和相关规划，选址选线合理。在严格执行已有各项环保政策、规定，认真落实报告表中提出的污染防治措施和生态影响减缓措施的前提下，从生态环境保护角度分析建设可</w:t>
            </w:r>
            <w:r>
              <w:rPr>
                <w:rFonts w:hint="eastAsia"/>
                <w:color w:val="0D0D0D" w:themeColor="text1" w:themeTint="F2"/>
                <w:lang w:eastAsia="zh-CN"/>
                <w14:textFill>
                  <w14:solidFill>
                    <w14:schemeClr w14:val="tx1">
                      <w14:lumMod w14:val="95000"/>
                      <w14:lumOff w14:val="5000"/>
                    </w14:schemeClr>
                  </w14:solidFill>
                </w14:textFill>
              </w:rPr>
              <w:t>行性</w:t>
            </w:r>
            <w:r>
              <w:rPr>
                <w:rFonts w:hint="eastAsia"/>
                <w:color w:val="0D0D0D" w:themeColor="text1" w:themeTint="F2"/>
                <w14:textFill>
                  <w14:solidFill>
                    <w14:schemeClr w14:val="tx1">
                      <w14:lumMod w14:val="95000"/>
                      <w14:lumOff w14:val="5000"/>
                    </w14:schemeClr>
                  </w14:solidFill>
                </w14:textFill>
              </w:rPr>
              <w:t>。</w:t>
            </w:r>
          </w:p>
          <w:p w14:paraId="4426F2B9">
            <w:pPr>
              <w:pStyle w:val="11"/>
              <w:rPr>
                <w:rFonts w:hint="eastAsia"/>
                <w:color w:val="0D0D0D" w:themeColor="text1" w:themeTint="F2"/>
                <w14:textFill>
                  <w14:solidFill>
                    <w14:schemeClr w14:val="tx1">
                      <w14:lumMod w14:val="95000"/>
                      <w14:lumOff w14:val="5000"/>
                    </w14:schemeClr>
                  </w14:solidFill>
                </w14:textFill>
              </w:rPr>
            </w:pPr>
          </w:p>
          <w:p w14:paraId="253A8930">
            <w:pPr>
              <w:pStyle w:val="11"/>
              <w:rPr>
                <w:rFonts w:hint="eastAsia"/>
                <w:color w:val="0D0D0D" w:themeColor="text1" w:themeTint="F2"/>
                <w14:textFill>
                  <w14:solidFill>
                    <w14:schemeClr w14:val="tx1">
                      <w14:lumMod w14:val="95000"/>
                      <w14:lumOff w14:val="5000"/>
                    </w14:schemeClr>
                  </w14:solidFill>
                </w14:textFill>
              </w:rPr>
            </w:pPr>
          </w:p>
          <w:p w14:paraId="51ADB214">
            <w:pPr>
              <w:pStyle w:val="11"/>
              <w:rPr>
                <w:rFonts w:hint="eastAsia"/>
                <w:color w:val="0D0D0D" w:themeColor="text1" w:themeTint="F2"/>
                <w14:textFill>
                  <w14:solidFill>
                    <w14:schemeClr w14:val="tx1">
                      <w14:lumMod w14:val="95000"/>
                      <w14:lumOff w14:val="5000"/>
                    </w14:schemeClr>
                  </w14:solidFill>
                </w14:textFill>
              </w:rPr>
            </w:pPr>
          </w:p>
          <w:p w14:paraId="0F959996">
            <w:pPr>
              <w:pStyle w:val="11"/>
              <w:rPr>
                <w:rFonts w:hint="eastAsia"/>
                <w:color w:val="0D0D0D" w:themeColor="text1" w:themeTint="F2"/>
                <w14:textFill>
                  <w14:solidFill>
                    <w14:schemeClr w14:val="tx1">
                      <w14:lumMod w14:val="95000"/>
                      <w14:lumOff w14:val="5000"/>
                    </w14:schemeClr>
                  </w14:solidFill>
                </w14:textFill>
              </w:rPr>
            </w:pPr>
          </w:p>
          <w:p w14:paraId="7931CDAE">
            <w:pPr>
              <w:pStyle w:val="11"/>
              <w:rPr>
                <w:rFonts w:hint="eastAsia"/>
                <w:color w:val="0D0D0D" w:themeColor="text1" w:themeTint="F2"/>
                <w14:textFill>
                  <w14:solidFill>
                    <w14:schemeClr w14:val="tx1">
                      <w14:lumMod w14:val="95000"/>
                      <w14:lumOff w14:val="5000"/>
                    </w14:schemeClr>
                  </w14:solidFill>
                </w14:textFill>
              </w:rPr>
            </w:pPr>
          </w:p>
          <w:p w14:paraId="06AC8347">
            <w:pPr>
              <w:pStyle w:val="11"/>
              <w:rPr>
                <w:rFonts w:hint="eastAsia"/>
                <w:color w:val="0D0D0D" w:themeColor="text1" w:themeTint="F2"/>
                <w14:textFill>
                  <w14:solidFill>
                    <w14:schemeClr w14:val="tx1">
                      <w14:lumMod w14:val="95000"/>
                      <w14:lumOff w14:val="5000"/>
                    </w14:schemeClr>
                  </w14:solidFill>
                </w14:textFill>
              </w:rPr>
            </w:pPr>
          </w:p>
          <w:p w14:paraId="2334E009">
            <w:pPr>
              <w:pStyle w:val="11"/>
              <w:rPr>
                <w:rFonts w:hint="eastAsia"/>
                <w:color w:val="0D0D0D" w:themeColor="text1" w:themeTint="F2"/>
                <w14:textFill>
                  <w14:solidFill>
                    <w14:schemeClr w14:val="tx1">
                      <w14:lumMod w14:val="95000"/>
                      <w14:lumOff w14:val="5000"/>
                    </w14:schemeClr>
                  </w14:solidFill>
                </w14:textFill>
              </w:rPr>
            </w:pPr>
          </w:p>
          <w:p w14:paraId="3E837750">
            <w:pPr>
              <w:pStyle w:val="11"/>
              <w:rPr>
                <w:rFonts w:hint="eastAsia"/>
                <w:color w:val="0D0D0D" w:themeColor="text1" w:themeTint="F2"/>
                <w14:textFill>
                  <w14:solidFill>
                    <w14:schemeClr w14:val="tx1">
                      <w14:lumMod w14:val="95000"/>
                      <w14:lumOff w14:val="5000"/>
                    </w14:schemeClr>
                  </w14:solidFill>
                </w14:textFill>
              </w:rPr>
            </w:pPr>
          </w:p>
          <w:p w14:paraId="5484FAD3">
            <w:pPr>
              <w:pStyle w:val="11"/>
              <w:rPr>
                <w:rFonts w:hint="eastAsia"/>
                <w:color w:val="0D0D0D" w:themeColor="text1" w:themeTint="F2"/>
                <w14:textFill>
                  <w14:solidFill>
                    <w14:schemeClr w14:val="tx1">
                      <w14:lumMod w14:val="95000"/>
                      <w14:lumOff w14:val="5000"/>
                    </w14:schemeClr>
                  </w14:solidFill>
                </w14:textFill>
              </w:rPr>
            </w:pPr>
          </w:p>
          <w:p w14:paraId="0C97446D">
            <w:pPr>
              <w:pStyle w:val="11"/>
              <w:rPr>
                <w:rFonts w:hint="eastAsia"/>
                <w:color w:val="0D0D0D" w:themeColor="text1" w:themeTint="F2"/>
                <w14:textFill>
                  <w14:solidFill>
                    <w14:schemeClr w14:val="tx1">
                      <w14:lumMod w14:val="95000"/>
                      <w14:lumOff w14:val="5000"/>
                    </w14:schemeClr>
                  </w14:solidFill>
                </w14:textFill>
              </w:rPr>
            </w:pPr>
          </w:p>
          <w:p w14:paraId="2228BFEC">
            <w:pPr>
              <w:pStyle w:val="11"/>
              <w:rPr>
                <w:rFonts w:hint="eastAsia"/>
                <w:color w:val="0D0D0D" w:themeColor="text1" w:themeTint="F2"/>
                <w14:textFill>
                  <w14:solidFill>
                    <w14:schemeClr w14:val="tx1">
                      <w14:lumMod w14:val="95000"/>
                      <w14:lumOff w14:val="5000"/>
                    </w14:schemeClr>
                  </w14:solidFill>
                </w14:textFill>
              </w:rPr>
            </w:pPr>
          </w:p>
          <w:p w14:paraId="10578EAA">
            <w:pPr>
              <w:pStyle w:val="11"/>
              <w:rPr>
                <w:rFonts w:hint="eastAsia"/>
                <w:color w:val="0D0D0D" w:themeColor="text1" w:themeTint="F2"/>
                <w14:textFill>
                  <w14:solidFill>
                    <w14:schemeClr w14:val="tx1">
                      <w14:lumMod w14:val="95000"/>
                      <w14:lumOff w14:val="5000"/>
                    </w14:schemeClr>
                  </w14:solidFill>
                </w14:textFill>
              </w:rPr>
            </w:pPr>
          </w:p>
          <w:p w14:paraId="0A08BFA4">
            <w:pPr>
              <w:pStyle w:val="11"/>
              <w:rPr>
                <w:rFonts w:hint="eastAsia"/>
                <w:color w:val="0D0D0D" w:themeColor="text1" w:themeTint="F2"/>
                <w14:textFill>
                  <w14:solidFill>
                    <w14:schemeClr w14:val="tx1">
                      <w14:lumMod w14:val="95000"/>
                      <w14:lumOff w14:val="5000"/>
                    </w14:schemeClr>
                  </w14:solidFill>
                </w14:textFill>
              </w:rPr>
            </w:pPr>
          </w:p>
          <w:p w14:paraId="0CACACAE">
            <w:pPr>
              <w:pStyle w:val="11"/>
              <w:rPr>
                <w:rFonts w:hint="eastAsia"/>
                <w:color w:val="0D0D0D" w:themeColor="text1" w:themeTint="F2"/>
                <w14:textFill>
                  <w14:solidFill>
                    <w14:schemeClr w14:val="tx1">
                      <w14:lumMod w14:val="95000"/>
                      <w14:lumOff w14:val="5000"/>
                    </w14:schemeClr>
                  </w14:solidFill>
                </w14:textFill>
              </w:rPr>
            </w:pPr>
          </w:p>
          <w:p w14:paraId="5769483B">
            <w:pPr>
              <w:widowControl/>
              <w:jc w:val="left"/>
              <w:rPr>
                <w:rFonts w:hint="eastAsia" w:ascii="宋体" w:hAnsi="宋体" w:cs="宋体"/>
                <w:color w:val="0D0D0D" w:themeColor="text1" w:themeTint="F2"/>
                <w:kern w:val="0"/>
                <w14:textFill>
                  <w14:solidFill>
                    <w14:schemeClr w14:val="tx1">
                      <w14:lumMod w14:val="95000"/>
                      <w14:lumOff w14:val="5000"/>
                    </w14:schemeClr>
                  </w14:solidFill>
                </w14:textFill>
              </w:rPr>
            </w:pPr>
          </w:p>
          <w:p w14:paraId="7D04E209">
            <w:pPr>
              <w:pStyle w:val="11"/>
              <w:rPr>
                <w:rFonts w:hint="eastAsia"/>
                <w:color w:val="0D0D0D" w:themeColor="text1" w:themeTint="F2"/>
                <w14:textFill>
                  <w14:solidFill>
                    <w14:schemeClr w14:val="tx1">
                      <w14:lumMod w14:val="95000"/>
                      <w14:lumOff w14:val="5000"/>
                    </w14:schemeClr>
                  </w14:solidFill>
                </w14:textFill>
              </w:rPr>
            </w:pPr>
          </w:p>
          <w:p w14:paraId="3F6074F9">
            <w:pPr>
              <w:pStyle w:val="11"/>
              <w:rPr>
                <w:rFonts w:hint="eastAsia"/>
                <w:color w:val="0D0D0D" w:themeColor="text1" w:themeTint="F2"/>
                <w14:textFill>
                  <w14:solidFill>
                    <w14:schemeClr w14:val="tx1">
                      <w14:lumMod w14:val="95000"/>
                      <w14:lumOff w14:val="5000"/>
                    </w14:schemeClr>
                  </w14:solidFill>
                </w14:textFill>
              </w:rPr>
            </w:pPr>
          </w:p>
          <w:p w14:paraId="7274381D">
            <w:pPr>
              <w:pStyle w:val="11"/>
              <w:rPr>
                <w:rFonts w:hint="eastAsia"/>
                <w:color w:val="0D0D0D" w:themeColor="text1" w:themeTint="F2"/>
                <w14:textFill>
                  <w14:solidFill>
                    <w14:schemeClr w14:val="tx1">
                      <w14:lumMod w14:val="95000"/>
                      <w14:lumOff w14:val="5000"/>
                    </w14:schemeClr>
                  </w14:solidFill>
                </w14:textFill>
              </w:rPr>
            </w:pPr>
          </w:p>
          <w:p w14:paraId="6F99B18F">
            <w:pPr>
              <w:pStyle w:val="11"/>
              <w:rPr>
                <w:rFonts w:hint="eastAsia"/>
                <w:color w:val="0D0D0D" w:themeColor="text1" w:themeTint="F2"/>
                <w14:textFill>
                  <w14:solidFill>
                    <w14:schemeClr w14:val="tx1">
                      <w14:lumMod w14:val="95000"/>
                      <w14:lumOff w14:val="5000"/>
                    </w14:schemeClr>
                  </w14:solidFill>
                </w14:textFill>
              </w:rPr>
            </w:pPr>
          </w:p>
          <w:p w14:paraId="763DB30E">
            <w:pPr>
              <w:pStyle w:val="11"/>
              <w:rPr>
                <w:rFonts w:hint="eastAsia"/>
                <w:color w:val="0D0D0D" w:themeColor="text1" w:themeTint="F2"/>
                <w14:textFill>
                  <w14:solidFill>
                    <w14:schemeClr w14:val="tx1">
                      <w14:lumMod w14:val="95000"/>
                      <w14:lumOff w14:val="5000"/>
                    </w14:schemeClr>
                  </w14:solidFill>
                </w14:textFill>
              </w:rPr>
            </w:pPr>
          </w:p>
          <w:p w14:paraId="380B26E2">
            <w:pPr>
              <w:pStyle w:val="11"/>
              <w:rPr>
                <w:rFonts w:hint="eastAsia"/>
                <w:color w:val="0D0D0D" w:themeColor="text1" w:themeTint="F2"/>
                <w14:textFill>
                  <w14:solidFill>
                    <w14:schemeClr w14:val="tx1">
                      <w14:lumMod w14:val="95000"/>
                      <w14:lumOff w14:val="5000"/>
                    </w14:schemeClr>
                  </w14:solidFill>
                </w14:textFill>
              </w:rPr>
            </w:pPr>
          </w:p>
          <w:p w14:paraId="1EDF7D40">
            <w:pPr>
              <w:pStyle w:val="11"/>
              <w:rPr>
                <w:rFonts w:hint="eastAsia"/>
                <w:color w:val="0D0D0D" w:themeColor="text1" w:themeTint="F2"/>
                <w14:textFill>
                  <w14:solidFill>
                    <w14:schemeClr w14:val="tx1">
                      <w14:lumMod w14:val="95000"/>
                      <w14:lumOff w14:val="5000"/>
                    </w14:schemeClr>
                  </w14:solidFill>
                </w14:textFill>
              </w:rPr>
            </w:pPr>
          </w:p>
          <w:p w14:paraId="7ED4CF39">
            <w:pPr>
              <w:pStyle w:val="11"/>
              <w:rPr>
                <w:rFonts w:hint="eastAsia"/>
                <w:color w:val="0D0D0D" w:themeColor="text1" w:themeTint="F2"/>
                <w14:textFill>
                  <w14:solidFill>
                    <w14:schemeClr w14:val="tx1">
                      <w14:lumMod w14:val="95000"/>
                      <w14:lumOff w14:val="5000"/>
                    </w14:schemeClr>
                  </w14:solidFill>
                </w14:textFill>
              </w:rPr>
            </w:pPr>
          </w:p>
        </w:tc>
      </w:tr>
    </w:tbl>
    <w:p w14:paraId="2A4A7F2D">
      <w:pPr>
        <w:widowControl/>
        <w:jc w:val="left"/>
        <w:rPr>
          <w:color w:val="0D0D0D" w:themeColor="text1" w:themeTint="F2"/>
          <w14:textFill>
            <w14:solidFill>
              <w14:schemeClr w14:val="tx1">
                <w14:lumMod w14:val="95000"/>
                <w14:lumOff w14:val="5000"/>
              </w14:schemeClr>
            </w14:solidFill>
          </w14:textFill>
        </w:rPr>
      </w:pPr>
    </w:p>
    <w:sectPr>
      <w:footerReference r:id="rId7" w:type="default"/>
      <w:pgSz w:w="11906" w:h="16838"/>
      <w:pgMar w:top="1418" w:right="1588" w:bottom="1418" w:left="1588" w:header="624" w:footer="680" w:gutter="0"/>
      <w:cols w:space="425"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97CA8609-4B9A-425E-8624-6663E523AF8A}"/>
  </w:font>
  <w:font w:name="黑体">
    <w:panose1 w:val="02010609060101010101"/>
    <w:charset w:val="86"/>
    <w:family w:val="auto"/>
    <w:pitch w:val="default"/>
    <w:sig w:usb0="800002BF" w:usb1="38CF7CFA" w:usb2="00000016" w:usb3="00000000" w:csb0="00040001" w:csb1="00000000"/>
    <w:embedRegular r:id="rId2" w:fontKey="{7AF07FD1-137D-4D63-A563-2C131D2FA4B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ˎ̥">
    <w:altName w:val="Times New Roman"/>
    <w:panose1 w:val="00000000000000000000"/>
    <w:charset w:val="00"/>
    <w:family w:val="roman"/>
    <w:pitch w:val="default"/>
    <w:sig w:usb0="00000000" w:usb1="00000000" w:usb2="00000000" w:usb3="00000000" w:csb0="00040001" w:csb1="00000000"/>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modern"/>
    <w:pitch w:val="default"/>
    <w:sig w:usb0="00000001" w:usb1="080E0000" w:usb2="00000000" w:usb3="00000000" w:csb0="00040000" w:csb1="00000000"/>
    <w:embedRegular r:id="rId3" w:fontKey="{51B860C8-05DD-4986-BDD6-FB90D34A73E9}"/>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4" w:fontKey="{5715BD6B-DE8A-47EE-9FB7-AB98B2E518CE}"/>
  </w:font>
  <w:font w:name="方正仿宋_GBK">
    <w:altName w:val="微软雅黑"/>
    <w:panose1 w:val="02000000000000000000"/>
    <w:charset w:val="86"/>
    <w:family w:val="script"/>
    <w:pitch w:val="default"/>
    <w:sig w:usb0="00000000" w:usb1="00000000" w:usb2="00082016" w:usb3="00000000" w:csb0="0004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5" w:fontKey="{2CE7A0BE-860F-4EC6-8EF2-C46D0AB86718}"/>
  </w:font>
  <w:font w:name="方正小标宋_GBK">
    <w:panose1 w:val="03000509000000000000"/>
    <w:charset w:val="86"/>
    <w:family w:val="script"/>
    <w:pitch w:val="default"/>
    <w:sig w:usb0="00000001" w:usb1="080E0000" w:usb2="00000000" w:usb3="00000000" w:csb0="00040000" w:csb1="00000000"/>
    <w:embedRegular r:id="rId6" w:fontKey="{C520BB74-9417-4A11-A7CC-F58855F8D0A3}"/>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7C6B3F">
    <w:pPr>
      <w:pStyle w:val="17"/>
      <w:ind w:right="360" w:firstLine="360"/>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0BFAE">
    <w:pPr>
      <w:pStyle w:val="17"/>
      <w:framePr w:wrap="around" w:vAnchor="text" w:hAnchor="margin" w:xAlign="outside" w:y="1"/>
      <w:rPr>
        <w:rStyle w:val="31"/>
      </w:rPr>
    </w:pPr>
    <w:r>
      <w:rPr>
        <w:rStyle w:val="31"/>
      </w:rPr>
      <w:fldChar w:fldCharType="begin"/>
    </w:r>
    <w:r>
      <w:rPr>
        <w:rStyle w:val="31"/>
      </w:rPr>
      <w:instrText xml:space="preserve">PAGE  </w:instrText>
    </w:r>
    <w:r>
      <w:rPr>
        <w:rStyle w:val="31"/>
      </w:rPr>
      <w:fldChar w:fldCharType="separate"/>
    </w:r>
    <w:r>
      <w:rPr>
        <w:rStyle w:val="31"/>
      </w:rPr>
      <w:t>1</w:t>
    </w:r>
    <w:r>
      <w:rPr>
        <w:rStyle w:val="31"/>
      </w:rPr>
      <w:fldChar w:fldCharType="end"/>
    </w:r>
  </w:p>
  <w:p w14:paraId="46A62CFC">
    <w:pPr>
      <w:pStyle w:val="17"/>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4678521"/>
    </w:sdtPr>
    <w:sdtContent>
      <w:p w14:paraId="5A6A0B91">
        <w:pPr>
          <w:pStyle w:val="17"/>
          <w:jc w:val="center"/>
        </w:pPr>
        <w:r>
          <w:fldChar w:fldCharType="begin"/>
        </w:r>
        <w:r>
          <w:instrText xml:space="preserve">PAGE   \* MERGEFORMAT</w:instrText>
        </w:r>
        <w:r>
          <w:fldChar w:fldCharType="separate"/>
        </w:r>
        <w:r>
          <w:rPr>
            <w:lang w:val="zh-CN"/>
          </w:rPr>
          <w:t>2</w:t>
        </w:r>
        <w:r>
          <w:fldChar w:fldCharType="end"/>
        </w:r>
      </w:p>
    </w:sdtContent>
  </w:sdt>
  <w:p w14:paraId="314A9697">
    <w:pPr>
      <w:pStyle w:val="17"/>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6996287"/>
      <w:docPartObj>
        <w:docPartGallery w:val="autotext"/>
      </w:docPartObj>
    </w:sdtPr>
    <w:sdtContent>
      <w:p w14:paraId="650DC908">
        <w:pPr>
          <w:pStyle w:val="17"/>
          <w:jc w:val="center"/>
        </w:pPr>
        <w:r>
          <w:fldChar w:fldCharType="begin"/>
        </w:r>
        <w:r>
          <w:instrText xml:space="preserve">PAGE   \* MERGEFORMAT</w:instrText>
        </w:r>
        <w:r>
          <w:fldChar w:fldCharType="separate"/>
        </w:r>
        <w:r>
          <w:rPr>
            <w:lang w:val="zh-CN"/>
          </w:rPr>
          <w:t>2</w:t>
        </w:r>
        <w: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32876087"/>
      <w:docPartObj>
        <w:docPartGallery w:val="autotext"/>
      </w:docPartObj>
    </w:sdtPr>
    <w:sdtContent>
      <w:p w14:paraId="5C0CFE13">
        <w:pPr>
          <w:pStyle w:val="17"/>
          <w:jc w:val="center"/>
        </w:pP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15015"/>
    <w:multiLevelType w:val="multilevel"/>
    <w:tmpl w:val="47D15015"/>
    <w:lvl w:ilvl="0" w:tentative="0">
      <w:start w:val="1"/>
      <w:numFmt w:val="decimal"/>
      <w:suff w:val="space"/>
      <w:lvlText w:val="%1"/>
      <w:lvlJc w:val="left"/>
      <w:pPr>
        <w:ind w:left="0" w:firstLine="0"/>
      </w:pPr>
      <w:rPr>
        <w:rFonts w:hint="eastAsia" w:ascii="黑体" w:eastAsia="黑体"/>
        <w:b w:val="0"/>
        <w:i w:val="0"/>
        <w:sz w:val="32"/>
      </w:rPr>
    </w:lvl>
    <w:lvl w:ilvl="1" w:tentative="0">
      <w:start w:val="1"/>
      <w:numFmt w:val="decimal"/>
      <w:pStyle w:val="3"/>
      <w:suff w:val="space"/>
      <w:lvlText w:val="%1.%2"/>
      <w:lvlJc w:val="left"/>
      <w:pPr>
        <w:ind w:left="0" w:firstLine="0"/>
      </w:pPr>
      <w:rPr>
        <w:rFonts w:hint="eastAsia" w:ascii="黑体" w:eastAsia="黑体"/>
        <w:b w:val="0"/>
        <w:i w:val="0"/>
        <w:sz w:val="28"/>
      </w:rPr>
    </w:lvl>
    <w:lvl w:ilvl="2" w:tentative="0">
      <w:start w:val="1"/>
      <w:numFmt w:val="decimal"/>
      <w:suff w:val="space"/>
      <w:lvlText w:val="%1.%2.%3"/>
      <w:lvlJc w:val="left"/>
      <w:pPr>
        <w:ind w:left="0" w:firstLine="0"/>
      </w:pPr>
      <w:rPr>
        <w:rFonts w:hint="eastAsia" w:ascii="黑体" w:hAnsi="宋体" w:eastAsia="黑体"/>
        <w:b w:val="0"/>
        <w:i w:val="0"/>
        <w:sz w:val="24"/>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embedTrueTypeFonts/>
  <w:saveSubsetFonts/>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characterSpacingControl w:val="doNotCompress"/>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jY2IxMWYwNDI5NTdhYmJhNjliZWZhNGQ1ODAxMzkifQ=="/>
  </w:docVars>
  <w:rsids>
    <w:rsidRoot w:val="63603041"/>
    <w:rsid w:val="0000052E"/>
    <w:rsid w:val="00002111"/>
    <w:rsid w:val="0000282B"/>
    <w:rsid w:val="000035A3"/>
    <w:rsid w:val="0000398D"/>
    <w:rsid w:val="00004028"/>
    <w:rsid w:val="00007A23"/>
    <w:rsid w:val="00007F00"/>
    <w:rsid w:val="0001205F"/>
    <w:rsid w:val="000128B0"/>
    <w:rsid w:val="00013122"/>
    <w:rsid w:val="00013BDB"/>
    <w:rsid w:val="00015E93"/>
    <w:rsid w:val="0001671B"/>
    <w:rsid w:val="0001687A"/>
    <w:rsid w:val="00016F8B"/>
    <w:rsid w:val="00017DAF"/>
    <w:rsid w:val="00020778"/>
    <w:rsid w:val="0002164B"/>
    <w:rsid w:val="00022356"/>
    <w:rsid w:val="000233C6"/>
    <w:rsid w:val="00024D11"/>
    <w:rsid w:val="000251BA"/>
    <w:rsid w:val="000252A9"/>
    <w:rsid w:val="00026A97"/>
    <w:rsid w:val="00026DAD"/>
    <w:rsid w:val="000275C7"/>
    <w:rsid w:val="000276E7"/>
    <w:rsid w:val="00031221"/>
    <w:rsid w:val="00032D1D"/>
    <w:rsid w:val="00033935"/>
    <w:rsid w:val="00034443"/>
    <w:rsid w:val="00036BB2"/>
    <w:rsid w:val="00036FD8"/>
    <w:rsid w:val="00037C45"/>
    <w:rsid w:val="00043144"/>
    <w:rsid w:val="0004404C"/>
    <w:rsid w:val="0004472D"/>
    <w:rsid w:val="00044A1B"/>
    <w:rsid w:val="00047FE0"/>
    <w:rsid w:val="00051C2A"/>
    <w:rsid w:val="0005279F"/>
    <w:rsid w:val="00052B81"/>
    <w:rsid w:val="00053744"/>
    <w:rsid w:val="000566B5"/>
    <w:rsid w:val="00057CDB"/>
    <w:rsid w:val="00060922"/>
    <w:rsid w:val="000646D1"/>
    <w:rsid w:val="00065823"/>
    <w:rsid w:val="00066544"/>
    <w:rsid w:val="00066D8A"/>
    <w:rsid w:val="0006791F"/>
    <w:rsid w:val="000708E4"/>
    <w:rsid w:val="00071D89"/>
    <w:rsid w:val="00072785"/>
    <w:rsid w:val="00073160"/>
    <w:rsid w:val="00075726"/>
    <w:rsid w:val="00077FB7"/>
    <w:rsid w:val="000832C7"/>
    <w:rsid w:val="00084FE3"/>
    <w:rsid w:val="00086D67"/>
    <w:rsid w:val="00086F92"/>
    <w:rsid w:val="00087035"/>
    <w:rsid w:val="00087668"/>
    <w:rsid w:val="00091D6D"/>
    <w:rsid w:val="00091FF9"/>
    <w:rsid w:val="0009211C"/>
    <w:rsid w:val="00093806"/>
    <w:rsid w:val="00094BB9"/>
    <w:rsid w:val="000A2C55"/>
    <w:rsid w:val="000A64E3"/>
    <w:rsid w:val="000A716C"/>
    <w:rsid w:val="000A73B4"/>
    <w:rsid w:val="000A799A"/>
    <w:rsid w:val="000B2E6C"/>
    <w:rsid w:val="000B3281"/>
    <w:rsid w:val="000B3AA9"/>
    <w:rsid w:val="000B74A4"/>
    <w:rsid w:val="000B799E"/>
    <w:rsid w:val="000C0A31"/>
    <w:rsid w:val="000C380E"/>
    <w:rsid w:val="000C61BE"/>
    <w:rsid w:val="000D0E74"/>
    <w:rsid w:val="000D13D2"/>
    <w:rsid w:val="000D29E0"/>
    <w:rsid w:val="000D2D8E"/>
    <w:rsid w:val="000D6B30"/>
    <w:rsid w:val="000D6F87"/>
    <w:rsid w:val="000D766F"/>
    <w:rsid w:val="000E3771"/>
    <w:rsid w:val="000E68BD"/>
    <w:rsid w:val="000F14D3"/>
    <w:rsid w:val="000F189B"/>
    <w:rsid w:val="000F35FD"/>
    <w:rsid w:val="000F3AD3"/>
    <w:rsid w:val="000F4E55"/>
    <w:rsid w:val="000F50F3"/>
    <w:rsid w:val="000F5505"/>
    <w:rsid w:val="0010099A"/>
    <w:rsid w:val="00100CF5"/>
    <w:rsid w:val="00105010"/>
    <w:rsid w:val="00105030"/>
    <w:rsid w:val="00105861"/>
    <w:rsid w:val="001071A4"/>
    <w:rsid w:val="001075D2"/>
    <w:rsid w:val="0011028C"/>
    <w:rsid w:val="0011273E"/>
    <w:rsid w:val="00112792"/>
    <w:rsid w:val="00112AFC"/>
    <w:rsid w:val="00113F50"/>
    <w:rsid w:val="00116352"/>
    <w:rsid w:val="0011641C"/>
    <w:rsid w:val="00121159"/>
    <w:rsid w:val="00121F37"/>
    <w:rsid w:val="00122E62"/>
    <w:rsid w:val="00124232"/>
    <w:rsid w:val="00124925"/>
    <w:rsid w:val="00125361"/>
    <w:rsid w:val="00125EF1"/>
    <w:rsid w:val="001265AC"/>
    <w:rsid w:val="00131AE2"/>
    <w:rsid w:val="001329FC"/>
    <w:rsid w:val="0013338B"/>
    <w:rsid w:val="00133E08"/>
    <w:rsid w:val="00135589"/>
    <w:rsid w:val="0013672A"/>
    <w:rsid w:val="001372D7"/>
    <w:rsid w:val="0013796A"/>
    <w:rsid w:val="00137CB2"/>
    <w:rsid w:val="00142842"/>
    <w:rsid w:val="00144C02"/>
    <w:rsid w:val="00145310"/>
    <w:rsid w:val="00146343"/>
    <w:rsid w:val="001472B2"/>
    <w:rsid w:val="0015053E"/>
    <w:rsid w:val="001510F9"/>
    <w:rsid w:val="00151123"/>
    <w:rsid w:val="00151961"/>
    <w:rsid w:val="001522EB"/>
    <w:rsid w:val="00152D3D"/>
    <w:rsid w:val="00152FFC"/>
    <w:rsid w:val="00153AE4"/>
    <w:rsid w:val="00154520"/>
    <w:rsid w:val="00156055"/>
    <w:rsid w:val="00156FC3"/>
    <w:rsid w:val="00157098"/>
    <w:rsid w:val="00157C71"/>
    <w:rsid w:val="00162A15"/>
    <w:rsid w:val="00163B67"/>
    <w:rsid w:val="00165513"/>
    <w:rsid w:val="00166026"/>
    <w:rsid w:val="00166A6D"/>
    <w:rsid w:val="0016714B"/>
    <w:rsid w:val="00170385"/>
    <w:rsid w:val="001707F6"/>
    <w:rsid w:val="00170C84"/>
    <w:rsid w:val="00171536"/>
    <w:rsid w:val="00173D62"/>
    <w:rsid w:val="001763C7"/>
    <w:rsid w:val="0017698D"/>
    <w:rsid w:val="001827DF"/>
    <w:rsid w:val="0018418A"/>
    <w:rsid w:val="0018553C"/>
    <w:rsid w:val="00185A99"/>
    <w:rsid w:val="00186067"/>
    <w:rsid w:val="00187F53"/>
    <w:rsid w:val="0019128D"/>
    <w:rsid w:val="00191BDE"/>
    <w:rsid w:val="001932DE"/>
    <w:rsid w:val="00194F8C"/>
    <w:rsid w:val="00195945"/>
    <w:rsid w:val="001A08DC"/>
    <w:rsid w:val="001A20CB"/>
    <w:rsid w:val="001A4FAC"/>
    <w:rsid w:val="001A5D32"/>
    <w:rsid w:val="001B3F30"/>
    <w:rsid w:val="001B5074"/>
    <w:rsid w:val="001B724E"/>
    <w:rsid w:val="001C10AA"/>
    <w:rsid w:val="001C1214"/>
    <w:rsid w:val="001C35B0"/>
    <w:rsid w:val="001C58F7"/>
    <w:rsid w:val="001C6C1B"/>
    <w:rsid w:val="001C79E9"/>
    <w:rsid w:val="001D4D7A"/>
    <w:rsid w:val="001D55B8"/>
    <w:rsid w:val="001D7692"/>
    <w:rsid w:val="001E0814"/>
    <w:rsid w:val="001E123C"/>
    <w:rsid w:val="001E2AB4"/>
    <w:rsid w:val="001E4162"/>
    <w:rsid w:val="001E472B"/>
    <w:rsid w:val="001E47F3"/>
    <w:rsid w:val="001E6625"/>
    <w:rsid w:val="001E6C15"/>
    <w:rsid w:val="001F0226"/>
    <w:rsid w:val="001F1570"/>
    <w:rsid w:val="001F41A0"/>
    <w:rsid w:val="001F4691"/>
    <w:rsid w:val="001F4712"/>
    <w:rsid w:val="001F482D"/>
    <w:rsid w:val="001F53E3"/>
    <w:rsid w:val="00200934"/>
    <w:rsid w:val="002016C8"/>
    <w:rsid w:val="0020194B"/>
    <w:rsid w:val="0020459A"/>
    <w:rsid w:val="0020498B"/>
    <w:rsid w:val="00207673"/>
    <w:rsid w:val="00211427"/>
    <w:rsid w:val="00213BC0"/>
    <w:rsid w:val="00214389"/>
    <w:rsid w:val="00215278"/>
    <w:rsid w:val="002206DC"/>
    <w:rsid w:val="00222AC6"/>
    <w:rsid w:val="00223137"/>
    <w:rsid w:val="00226738"/>
    <w:rsid w:val="00227B86"/>
    <w:rsid w:val="0023041B"/>
    <w:rsid w:val="00231C2F"/>
    <w:rsid w:val="00231DEE"/>
    <w:rsid w:val="00232E9A"/>
    <w:rsid w:val="002341C4"/>
    <w:rsid w:val="00235D91"/>
    <w:rsid w:val="002405DC"/>
    <w:rsid w:val="00240D97"/>
    <w:rsid w:val="00242186"/>
    <w:rsid w:val="00250171"/>
    <w:rsid w:val="00252EA1"/>
    <w:rsid w:val="0025588B"/>
    <w:rsid w:val="00261CAA"/>
    <w:rsid w:val="0026401D"/>
    <w:rsid w:val="00267449"/>
    <w:rsid w:val="00267A39"/>
    <w:rsid w:val="00270A0C"/>
    <w:rsid w:val="00270BFE"/>
    <w:rsid w:val="00272096"/>
    <w:rsid w:val="0027476E"/>
    <w:rsid w:val="00277B64"/>
    <w:rsid w:val="0028180F"/>
    <w:rsid w:val="00281DD6"/>
    <w:rsid w:val="00282A4B"/>
    <w:rsid w:val="00282B07"/>
    <w:rsid w:val="002842F7"/>
    <w:rsid w:val="00286873"/>
    <w:rsid w:val="00290709"/>
    <w:rsid w:val="002909FB"/>
    <w:rsid w:val="00291AFE"/>
    <w:rsid w:val="00291D33"/>
    <w:rsid w:val="00292A0C"/>
    <w:rsid w:val="00292DE5"/>
    <w:rsid w:val="002941B0"/>
    <w:rsid w:val="00296610"/>
    <w:rsid w:val="002A2C3E"/>
    <w:rsid w:val="002A2D25"/>
    <w:rsid w:val="002A48B0"/>
    <w:rsid w:val="002B04AC"/>
    <w:rsid w:val="002B0913"/>
    <w:rsid w:val="002B09EB"/>
    <w:rsid w:val="002B3A89"/>
    <w:rsid w:val="002B50B4"/>
    <w:rsid w:val="002B7E0B"/>
    <w:rsid w:val="002C0CCF"/>
    <w:rsid w:val="002C0DEB"/>
    <w:rsid w:val="002C7799"/>
    <w:rsid w:val="002D1252"/>
    <w:rsid w:val="002D49FF"/>
    <w:rsid w:val="002D5FA6"/>
    <w:rsid w:val="002E1D74"/>
    <w:rsid w:val="002E3788"/>
    <w:rsid w:val="002E3AA6"/>
    <w:rsid w:val="002E6226"/>
    <w:rsid w:val="002F4169"/>
    <w:rsid w:val="002F4E8E"/>
    <w:rsid w:val="0030169B"/>
    <w:rsid w:val="0030434D"/>
    <w:rsid w:val="00305714"/>
    <w:rsid w:val="00311727"/>
    <w:rsid w:val="003127CA"/>
    <w:rsid w:val="00314F4D"/>
    <w:rsid w:val="003158D5"/>
    <w:rsid w:val="00315B84"/>
    <w:rsid w:val="0031685D"/>
    <w:rsid w:val="0031720F"/>
    <w:rsid w:val="00317461"/>
    <w:rsid w:val="0032234F"/>
    <w:rsid w:val="00322E23"/>
    <w:rsid w:val="003325E6"/>
    <w:rsid w:val="00337749"/>
    <w:rsid w:val="00337E4F"/>
    <w:rsid w:val="00340305"/>
    <w:rsid w:val="003412A4"/>
    <w:rsid w:val="0034396E"/>
    <w:rsid w:val="0034734C"/>
    <w:rsid w:val="0035116E"/>
    <w:rsid w:val="00351A97"/>
    <w:rsid w:val="0035219B"/>
    <w:rsid w:val="00352EBB"/>
    <w:rsid w:val="0035333D"/>
    <w:rsid w:val="00353451"/>
    <w:rsid w:val="0036189B"/>
    <w:rsid w:val="00363018"/>
    <w:rsid w:val="00363639"/>
    <w:rsid w:val="00364C97"/>
    <w:rsid w:val="00365EEA"/>
    <w:rsid w:val="0036786B"/>
    <w:rsid w:val="00374A78"/>
    <w:rsid w:val="00376163"/>
    <w:rsid w:val="003778DF"/>
    <w:rsid w:val="00380030"/>
    <w:rsid w:val="003810B8"/>
    <w:rsid w:val="003824B3"/>
    <w:rsid w:val="00383249"/>
    <w:rsid w:val="00385287"/>
    <w:rsid w:val="003860C7"/>
    <w:rsid w:val="00391A09"/>
    <w:rsid w:val="00391BE5"/>
    <w:rsid w:val="003931B5"/>
    <w:rsid w:val="0039592F"/>
    <w:rsid w:val="00396033"/>
    <w:rsid w:val="0039713B"/>
    <w:rsid w:val="00397B35"/>
    <w:rsid w:val="003A29F2"/>
    <w:rsid w:val="003A472A"/>
    <w:rsid w:val="003A6CAD"/>
    <w:rsid w:val="003A733A"/>
    <w:rsid w:val="003B1757"/>
    <w:rsid w:val="003B4F66"/>
    <w:rsid w:val="003B612C"/>
    <w:rsid w:val="003B7FF5"/>
    <w:rsid w:val="003C0258"/>
    <w:rsid w:val="003C32D6"/>
    <w:rsid w:val="003C3A43"/>
    <w:rsid w:val="003C5E04"/>
    <w:rsid w:val="003C7A3D"/>
    <w:rsid w:val="003C7B53"/>
    <w:rsid w:val="003D0E60"/>
    <w:rsid w:val="003D2BBC"/>
    <w:rsid w:val="003D35E5"/>
    <w:rsid w:val="003D424F"/>
    <w:rsid w:val="003D573F"/>
    <w:rsid w:val="003D6179"/>
    <w:rsid w:val="003E0A70"/>
    <w:rsid w:val="003E27CB"/>
    <w:rsid w:val="003E2845"/>
    <w:rsid w:val="003E367E"/>
    <w:rsid w:val="003E5576"/>
    <w:rsid w:val="003E5C56"/>
    <w:rsid w:val="003E6FC1"/>
    <w:rsid w:val="003E774B"/>
    <w:rsid w:val="003E7B9A"/>
    <w:rsid w:val="003F1834"/>
    <w:rsid w:val="003F264D"/>
    <w:rsid w:val="003F2946"/>
    <w:rsid w:val="003F37AB"/>
    <w:rsid w:val="00400C4F"/>
    <w:rsid w:val="00402214"/>
    <w:rsid w:val="004026D8"/>
    <w:rsid w:val="004061AF"/>
    <w:rsid w:val="00407416"/>
    <w:rsid w:val="00407BCA"/>
    <w:rsid w:val="0041279C"/>
    <w:rsid w:val="0041658F"/>
    <w:rsid w:val="00416953"/>
    <w:rsid w:val="0042188F"/>
    <w:rsid w:val="004229FC"/>
    <w:rsid w:val="004235DB"/>
    <w:rsid w:val="004248B9"/>
    <w:rsid w:val="0042569B"/>
    <w:rsid w:val="00425B3A"/>
    <w:rsid w:val="004269EB"/>
    <w:rsid w:val="00426D12"/>
    <w:rsid w:val="00431F82"/>
    <w:rsid w:val="004325F0"/>
    <w:rsid w:val="00433441"/>
    <w:rsid w:val="00434DBF"/>
    <w:rsid w:val="0043610C"/>
    <w:rsid w:val="00440A43"/>
    <w:rsid w:val="004436C3"/>
    <w:rsid w:val="00443A87"/>
    <w:rsid w:val="004440F0"/>
    <w:rsid w:val="0044560A"/>
    <w:rsid w:val="00445C13"/>
    <w:rsid w:val="00445D14"/>
    <w:rsid w:val="004465CF"/>
    <w:rsid w:val="0044672D"/>
    <w:rsid w:val="00447566"/>
    <w:rsid w:val="00451C6B"/>
    <w:rsid w:val="004528AB"/>
    <w:rsid w:val="004609EE"/>
    <w:rsid w:val="00461BED"/>
    <w:rsid w:val="00463278"/>
    <w:rsid w:val="0046329B"/>
    <w:rsid w:val="0046495C"/>
    <w:rsid w:val="00466EBD"/>
    <w:rsid w:val="004704FA"/>
    <w:rsid w:val="00470809"/>
    <w:rsid w:val="004717EF"/>
    <w:rsid w:val="00472AFF"/>
    <w:rsid w:val="00472B06"/>
    <w:rsid w:val="00472FE0"/>
    <w:rsid w:val="00473085"/>
    <w:rsid w:val="004734CE"/>
    <w:rsid w:val="00473F93"/>
    <w:rsid w:val="00476540"/>
    <w:rsid w:val="00477B24"/>
    <w:rsid w:val="00477C43"/>
    <w:rsid w:val="00477EEF"/>
    <w:rsid w:val="00481546"/>
    <w:rsid w:val="00483BB5"/>
    <w:rsid w:val="004840E3"/>
    <w:rsid w:val="00484280"/>
    <w:rsid w:val="00484C5C"/>
    <w:rsid w:val="00484FAD"/>
    <w:rsid w:val="00485802"/>
    <w:rsid w:val="00485F5D"/>
    <w:rsid w:val="0048733E"/>
    <w:rsid w:val="004876E6"/>
    <w:rsid w:val="0048781B"/>
    <w:rsid w:val="00490859"/>
    <w:rsid w:val="00490EE9"/>
    <w:rsid w:val="00492043"/>
    <w:rsid w:val="00494643"/>
    <w:rsid w:val="00494D3D"/>
    <w:rsid w:val="00495E69"/>
    <w:rsid w:val="00496E1F"/>
    <w:rsid w:val="004A1ECF"/>
    <w:rsid w:val="004A535F"/>
    <w:rsid w:val="004A568D"/>
    <w:rsid w:val="004A7977"/>
    <w:rsid w:val="004B32F6"/>
    <w:rsid w:val="004B39C3"/>
    <w:rsid w:val="004B4A04"/>
    <w:rsid w:val="004B5418"/>
    <w:rsid w:val="004B5613"/>
    <w:rsid w:val="004B6A2E"/>
    <w:rsid w:val="004C4F4B"/>
    <w:rsid w:val="004D1DEF"/>
    <w:rsid w:val="004D28C7"/>
    <w:rsid w:val="004D44EB"/>
    <w:rsid w:val="004D6361"/>
    <w:rsid w:val="004D6999"/>
    <w:rsid w:val="004D72F3"/>
    <w:rsid w:val="004D79C4"/>
    <w:rsid w:val="004E4013"/>
    <w:rsid w:val="004E4C8D"/>
    <w:rsid w:val="004E594B"/>
    <w:rsid w:val="004E606C"/>
    <w:rsid w:val="004F4DD5"/>
    <w:rsid w:val="004F7BFD"/>
    <w:rsid w:val="00503149"/>
    <w:rsid w:val="005043D0"/>
    <w:rsid w:val="0050493E"/>
    <w:rsid w:val="00504A56"/>
    <w:rsid w:val="00506344"/>
    <w:rsid w:val="00507617"/>
    <w:rsid w:val="00511DF3"/>
    <w:rsid w:val="00513877"/>
    <w:rsid w:val="00517418"/>
    <w:rsid w:val="00520A19"/>
    <w:rsid w:val="00523759"/>
    <w:rsid w:val="00531496"/>
    <w:rsid w:val="00534209"/>
    <w:rsid w:val="0053460E"/>
    <w:rsid w:val="00535BD7"/>
    <w:rsid w:val="00535F1E"/>
    <w:rsid w:val="00536299"/>
    <w:rsid w:val="0053664A"/>
    <w:rsid w:val="00537FB4"/>
    <w:rsid w:val="0054229E"/>
    <w:rsid w:val="00542603"/>
    <w:rsid w:val="00545A0F"/>
    <w:rsid w:val="00545C10"/>
    <w:rsid w:val="00550035"/>
    <w:rsid w:val="0055347F"/>
    <w:rsid w:val="005545B2"/>
    <w:rsid w:val="00555A41"/>
    <w:rsid w:val="00555C38"/>
    <w:rsid w:val="00555E8D"/>
    <w:rsid w:val="0055697E"/>
    <w:rsid w:val="00557C95"/>
    <w:rsid w:val="0056334E"/>
    <w:rsid w:val="005648B1"/>
    <w:rsid w:val="00565401"/>
    <w:rsid w:val="00565A99"/>
    <w:rsid w:val="00570645"/>
    <w:rsid w:val="005707CB"/>
    <w:rsid w:val="00572397"/>
    <w:rsid w:val="00572A8E"/>
    <w:rsid w:val="00573929"/>
    <w:rsid w:val="00574A4D"/>
    <w:rsid w:val="00576BC8"/>
    <w:rsid w:val="00577BDC"/>
    <w:rsid w:val="00587298"/>
    <w:rsid w:val="00587C5B"/>
    <w:rsid w:val="005921AA"/>
    <w:rsid w:val="005922D5"/>
    <w:rsid w:val="00593B4C"/>
    <w:rsid w:val="005949D4"/>
    <w:rsid w:val="005A1985"/>
    <w:rsid w:val="005A2515"/>
    <w:rsid w:val="005A2989"/>
    <w:rsid w:val="005A37EE"/>
    <w:rsid w:val="005A4DEE"/>
    <w:rsid w:val="005A616A"/>
    <w:rsid w:val="005A704D"/>
    <w:rsid w:val="005A72F0"/>
    <w:rsid w:val="005A7F64"/>
    <w:rsid w:val="005B0449"/>
    <w:rsid w:val="005B5C41"/>
    <w:rsid w:val="005B716B"/>
    <w:rsid w:val="005B73B0"/>
    <w:rsid w:val="005C0197"/>
    <w:rsid w:val="005C091D"/>
    <w:rsid w:val="005C0A47"/>
    <w:rsid w:val="005C0C11"/>
    <w:rsid w:val="005C112C"/>
    <w:rsid w:val="005C1669"/>
    <w:rsid w:val="005C1B9C"/>
    <w:rsid w:val="005C4798"/>
    <w:rsid w:val="005C6966"/>
    <w:rsid w:val="005D1282"/>
    <w:rsid w:val="005D6331"/>
    <w:rsid w:val="005D74CD"/>
    <w:rsid w:val="005E0205"/>
    <w:rsid w:val="005E2BC6"/>
    <w:rsid w:val="005F037B"/>
    <w:rsid w:val="005F15E9"/>
    <w:rsid w:val="005F1765"/>
    <w:rsid w:val="005F35ED"/>
    <w:rsid w:val="005F5674"/>
    <w:rsid w:val="005F6A6F"/>
    <w:rsid w:val="006021FC"/>
    <w:rsid w:val="006033F4"/>
    <w:rsid w:val="006040E2"/>
    <w:rsid w:val="00605324"/>
    <w:rsid w:val="0060641C"/>
    <w:rsid w:val="00607A81"/>
    <w:rsid w:val="00612474"/>
    <w:rsid w:val="00612616"/>
    <w:rsid w:val="00612A05"/>
    <w:rsid w:val="00613D44"/>
    <w:rsid w:val="00614BF9"/>
    <w:rsid w:val="0061527D"/>
    <w:rsid w:val="0061670C"/>
    <w:rsid w:val="00620D9D"/>
    <w:rsid w:val="006216BB"/>
    <w:rsid w:val="006225CC"/>
    <w:rsid w:val="0062509A"/>
    <w:rsid w:val="00630C62"/>
    <w:rsid w:val="00631721"/>
    <w:rsid w:val="00631EF3"/>
    <w:rsid w:val="00633271"/>
    <w:rsid w:val="00633AA8"/>
    <w:rsid w:val="006353E2"/>
    <w:rsid w:val="00636B7D"/>
    <w:rsid w:val="0063784B"/>
    <w:rsid w:val="00643FC9"/>
    <w:rsid w:val="0064577B"/>
    <w:rsid w:val="00646C00"/>
    <w:rsid w:val="006509CE"/>
    <w:rsid w:val="00651846"/>
    <w:rsid w:val="00652C5D"/>
    <w:rsid w:val="006534FF"/>
    <w:rsid w:val="00653594"/>
    <w:rsid w:val="00661F59"/>
    <w:rsid w:val="00663D1C"/>
    <w:rsid w:val="006644C0"/>
    <w:rsid w:val="00671A00"/>
    <w:rsid w:val="00673314"/>
    <w:rsid w:val="00675B6F"/>
    <w:rsid w:val="00677AEB"/>
    <w:rsid w:val="0068232F"/>
    <w:rsid w:val="00682870"/>
    <w:rsid w:val="00684CA4"/>
    <w:rsid w:val="00686ED2"/>
    <w:rsid w:val="00686F73"/>
    <w:rsid w:val="00687968"/>
    <w:rsid w:val="00690C08"/>
    <w:rsid w:val="00693BD3"/>
    <w:rsid w:val="00694D68"/>
    <w:rsid w:val="00695E1C"/>
    <w:rsid w:val="00695F3D"/>
    <w:rsid w:val="00696890"/>
    <w:rsid w:val="006972E6"/>
    <w:rsid w:val="006974D8"/>
    <w:rsid w:val="006A0A0E"/>
    <w:rsid w:val="006A15A7"/>
    <w:rsid w:val="006A1F6B"/>
    <w:rsid w:val="006A3330"/>
    <w:rsid w:val="006A3CDE"/>
    <w:rsid w:val="006A40C6"/>
    <w:rsid w:val="006A433E"/>
    <w:rsid w:val="006A490E"/>
    <w:rsid w:val="006A6BE4"/>
    <w:rsid w:val="006A7125"/>
    <w:rsid w:val="006A78E3"/>
    <w:rsid w:val="006B1F0E"/>
    <w:rsid w:val="006B3785"/>
    <w:rsid w:val="006B38E7"/>
    <w:rsid w:val="006B7309"/>
    <w:rsid w:val="006C026F"/>
    <w:rsid w:val="006C11B4"/>
    <w:rsid w:val="006C2440"/>
    <w:rsid w:val="006C259F"/>
    <w:rsid w:val="006D01FE"/>
    <w:rsid w:val="006D0304"/>
    <w:rsid w:val="006D3B0D"/>
    <w:rsid w:val="006D3E5E"/>
    <w:rsid w:val="006D478A"/>
    <w:rsid w:val="006D4A87"/>
    <w:rsid w:val="006D4D35"/>
    <w:rsid w:val="006D58C6"/>
    <w:rsid w:val="006D5E61"/>
    <w:rsid w:val="006D616F"/>
    <w:rsid w:val="006D7942"/>
    <w:rsid w:val="006E06DB"/>
    <w:rsid w:val="006E0B16"/>
    <w:rsid w:val="006E341F"/>
    <w:rsid w:val="006E3888"/>
    <w:rsid w:val="006E7F30"/>
    <w:rsid w:val="006F100E"/>
    <w:rsid w:val="006F1FEA"/>
    <w:rsid w:val="006F287B"/>
    <w:rsid w:val="006F454A"/>
    <w:rsid w:val="006F4EB5"/>
    <w:rsid w:val="006F5D21"/>
    <w:rsid w:val="006F5D5B"/>
    <w:rsid w:val="006F766F"/>
    <w:rsid w:val="00702E26"/>
    <w:rsid w:val="007039E3"/>
    <w:rsid w:val="00703A1E"/>
    <w:rsid w:val="00704B07"/>
    <w:rsid w:val="0070678D"/>
    <w:rsid w:val="00717E6A"/>
    <w:rsid w:val="00720365"/>
    <w:rsid w:val="007225E2"/>
    <w:rsid w:val="00722669"/>
    <w:rsid w:val="00723655"/>
    <w:rsid w:val="0072453F"/>
    <w:rsid w:val="00724A8A"/>
    <w:rsid w:val="00724F14"/>
    <w:rsid w:val="0072507A"/>
    <w:rsid w:val="00725E0E"/>
    <w:rsid w:val="007263BF"/>
    <w:rsid w:val="00733CBC"/>
    <w:rsid w:val="00734B1C"/>
    <w:rsid w:val="00735645"/>
    <w:rsid w:val="00735A21"/>
    <w:rsid w:val="00735F7F"/>
    <w:rsid w:val="00736A0F"/>
    <w:rsid w:val="00741214"/>
    <w:rsid w:val="00741270"/>
    <w:rsid w:val="00741496"/>
    <w:rsid w:val="00742182"/>
    <w:rsid w:val="007446D7"/>
    <w:rsid w:val="00746D91"/>
    <w:rsid w:val="00747225"/>
    <w:rsid w:val="00750CA1"/>
    <w:rsid w:val="007532AF"/>
    <w:rsid w:val="00753C2B"/>
    <w:rsid w:val="0075523F"/>
    <w:rsid w:val="00760072"/>
    <w:rsid w:val="007615EA"/>
    <w:rsid w:val="00761896"/>
    <w:rsid w:val="00762FF7"/>
    <w:rsid w:val="00763AA8"/>
    <w:rsid w:val="00763E82"/>
    <w:rsid w:val="007667E9"/>
    <w:rsid w:val="00770391"/>
    <w:rsid w:val="007705DB"/>
    <w:rsid w:val="00771732"/>
    <w:rsid w:val="00771A54"/>
    <w:rsid w:val="00773B9C"/>
    <w:rsid w:val="00774007"/>
    <w:rsid w:val="00777ABC"/>
    <w:rsid w:val="007800AA"/>
    <w:rsid w:val="00780B79"/>
    <w:rsid w:val="0078101B"/>
    <w:rsid w:val="007818DC"/>
    <w:rsid w:val="007822FF"/>
    <w:rsid w:val="00783EC9"/>
    <w:rsid w:val="007905B1"/>
    <w:rsid w:val="00790AA4"/>
    <w:rsid w:val="00792DBA"/>
    <w:rsid w:val="00797FD8"/>
    <w:rsid w:val="007A0785"/>
    <w:rsid w:val="007A0D09"/>
    <w:rsid w:val="007A22D0"/>
    <w:rsid w:val="007B1AA4"/>
    <w:rsid w:val="007B1AEF"/>
    <w:rsid w:val="007B22C5"/>
    <w:rsid w:val="007B53F0"/>
    <w:rsid w:val="007B55CE"/>
    <w:rsid w:val="007B588F"/>
    <w:rsid w:val="007B5D00"/>
    <w:rsid w:val="007B7D9F"/>
    <w:rsid w:val="007C026D"/>
    <w:rsid w:val="007C1CBD"/>
    <w:rsid w:val="007C4380"/>
    <w:rsid w:val="007C626C"/>
    <w:rsid w:val="007C77BC"/>
    <w:rsid w:val="007D1E32"/>
    <w:rsid w:val="007D37D9"/>
    <w:rsid w:val="007D41F8"/>
    <w:rsid w:val="007D4BCD"/>
    <w:rsid w:val="007D4EF5"/>
    <w:rsid w:val="007E18B5"/>
    <w:rsid w:val="007E2327"/>
    <w:rsid w:val="007E27EE"/>
    <w:rsid w:val="007E3901"/>
    <w:rsid w:val="007E7608"/>
    <w:rsid w:val="007E7A7F"/>
    <w:rsid w:val="007F0CC4"/>
    <w:rsid w:val="007F2919"/>
    <w:rsid w:val="007F3555"/>
    <w:rsid w:val="007F386C"/>
    <w:rsid w:val="007F46A9"/>
    <w:rsid w:val="007F6A70"/>
    <w:rsid w:val="008009FF"/>
    <w:rsid w:val="008013A2"/>
    <w:rsid w:val="00802FF7"/>
    <w:rsid w:val="008040AA"/>
    <w:rsid w:val="008054A6"/>
    <w:rsid w:val="0080682F"/>
    <w:rsid w:val="00807215"/>
    <w:rsid w:val="00810BF4"/>
    <w:rsid w:val="00810CAB"/>
    <w:rsid w:val="00812BD7"/>
    <w:rsid w:val="00812E67"/>
    <w:rsid w:val="00816155"/>
    <w:rsid w:val="00816226"/>
    <w:rsid w:val="008200AC"/>
    <w:rsid w:val="008207D2"/>
    <w:rsid w:val="00821A92"/>
    <w:rsid w:val="00822D6C"/>
    <w:rsid w:val="00824262"/>
    <w:rsid w:val="008246CE"/>
    <w:rsid w:val="008248CC"/>
    <w:rsid w:val="00824B67"/>
    <w:rsid w:val="00825A55"/>
    <w:rsid w:val="008302B6"/>
    <w:rsid w:val="00833896"/>
    <w:rsid w:val="00833A94"/>
    <w:rsid w:val="00834823"/>
    <w:rsid w:val="00840138"/>
    <w:rsid w:val="00843B09"/>
    <w:rsid w:val="0084483E"/>
    <w:rsid w:val="00845478"/>
    <w:rsid w:val="00845580"/>
    <w:rsid w:val="00850DB5"/>
    <w:rsid w:val="0085138B"/>
    <w:rsid w:val="008534F2"/>
    <w:rsid w:val="00853903"/>
    <w:rsid w:val="00853CD0"/>
    <w:rsid w:val="00854F0A"/>
    <w:rsid w:val="00856B0A"/>
    <w:rsid w:val="008570C5"/>
    <w:rsid w:val="0086041F"/>
    <w:rsid w:val="00860E9C"/>
    <w:rsid w:val="00863C12"/>
    <w:rsid w:val="00863C14"/>
    <w:rsid w:val="0086538A"/>
    <w:rsid w:val="008653A1"/>
    <w:rsid w:val="0086679B"/>
    <w:rsid w:val="00866A05"/>
    <w:rsid w:val="00867421"/>
    <w:rsid w:val="008705A5"/>
    <w:rsid w:val="00870CB3"/>
    <w:rsid w:val="0087574C"/>
    <w:rsid w:val="0087577F"/>
    <w:rsid w:val="00875F44"/>
    <w:rsid w:val="0088116A"/>
    <w:rsid w:val="00885FE7"/>
    <w:rsid w:val="008863AA"/>
    <w:rsid w:val="008871A2"/>
    <w:rsid w:val="00891283"/>
    <w:rsid w:val="00892CFF"/>
    <w:rsid w:val="008936A7"/>
    <w:rsid w:val="008939BE"/>
    <w:rsid w:val="008952F4"/>
    <w:rsid w:val="008A2987"/>
    <w:rsid w:val="008A2D5E"/>
    <w:rsid w:val="008A3502"/>
    <w:rsid w:val="008A43FB"/>
    <w:rsid w:val="008A7B63"/>
    <w:rsid w:val="008B42DC"/>
    <w:rsid w:val="008B4589"/>
    <w:rsid w:val="008B57DB"/>
    <w:rsid w:val="008B6620"/>
    <w:rsid w:val="008B67FC"/>
    <w:rsid w:val="008C268D"/>
    <w:rsid w:val="008C2938"/>
    <w:rsid w:val="008C3F49"/>
    <w:rsid w:val="008C4C9D"/>
    <w:rsid w:val="008C6899"/>
    <w:rsid w:val="008C6C3E"/>
    <w:rsid w:val="008C73FC"/>
    <w:rsid w:val="008D1947"/>
    <w:rsid w:val="008D1B92"/>
    <w:rsid w:val="008D2445"/>
    <w:rsid w:val="008D2E70"/>
    <w:rsid w:val="008D7EAC"/>
    <w:rsid w:val="008E009E"/>
    <w:rsid w:val="008E02CC"/>
    <w:rsid w:val="008E0740"/>
    <w:rsid w:val="008E0E73"/>
    <w:rsid w:val="008E2DF0"/>
    <w:rsid w:val="008E3AA6"/>
    <w:rsid w:val="008E4B62"/>
    <w:rsid w:val="008E5DF2"/>
    <w:rsid w:val="008E745E"/>
    <w:rsid w:val="008F09C6"/>
    <w:rsid w:val="008F2571"/>
    <w:rsid w:val="00900814"/>
    <w:rsid w:val="00901F06"/>
    <w:rsid w:val="0090317C"/>
    <w:rsid w:val="009078E4"/>
    <w:rsid w:val="009114B6"/>
    <w:rsid w:val="00915005"/>
    <w:rsid w:val="00916722"/>
    <w:rsid w:val="00921CA1"/>
    <w:rsid w:val="00926158"/>
    <w:rsid w:val="0092634C"/>
    <w:rsid w:val="009277AB"/>
    <w:rsid w:val="00932E66"/>
    <w:rsid w:val="0093319D"/>
    <w:rsid w:val="00933DBF"/>
    <w:rsid w:val="009351F0"/>
    <w:rsid w:val="00936EFE"/>
    <w:rsid w:val="0093705B"/>
    <w:rsid w:val="009370B8"/>
    <w:rsid w:val="009409C8"/>
    <w:rsid w:val="009425AF"/>
    <w:rsid w:val="00944839"/>
    <w:rsid w:val="00947AFD"/>
    <w:rsid w:val="00950716"/>
    <w:rsid w:val="00950ABF"/>
    <w:rsid w:val="00950B52"/>
    <w:rsid w:val="0095623A"/>
    <w:rsid w:val="009604D4"/>
    <w:rsid w:val="0096247B"/>
    <w:rsid w:val="009635D1"/>
    <w:rsid w:val="00963CD8"/>
    <w:rsid w:val="00965AD7"/>
    <w:rsid w:val="00966582"/>
    <w:rsid w:val="00966C3D"/>
    <w:rsid w:val="00972451"/>
    <w:rsid w:val="00972C29"/>
    <w:rsid w:val="00973A93"/>
    <w:rsid w:val="009806A4"/>
    <w:rsid w:val="00981079"/>
    <w:rsid w:val="00982190"/>
    <w:rsid w:val="00984F44"/>
    <w:rsid w:val="0098538C"/>
    <w:rsid w:val="00985C99"/>
    <w:rsid w:val="00987356"/>
    <w:rsid w:val="009873D6"/>
    <w:rsid w:val="00990822"/>
    <w:rsid w:val="00991673"/>
    <w:rsid w:val="0099530F"/>
    <w:rsid w:val="00997A4E"/>
    <w:rsid w:val="00997A77"/>
    <w:rsid w:val="009A11FE"/>
    <w:rsid w:val="009A3E15"/>
    <w:rsid w:val="009B168A"/>
    <w:rsid w:val="009B35A2"/>
    <w:rsid w:val="009B36AC"/>
    <w:rsid w:val="009B3EC2"/>
    <w:rsid w:val="009B56E3"/>
    <w:rsid w:val="009B5C09"/>
    <w:rsid w:val="009C0B34"/>
    <w:rsid w:val="009C1CE5"/>
    <w:rsid w:val="009C2035"/>
    <w:rsid w:val="009C4648"/>
    <w:rsid w:val="009D0E06"/>
    <w:rsid w:val="009D2887"/>
    <w:rsid w:val="009D44C7"/>
    <w:rsid w:val="009D4530"/>
    <w:rsid w:val="009D4581"/>
    <w:rsid w:val="009D5927"/>
    <w:rsid w:val="009D78FE"/>
    <w:rsid w:val="009D7940"/>
    <w:rsid w:val="009E0685"/>
    <w:rsid w:val="009E19B8"/>
    <w:rsid w:val="009E1BFB"/>
    <w:rsid w:val="009E2F18"/>
    <w:rsid w:val="009E4A40"/>
    <w:rsid w:val="009E549B"/>
    <w:rsid w:val="009E6615"/>
    <w:rsid w:val="009E707D"/>
    <w:rsid w:val="009E7B00"/>
    <w:rsid w:val="009F08E2"/>
    <w:rsid w:val="009F1931"/>
    <w:rsid w:val="009F48C2"/>
    <w:rsid w:val="009F5DDA"/>
    <w:rsid w:val="009F6195"/>
    <w:rsid w:val="009F68AD"/>
    <w:rsid w:val="00A016DF"/>
    <w:rsid w:val="00A03182"/>
    <w:rsid w:val="00A05A22"/>
    <w:rsid w:val="00A104DD"/>
    <w:rsid w:val="00A1102A"/>
    <w:rsid w:val="00A1174B"/>
    <w:rsid w:val="00A11FF0"/>
    <w:rsid w:val="00A14193"/>
    <w:rsid w:val="00A15261"/>
    <w:rsid w:val="00A16BED"/>
    <w:rsid w:val="00A20B02"/>
    <w:rsid w:val="00A2143F"/>
    <w:rsid w:val="00A218ED"/>
    <w:rsid w:val="00A232F7"/>
    <w:rsid w:val="00A23322"/>
    <w:rsid w:val="00A23B65"/>
    <w:rsid w:val="00A24E51"/>
    <w:rsid w:val="00A25A9C"/>
    <w:rsid w:val="00A26E83"/>
    <w:rsid w:val="00A26F19"/>
    <w:rsid w:val="00A30E51"/>
    <w:rsid w:val="00A3451C"/>
    <w:rsid w:val="00A37903"/>
    <w:rsid w:val="00A37AA7"/>
    <w:rsid w:val="00A43DFB"/>
    <w:rsid w:val="00A449B8"/>
    <w:rsid w:val="00A46BD3"/>
    <w:rsid w:val="00A47291"/>
    <w:rsid w:val="00A47B0E"/>
    <w:rsid w:val="00A50076"/>
    <w:rsid w:val="00A50133"/>
    <w:rsid w:val="00A608D9"/>
    <w:rsid w:val="00A627A7"/>
    <w:rsid w:val="00A62C8B"/>
    <w:rsid w:val="00A633FC"/>
    <w:rsid w:val="00A6343B"/>
    <w:rsid w:val="00A63EFE"/>
    <w:rsid w:val="00A70DE2"/>
    <w:rsid w:val="00A70E11"/>
    <w:rsid w:val="00A718B5"/>
    <w:rsid w:val="00A72642"/>
    <w:rsid w:val="00A729AF"/>
    <w:rsid w:val="00A744AF"/>
    <w:rsid w:val="00A749E6"/>
    <w:rsid w:val="00A74A8B"/>
    <w:rsid w:val="00A75199"/>
    <w:rsid w:val="00A80E21"/>
    <w:rsid w:val="00A83660"/>
    <w:rsid w:val="00A870A9"/>
    <w:rsid w:val="00A87345"/>
    <w:rsid w:val="00A907DF"/>
    <w:rsid w:val="00A90A6A"/>
    <w:rsid w:val="00A94798"/>
    <w:rsid w:val="00A963AA"/>
    <w:rsid w:val="00AA146C"/>
    <w:rsid w:val="00AA2C8D"/>
    <w:rsid w:val="00AA2E22"/>
    <w:rsid w:val="00AA301F"/>
    <w:rsid w:val="00AA32B6"/>
    <w:rsid w:val="00AA3E9C"/>
    <w:rsid w:val="00AA4FB5"/>
    <w:rsid w:val="00AA5C88"/>
    <w:rsid w:val="00AA61C9"/>
    <w:rsid w:val="00AA65DB"/>
    <w:rsid w:val="00AB2E1A"/>
    <w:rsid w:val="00AB3ED9"/>
    <w:rsid w:val="00AB65FF"/>
    <w:rsid w:val="00AB66E8"/>
    <w:rsid w:val="00AB780E"/>
    <w:rsid w:val="00AB7813"/>
    <w:rsid w:val="00AC0968"/>
    <w:rsid w:val="00AC0B95"/>
    <w:rsid w:val="00AC1201"/>
    <w:rsid w:val="00AC1BBC"/>
    <w:rsid w:val="00AC24B5"/>
    <w:rsid w:val="00AC583D"/>
    <w:rsid w:val="00AD28EF"/>
    <w:rsid w:val="00AD7532"/>
    <w:rsid w:val="00AE13B1"/>
    <w:rsid w:val="00AE1460"/>
    <w:rsid w:val="00AE175E"/>
    <w:rsid w:val="00AE260F"/>
    <w:rsid w:val="00AE3739"/>
    <w:rsid w:val="00AE3C7B"/>
    <w:rsid w:val="00AE3EE5"/>
    <w:rsid w:val="00AE4165"/>
    <w:rsid w:val="00AE42F4"/>
    <w:rsid w:val="00AE5753"/>
    <w:rsid w:val="00AE7FBA"/>
    <w:rsid w:val="00AF380B"/>
    <w:rsid w:val="00AF67C8"/>
    <w:rsid w:val="00AF689A"/>
    <w:rsid w:val="00AF6D95"/>
    <w:rsid w:val="00AF7E8F"/>
    <w:rsid w:val="00B01FC1"/>
    <w:rsid w:val="00B06F72"/>
    <w:rsid w:val="00B103E8"/>
    <w:rsid w:val="00B10EEC"/>
    <w:rsid w:val="00B11EF5"/>
    <w:rsid w:val="00B12A54"/>
    <w:rsid w:val="00B1450E"/>
    <w:rsid w:val="00B154E7"/>
    <w:rsid w:val="00B158A1"/>
    <w:rsid w:val="00B16244"/>
    <w:rsid w:val="00B16FC4"/>
    <w:rsid w:val="00B1732F"/>
    <w:rsid w:val="00B1736C"/>
    <w:rsid w:val="00B21408"/>
    <w:rsid w:val="00B23A07"/>
    <w:rsid w:val="00B24EDF"/>
    <w:rsid w:val="00B253F8"/>
    <w:rsid w:val="00B27704"/>
    <w:rsid w:val="00B2796D"/>
    <w:rsid w:val="00B27AD8"/>
    <w:rsid w:val="00B300DD"/>
    <w:rsid w:val="00B31026"/>
    <w:rsid w:val="00B315F8"/>
    <w:rsid w:val="00B31B68"/>
    <w:rsid w:val="00B320AE"/>
    <w:rsid w:val="00B343B8"/>
    <w:rsid w:val="00B34811"/>
    <w:rsid w:val="00B34DE7"/>
    <w:rsid w:val="00B35770"/>
    <w:rsid w:val="00B360A7"/>
    <w:rsid w:val="00B371C2"/>
    <w:rsid w:val="00B42DD5"/>
    <w:rsid w:val="00B43578"/>
    <w:rsid w:val="00B441C9"/>
    <w:rsid w:val="00B446BE"/>
    <w:rsid w:val="00B44717"/>
    <w:rsid w:val="00B45AF7"/>
    <w:rsid w:val="00B46616"/>
    <w:rsid w:val="00B50291"/>
    <w:rsid w:val="00B52195"/>
    <w:rsid w:val="00B526DB"/>
    <w:rsid w:val="00B53FB1"/>
    <w:rsid w:val="00B54F6D"/>
    <w:rsid w:val="00B5745C"/>
    <w:rsid w:val="00B57847"/>
    <w:rsid w:val="00B6014A"/>
    <w:rsid w:val="00B60226"/>
    <w:rsid w:val="00B60B2A"/>
    <w:rsid w:val="00B6436E"/>
    <w:rsid w:val="00B66319"/>
    <w:rsid w:val="00B67F5C"/>
    <w:rsid w:val="00B71DF4"/>
    <w:rsid w:val="00B7307D"/>
    <w:rsid w:val="00B73E91"/>
    <w:rsid w:val="00B748E2"/>
    <w:rsid w:val="00B74BD3"/>
    <w:rsid w:val="00B74C4F"/>
    <w:rsid w:val="00B750B4"/>
    <w:rsid w:val="00B7529B"/>
    <w:rsid w:val="00B75562"/>
    <w:rsid w:val="00B75EAC"/>
    <w:rsid w:val="00B7656A"/>
    <w:rsid w:val="00B767FF"/>
    <w:rsid w:val="00B77641"/>
    <w:rsid w:val="00B8269D"/>
    <w:rsid w:val="00B83FF5"/>
    <w:rsid w:val="00B858A9"/>
    <w:rsid w:val="00B85B32"/>
    <w:rsid w:val="00B8612B"/>
    <w:rsid w:val="00B8724C"/>
    <w:rsid w:val="00B92360"/>
    <w:rsid w:val="00B92632"/>
    <w:rsid w:val="00B93D80"/>
    <w:rsid w:val="00B9534C"/>
    <w:rsid w:val="00B96C4D"/>
    <w:rsid w:val="00B96EA7"/>
    <w:rsid w:val="00BA590A"/>
    <w:rsid w:val="00BB0658"/>
    <w:rsid w:val="00BB24BC"/>
    <w:rsid w:val="00BB6375"/>
    <w:rsid w:val="00BC3D2E"/>
    <w:rsid w:val="00BC4AC2"/>
    <w:rsid w:val="00BC5180"/>
    <w:rsid w:val="00BD01B4"/>
    <w:rsid w:val="00BD1BE9"/>
    <w:rsid w:val="00BD20EE"/>
    <w:rsid w:val="00BD6B29"/>
    <w:rsid w:val="00BD72E8"/>
    <w:rsid w:val="00BD7571"/>
    <w:rsid w:val="00BD75F8"/>
    <w:rsid w:val="00BE32F1"/>
    <w:rsid w:val="00BE42AA"/>
    <w:rsid w:val="00BE4D5F"/>
    <w:rsid w:val="00BE4F45"/>
    <w:rsid w:val="00BE5AF2"/>
    <w:rsid w:val="00BE7E3B"/>
    <w:rsid w:val="00BF0192"/>
    <w:rsid w:val="00BF1276"/>
    <w:rsid w:val="00BF185E"/>
    <w:rsid w:val="00BF269D"/>
    <w:rsid w:val="00BF3BB8"/>
    <w:rsid w:val="00BF3BE3"/>
    <w:rsid w:val="00BF3C09"/>
    <w:rsid w:val="00BF57AA"/>
    <w:rsid w:val="00BF5F6E"/>
    <w:rsid w:val="00BF6B90"/>
    <w:rsid w:val="00BF7F98"/>
    <w:rsid w:val="00C036B1"/>
    <w:rsid w:val="00C0669C"/>
    <w:rsid w:val="00C07854"/>
    <w:rsid w:val="00C14164"/>
    <w:rsid w:val="00C14A9D"/>
    <w:rsid w:val="00C16A22"/>
    <w:rsid w:val="00C16A81"/>
    <w:rsid w:val="00C16D06"/>
    <w:rsid w:val="00C178F4"/>
    <w:rsid w:val="00C17FA3"/>
    <w:rsid w:val="00C2208F"/>
    <w:rsid w:val="00C2379E"/>
    <w:rsid w:val="00C23B56"/>
    <w:rsid w:val="00C23F03"/>
    <w:rsid w:val="00C2647B"/>
    <w:rsid w:val="00C26998"/>
    <w:rsid w:val="00C26C25"/>
    <w:rsid w:val="00C27653"/>
    <w:rsid w:val="00C27799"/>
    <w:rsid w:val="00C27ECA"/>
    <w:rsid w:val="00C31AD7"/>
    <w:rsid w:val="00C32C4F"/>
    <w:rsid w:val="00C32E63"/>
    <w:rsid w:val="00C366C5"/>
    <w:rsid w:val="00C36BAB"/>
    <w:rsid w:val="00C3725A"/>
    <w:rsid w:val="00C40B25"/>
    <w:rsid w:val="00C42FDB"/>
    <w:rsid w:val="00C432E3"/>
    <w:rsid w:val="00C444B4"/>
    <w:rsid w:val="00C4629C"/>
    <w:rsid w:val="00C47660"/>
    <w:rsid w:val="00C51278"/>
    <w:rsid w:val="00C51D7C"/>
    <w:rsid w:val="00C51F1E"/>
    <w:rsid w:val="00C5303F"/>
    <w:rsid w:val="00C53474"/>
    <w:rsid w:val="00C557D3"/>
    <w:rsid w:val="00C5677F"/>
    <w:rsid w:val="00C62183"/>
    <w:rsid w:val="00C6408C"/>
    <w:rsid w:val="00C64A26"/>
    <w:rsid w:val="00C64D0A"/>
    <w:rsid w:val="00C64D68"/>
    <w:rsid w:val="00C65DE2"/>
    <w:rsid w:val="00C66475"/>
    <w:rsid w:val="00C732E1"/>
    <w:rsid w:val="00C7454C"/>
    <w:rsid w:val="00C752BA"/>
    <w:rsid w:val="00C766C1"/>
    <w:rsid w:val="00C82076"/>
    <w:rsid w:val="00C8235C"/>
    <w:rsid w:val="00C82C60"/>
    <w:rsid w:val="00C87511"/>
    <w:rsid w:val="00C909DD"/>
    <w:rsid w:val="00C925D4"/>
    <w:rsid w:val="00C928F4"/>
    <w:rsid w:val="00C94583"/>
    <w:rsid w:val="00C97ECE"/>
    <w:rsid w:val="00CA7FBD"/>
    <w:rsid w:val="00CB0D8A"/>
    <w:rsid w:val="00CB3036"/>
    <w:rsid w:val="00CB3233"/>
    <w:rsid w:val="00CB38CE"/>
    <w:rsid w:val="00CB44DD"/>
    <w:rsid w:val="00CB6AB2"/>
    <w:rsid w:val="00CC013E"/>
    <w:rsid w:val="00CC0324"/>
    <w:rsid w:val="00CC03EC"/>
    <w:rsid w:val="00CC2966"/>
    <w:rsid w:val="00CD29E4"/>
    <w:rsid w:val="00CD30F2"/>
    <w:rsid w:val="00CD39DB"/>
    <w:rsid w:val="00CD4020"/>
    <w:rsid w:val="00CD5344"/>
    <w:rsid w:val="00CD5D0D"/>
    <w:rsid w:val="00CD6835"/>
    <w:rsid w:val="00CE002B"/>
    <w:rsid w:val="00CE090E"/>
    <w:rsid w:val="00CE0A23"/>
    <w:rsid w:val="00CE0D3D"/>
    <w:rsid w:val="00CE1487"/>
    <w:rsid w:val="00CE183D"/>
    <w:rsid w:val="00CE373C"/>
    <w:rsid w:val="00CE3FAF"/>
    <w:rsid w:val="00CE59FB"/>
    <w:rsid w:val="00CE5ADA"/>
    <w:rsid w:val="00CF5C1A"/>
    <w:rsid w:val="00CF6633"/>
    <w:rsid w:val="00D00A40"/>
    <w:rsid w:val="00D06C55"/>
    <w:rsid w:val="00D0783E"/>
    <w:rsid w:val="00D107A4"/>
    <w:rsid w:val="00D11219"/>
    <w:rsid w:val="00D11FA0"/>
    <w:rsid w:val="00D1279B"/>
    <w:rsid w:val="00D14543"/>
    <w:rsid w:val="00D16C3C"/>
    <w:rsid w:val="00D20948"/>
    <w:rsid w:val="00D27458"/>
    <w:rsid w:val="00D30D89"/>
    <w:rsid w:val="00D30EC8"/>
    <w:rsid w:val="00D34FF3"/>
    <w:rsid w:val="00D352A7"/>
    <w:rsid w:val="00D36362"/>
    <w:rsid w:val="00D4216C"/>
    <w:rsid w:val="00D4361E"/>
    <w:rsid w:val="00D439A9"/>
    <w:rsid w:val="00D45981"/>
    <w:rsid w:val="00D459BE"/>
    <w:rsid w:val="00D46434"/>
    <w:rsid w:val="00D46BBB"/>
    <w:rsid w:val="00D47CE9"/>
    <w:rsid w:val="00D52048"/>
    <w:rsid w:val="00D53C04"/>
    <w:rsid w:val="00D55E07"/>
    <w:rsid w:val="00D617FA"/>
    <w:rsid w:val="00D63327"/>
    <w:rsid w:val="00D639C6"/>
    <w:rsid w:val="00D652D9"/>
    <w:rsid w:val="00D65B7D"/>
    <w:rsid w:val="00D66899"/>
    <w:rsid w:val="00D71934"/>
    <w:rsid w:val="00D72437"/>
    <w:rsid w:val="00D729AC"/>
    <w:rsid w:val="00D7335A"/>
    <w:rsid w:val="00D75288"/>
    <w:rsid w:val="00D764CF"/>
    <w:rsid w:val="00D7684B"/>
    <w:rsid w:val="00D76872"/>
    <w:rsid w:val="00D80D54"/>
    <w:rsid w:val="00D8395A"/>
    <w:rsid w:val="00D83F18"/>
    <w:rsid w:val="00D86003"/>
    <w:rsid w:val="00D904D6"/>
    <w:rsid w:val="00D93CE4"/>
    <w:rsid w:val="00D93D2D"/>
    <w:rsid w:val="00D94C04"/>
    <w:rsid w:val="00D97E66"/>
    <w:rsid w:val="00DA021F"/>
    <w:rsid w:val="00DA15B3"/>
    <w:rsid w:val="00DA2524"/>
    <w:rsid w:val="00DA2B11"/>
    <w:rsid w:val="00DA45E4"/>
    <w:rsid w:val="00DA6A1F"/>
    <w:rsid w:val="00DB2063"/>
    <w:rsid w:val="00DB3D40"/>
    <w:rsid w:val="00DB69CC"/>
    <w:rsid w:val="00DB728F"/>
    <w:rsid w:val="00DC34DF"/>
    <w:rsid w:val="00DC552E"/>
    <w:rsid w:val="00DC616E"/>
    <w:rsid w:val="00DC7C2C"/>
    <w:rsid w:val="00DD0206"/>
    <w:rsid w:val="00DD2D75"/>
    <w:rsid w:val="00DD4C5C"/>
    <w:rsid w:val="00DD4C87"/>
    <w:rsid w:val="00DD4F41"/>
    <w:rsid w:val="00DE173E"/>
    <w:rsid w:val="00DE3FFA"/>
    <w:rsid w:val="00DE4B7C"/>
    <w:rsid w:val="00DE565E"/>
    <w:rsid w:val="00DE5972"/>
    <w:rsid w:val="00DE6871"/>
    <w:rsid w:val="00DE6EA0"/>
    <w:rsid w:val="00DE770C"/>
    <w:rsid w:val="00DF02A6"/>
    <w:rsid w:val="00DF02AA"/>
    <w:rsid w:val="00DF229C"/>
    <w:rsid w:val="00DF5293"/>
    <w:rsid w:val="00DF7272"/>
    <w:rsid w:val="00DF7611"/>
    <w:rsid w:val="00DF772F"/>
    <w:rsid w:val="00E0297B"/>
    <w:rsid w:val="00E02C2D"/>
    <w:rsid w:val="00E053CF"/>
    <w:rsid w:val="00E0575C"/>
    <w:rsid w:val="00E0742C"/>
    <w:rsid w:val="00E114A4"/>
    <w:rsid w:val="00E16A36"/>
    <w:rsid w:val="00E17ADD"/>
    <w:rsid w:val="00E20B0F"/>
    <w:rsid w:val="00E21E1A"/>
    <w:rsid w:val="00E21FB7"/>
    <w:rsid w:val="00E2315B"/>
    <w:rsid w:val="00E24401"/>
    <w:rsid w:val="00E27D55"/>
    <w:rsid w:val="00E3101A"/>
    <w:rsid w:val="00E311D9"/>
    <w:rsid w:val="00E31A68"/>
    <w:rsid w:val="00E343CA"/>
    <w:rsid w:val="00E3483D"/>
    <w:rsid w:val="00E351C9"/>
    <w:rsid w:val="00E3622C"/>
    <w:rsid w:val="00E36C0C"/>
    <w:rsid w:val="00E378A4"/>
    <w:rsid w:val="00E408A6"/>
    <w:rsid w:val="00E42632"/>
    <w:rsid w:val="00E446FA"/>
    <w:rsid w:val="00E44809"/>
    <w:rsid w:val="00E44A3E"/>
    <w:rsid w:val="00E4600A"/>
    <w:rsid w:val="00E461B9"/>
    <w:rsid w:val="00E47314"/>
    <w:rsid w:val="00E477D7"/>
    <w:rsid w:val="00E50F34"/>
    <w:rsid w:val="00E513E2"/>
    <w:rsid w:val="00E51490"/>
    <w:rsid w:val="00E545EC"/>
    <w:rsid w:val="00E54FDA"/>
    <w:rsid w:val="00E56376"/>
    <w:rsid w:val="00E574B0"/>
    <w:rsid w:val="00E621EB"/>
    <w:rsid w:val="00E6263D"/>
    <w:rsid w:val="00E632E8"/>
    <w:rsid w:val="00E639F4"/>
    <w:rsid w:val="00E6445A"/>
    <w:rsid w:val="00E6694D"/>
    <w:rsid w:val="00E71AE7"/>
    <w:rsid w:val="00E71BF6"/>
    <w:rsid w:val="00E737F1"/>
    <w:rsid w:val="00E77029"/>
    <w:rsid w:val="00E775A9"/>
    <w:rsid w:val="00E80E9B"/>
    <w:rsid w:val="00E81834"/>
    <w:rsid w:val="00E82F72"/>
    <w:rsid w:val="00E87485"/>
    <w:rsid w:val="00E90396"/>
    <w:rsid w:val="00E91CE9"/>
    <w:rsid w:val="00E93263"/>
    <w:rsid w:val="00E94DE0"/>
    <w:rsid w:val="00EA1B59"/>
    <w:rsid w:val="00EA1C23"/>
    <w:rsid w:val="00EA2441"/>
    <w:rsid w:val="00EB058A"/>
    <w:rsid w:val="00EB32D0"/>
    <w:rsid w:val="00EB4430"/>
    <w:rsid w:val="00EB46DC"/>
    <w:rsid w:val="00EB5134"/>
    <w:rsid w:val="00EC0A3E"/>
    <w:rsid w:val="00EC12AD"/>
    <w:rsid w:val="00EC2DC9"/>
    <w:rsid w:val="00EC2DD7"/>
    <w:rsid w:val="00EC47F0"/>
    <w:rsid w:val="00EC5775"/>
    <w:rsid w:val="00EC7E20"/>
    <w:rsid w:val="00ED0F6D"/>
    <w:rsid w:val="00ED171E"/>
    <w:rsid w:val="00ED2329"/>
    <w:rsid w:val="00ED39D2"/>
    <w:rsid w:val="00ED3C3A"/>
    <w:rsid w:val="00ED3D58"/>
    <w:rsid w:val="00ED4227"/>
    <w:rsid w:val="00ED42FF"/>
    <w:rsid w:val="00ED6378"/>
    <w:rsid w:val="00EE04B7"/>
    <w:rsid w:val="00EE0FE4"/>
    <w:rsid w:val="00EE14C7"/>
    <w:rsid w:val="00EE2077"/>
    <w:rsid w:val="00EE279E"/>
    <w:rsid w:val="00EE2D55"/>
    <w:rsid w:val="00EE63A3"/>
    <w:rsid w:val="00EE65C6"/>
    <w:rsid w:val="00EE6ECB"/>
    <w:rsid w:val="00EF04AB"/>
    <w:rsid w:val="00EF30B6"/>
    <w:rsid w:val="00EF4592"/>
    <w:rsid w:val="00EF7B93"/>
    <w:rsid w:val="00F03375"/>
    <w:rsid w:val="00F03DA2"/>
    <w:rsid w:val="00F106F6"/>
    <w:rsid w:val="00F1227D"/>
    <w:rsid w:val="00F12667"/>
    <w:rsid w:val="00F14EAD"/>
    <w:rsid w:val="00F14F07"/>
    <w:rsid w:val="00F15BCB"/>
    <w:rsid w:val="00F15EB3"/>
    <w:rsid w:val="00F1667E"/>
    <w:rsid w:val="00F1771C"/>
    <w:rsid w:val="00F2113E"/>
    <w:rsid w:val="00F225CB"/>
    <w:rsid w:val="00F22685"/>
    <w:rsid w:val="00F2468E"/>
    <w:rsid w:val="00F25CB0"/>
    <w:rsid w:val="00F25DFD"/>
    <w:rsid w:val="00F26762"/>
    <w:rsid w:val="00F27F62"/>
    <w:rsid w:val="00F3161C"/>
    <w:rsid w:val="00F31F70"/>
    <w:rsid w:val="00F329FF"/>
    <w:rsid w:val="00F3357D"/>
    <w:rsid w:val="00F33B16"/>
    <w:rsid w:val="00F35FB9"/>
    <w:rsid w:val="00F44EC1"/>
    <w:rsid w:val="00F46793"/>
    <w:rsid w:val="00F46F28"/>
    <w:rsid w:val="00F47D54"/>
    <w:rsid w:val="00F53324"/>
    <w:rsid w:val="00F5501E"/>
    <w:rsid w:val="00F6012A"/>
    <w:rsid w:val="00F631A6"/>
    <w:rsid w:val="00F634C4"/>
    <w:rsid w:val="00F64813"/>
    <w:rsid w:val="00F655B6"/>
    <w:rsid w:val="00F6767F"/>
    <w:rsid w:val="00F7040F"/>
    <w:rsid w:val="00F707E5"/>
    <w:rsid w:val="00F708F8"/>
    <w:rsid w:val="00F73091"/>
    <w:rsid w:val="00F75186"/>
    <w:rsid w:val="00F757F5"/>
    <w:rsid w:val="00F76E96"/>
    <w:rsid w:val="00F80343"/>
    <w:rsid w:val="00F8178A"/>
    <w:rsid w:val="00F818F7"/>
    <w:rsid w:val="00F82114"/>
    <w:rsid w:val="00F82CA4"/>
    <w:rsid w:val="00F843B4"/>
    <w:rsid w:val="00F85D7F"/>
    <w:rsid w:val="00F8742D"/>
    <w:rsid w:val="00F87586"/>
    <w:rsid w:val="00F91F14"/>
    <w:rsid w:val="00F9403B"/>
    <w:rsid w:val="00FA15E5"/>
    <w:rsid w:val="00FA3DBD"/>
    <w:rsid w:val="00FA4933"/>
    <w:rsid w:val="00FA4AA8"/>
    <w:rsid w:val="00FA54FE"/>
    <w:rsid w:val="00FA61F0"/>
    <w:rsid w:val="00FA6EFE"/>
    <w:rsid w:val="00FA7692"/>
    <w:rsid w:val="00FA7FBA"/>
    <w:rsid w:val="00FB0433"/>
    <w:rsid w:val="00FB16A7"/>
    <w:rsid w:val="00FB18A0"/>
    <w:rsid w:val="00FB2F0A"/>
    <w:rsid w:val="00FB31FA"/>
    <w:rsid w:val="00FB5003"/>
    <w:rsid w:val="00FC0629"/>
    <w:rsid w:val="00FC1EE1"/>
    <w:rsid w:val="00FC5245"/>
    <w:rsid w:val="00FC7E03"/>
    <w:rsid w:val="00FD04EB"/>
    <w:rsid w:val="00FD0DC4"/>
    <w:rsid w:val="00FD0F2F"/>
    <w:rsid w:val="00FD169D"/>
    <w:rsid w:val="00FD3780"/>
    <w:rsid w:val="00FD3B59"/>
    <w:rsid w:val="00FD3EE4"/>
    <w:rsid w:val="00FD4F79"/>
    <w:rsid w:val="00FD500B"/>
    <w:rsid w:val="00FD6109"/>
    <w:rsid w:val="00FD71AF"/>
    <w:rsid w:val="00FD7CE4"/>
    <w:rsid w:val="00FD7F8F"/>
    <w:rsid w:val="00FE114A"/>
    <w:rsid w:val="00FE184F"/>
    <w:rsid w:val="00FE207A"/>
    <w:rsid w:val="00FE2F7B"/>
    <w:rsid w:val="00FE3EEA"/>
    <w:rsid w:val="00FE542F"/>
    <w:rsid w:val="00FF064D"/>
    <w:rsid w:val="00FF1DE6"/>
    <w:rsid w:val="00FF2204"/>
    <w:rsid w:val="00FF2821"/>
    <w:rsid w:val="00FF2D53"/>
    <w:rsid w:val="00FF36FA"/>
    <w:rsid w:val="00FF722C"/>
    <w:rsid w:val="010C2B69"/>
    <w:rsid w:val="018E5CC5"/>
    <w:rsid w:val="01977B2C"/>
    <w:rsid w:val="01CB2E8B"/>
    <w:rsid w:val="01DE1773"/>
    <w:rsid w:val="02667B4D"/>
    <w:rsid w:val="02A824AD"/>
    <w:rsid w:val="03930613"/>
    <w:rsid w:val="039447DF"/>
    <w:rsid w:val="03C06894"/>
    <w:rsid w:val="041D7567"/>
    <w:rsid w:val="04DC643E"/>
    <w:rsid w:val="05485881"/>
    <w:rsid w:val="065364FE"/>
    <w:rsid w:val="07015629"/>
    <w:rsid w:val="070E509C"/>
    <w:rsid w:val="07CB1364"/>
    <w:rsid w:val="07CC279A"/>
    <w:rsid w:val="08A9008E"/>
    <w:rsid w:val="097766A4"/>
    <w:rsid w:val="0A4A5BF8"/>
    <w:rsid w:val="0AE72965"/>
    <w:rsid w:val="0AF7207F"/>
    <w:rsid w:val="0B106D25"/>
    <w:rsid w:val="0B195D7B"/>
    <w:rsid w:val="0B2E71DA"/>
    <w:rsid w:val="0B66419E"/>
    <w:rsid w:val="0C0B7609"/>
    <w:rsid w:val="0CFB767D"/>
    <w:rsid w:val="0E481D12"/>
    <w:rsid w:val="0EA7554F"/>
    <w:rsid w:val="0EDB59B8"/>
    <w:rsid w:val="0EE4486D"/>
    <w:rsid w:val="0EF3685E"/>
    <w:rsid w:val="0F955E06"/>
    <w:rsid w:val="10184E62"/>
    <w:rsid w:val="10205149"/>
    <w:rsid w:val="1067774D"/>
    <w:rsid w:val="106D3063"/>
    <w:rsid w:val="12185725"/>
    <w:rsid w:val="12274A70"/>
    <w:rsid w:val="124244CE"/>
    <w:rsid w:val="12EF7E22"/>
    <w:rsid w:val="13590041"/>
    <w:rsid w:val="138E75D3"/>
    <w:rsid w:val="14A60BBB"/>
    <w:rsid w:val="14D346C6"/>
    <w:rsid w:val="15A33119"/>
    <w:rsid w:val="163015C4"/>
    <w:rsid w:val="16B32D77"/>
    <w:rsid w:val="16F65DA3"/>
    <w:rsid w:val="17B248C7"/>
    <w:rsid w:val="188501DE"/>
    <w:rsid w:val="193E726F"/>
    <w:rsid w:val="19805192"/>
    <w:rsid w:val="1AD56FF2"/>
    <w:rsid w:val="1B617245"/>
    <w:rsid w:val="1B852F33"/>
    <w:rsid w:val="1BDB4F29"/>
    <w:rsid w:val="1C0A2EB8"/>
    <w:rsid w:val="1C270975"/>
    <w:rsid w:val="1C6551CC"/>
    <w:rsid w:val="1C6E22CA"/>
    <w:rsid w:val="1E1957B4"/>
    <w:rsid w:val="1F0A567B"/>
    <w:rsid w:val="1F110373"/>
    <w:rsid w:val="1FB9308A"/>
    <w:rsid w:val="1FE87F35"/>
    <w:rsid w:val="21620938"/>
    <w:rsid w:val="23163ED6"/>
    <w:rsid w:val="23AD16E8"/>
    <w:rsid w:val="23B73EA6"/>
    <w:rsid w:val="23D61C99"/>
    <w:rsid w:val="248D4C07"/>
    <w:rsid w:val="24F86524"/>
    <w:rsid w:val="257B0F03"/>
    <w:rsid w:val="25EE7927"/>
    <w:rsid w:val="2613066B"/>
    <w:rsid w:val="261455E0"/>
    <w:rsid w:val="263C0693"/>
    <w:rsid w:val="267C13D7"/>
    <w:rsid w:val="269A22AF"/>
    <w:rsid w:val="26EA68A8"/>
    <w:rsid w:val="27217CEC"/>
    <w:rsid w:val="27BC17BF"/>
    <w:rsid w:val="27FD02F5"/>
    <w:rsid w:val="283E5421"/>
    <w:rsid w:val="283F26BC"/>
    <w:rsid w:val="28453CC8"/>
    <w:rsid w:val="28902F18"/>
    <w:rsid w:val="28930A95"/>
    <w:rsid w:val="28F33BD2"/>
    <w:rsid w:val="29624758"/>
    <w:rsid w:val="299A0972"/>
    <w:rsid w:val="29AC35F6"/>
    <w:rsid w:val="2A703001"/>
    <w:rsid w:val="2A8D770F"/>
    <w:rsid w:val="2B377690"/>
    <w:rsid w:val="2B7D7783"/>
    <w:rsid w:val="2B836D64"/>
    <w:rsid w:val="2B8C3E6A"/>
    <w:rsid w:val="2B9E508B"/>
    <w:rsid w:val="2BE316A7"/>
    <w:rsid w:val="2C453170"/>
    <w:rsid w:val="2C495545"/>
    <w:rsid w:val="2C4A23DD"/>
    <w:rsid w:val="2C6B7F24"/>
    <w:rsid w:val="2D0E2451"/>
    <w:rsid w:val="2E0221C2"/>
    <w:rsid w:val="2E4550AD"/>
    <w:rsid w:val="2F51608C"/>
    <w:rsid w:val="3038011D"/>
    <w:rsid w:val="303F594F"/>
    <w:rsid w:val="304167F7"/>
    <w:rsid w:val="30D53BFF"/>
    <w:rsid w:val="30DF67EA"/>
    <w:rsid w:val="32075FF9"/>
    <w:rsid w:val="3306714A"/>
    <w:rsid w:val="330F6123"/>
    <w:rsid w:val="335214F5"/>
    <w:rsid w:val="338A6CBC"/>
    <w:rsid w:val="34030A42"/>
    <w:rsid w:val="34607C42"/>
    <w:rsid w:val="357F059C"/>
    <w:rsid w:val="35D067A7"/>
    <w:rsid w:val="3715740A"/>
    <w:rsid w:val="37AE6F16"/>
    <w:rsid w:val="383A1294"/>
    <w:rsid w:val="388F2773"/>
    <w:rsid w:val="39047736"/>
    <w:rsid w:val="396401D4"/>
    <w:rsid w:val="39A131D7"/>
    <w:rsid w:val="39AB195F"/>
    <w:rsid w:val="39BF6117"/>
    <w:rsid w:val="3A2260A1"/>
    <w:rsid w:val="3B771C1F"/>
    <w:rsid w:val="3C77021F"/>
    <w:rsid w:val="3D671B69"/>
    <w:rsid w:val="3DD671C7"/>
    <w:rsid w:val="3E4051D3"/>
    <w:rsid w:val="3EAD2EC9"/>
    <w:rsid w:val="3EBA2645"/>
    <w:rsid w:val="40DE086C"/>
    <w:rsid w:val="41793B21"/>
    <w:rsid w:val="41795491"/>
    <w:rsid w:val="417A5147"/>
    <w:rsid w:val="418B713B"/>
    <w:rsid w:val="41C2228F"/>
    <w:rsid w:val="421E67E1"/>
    <w:rsid w:val="4220265B"/>
    <w:rsid w:val="426F3F97"/>
    <w:rsid w:val="42B53CC1"/>
    <w:rsid w:val="432D4E22"/>
    <w:rsid w:val="444100C9"/>
    <w:rsid w:val="445D419E"/>
    <w:rsid w:val="44FD328B"/>
    <w:rsid w:val="451B17F6"/>
    <w:rsid w:val="45EA1A61"/>
    <w:rsid w:val="45EB56D0"/>
    <w:rsid w:val="46130B22"/>
    <w:rsid w:val="46985894"/>
    <w:rsid w:val="46C357BC"/>
    <w:rsid w:val="46E13DB1"/>
    <w:rsid w:val="47CB141F"/>
    <w:rsid w:val="48552C62"/>
    <w:rsid w:val="48A44149"/>
    <w:rsid w:val="48D367DD"/>
    <w:rsid w:val="491C63D6"/>
    <w:rsid w:val="496541A2"/>
    <w:rsid w:val="496E7B1A"/>
    <w:rsid w:val="497578A1"/>
    <w:rsid w:val="497E4B01"/>
    <w:rsid w:val="499D371C"/>
    <w:rsid w:val="4A29004F"/>
    <w:rsid w:val="4A4B252B"/>
    <w:rsid w:val="4A9205ED"/>
    <w:rsid w:val="4BE74117"/>
    <w:rsid w:val="4C995F8F"/>
    <w:rsid w:val="4CCC0782"/>
    <w:rsid w:val="4CDF5113"/>
    <w:rsid w:val="4D2C12E0"/>
    <w:rsid w:val="4D4521D3"/>
    <w:rsid w:val="4DCA15C8"/>
    <w:rsid w:val="4E65437B"/>
    <w:rsid w:val="50674E00"/>
    <w:rsid w:val="50DE0552"/>
    <w:rsid w:val="515F3303"/>
    <w:rsid w:val="519531C9"/>
    <w:rsid w:val="51F85506"/>
    <w:rsid w:val="52090DED"/>
    <w:rsid w:val="522808F4"/>
    <w:rsid w:val="523E2E19"/>
    <w:rsid w:val="52990A97"/>
    <w:rsid w:val="529D03AD"/>
    <w:rsid w:val="52E00474"/>
    <w:rsid w:val="53071EA5"/>
    <w:rsid w:val="5338205E"/>
    <w:rsid w:val="534D3630"/>
    <w:rsid w:val="53775035"/>
    <w:rsid w:val="53E15B76"/>
    <w:rsid w:val="53FC01C8"/>
    <w:rsid w:val="53FC6721"/>
    <w:rsid w:val="54DF4EE8"/>
    <w:rsid w:val="55AD49B3"/>
    <w:rsid w:val="56E6661F"/>
    <w:rsid w:val="576D24F2"/>
    <w:rsid w:val="577C4928"/>
    <w:rsid w:val="579F744D"/>
    <w:rsid w:val="58276B45"/>
    <w:rsid w:val="588418A2"/>
    <w:rsid w:val="58B83E74"/>
    <w:rsid w:val="58E41D48"/>
    <w:rsid w:val="58E81E30"/>
    <w:rsid w:val="5A96780E"/>
    <w:rsid w:val="5AF42331"/>
    <w:rsid w:val="5B577BFC"/>
    <w:rsid w:val="5BE85E95"/>
    <w:rsid w:val="5BF3746A"/>
    <w:rsid w:val="5C01262C"/>
    <w:rsid w:val="5C0608D6"/>
    <w:rsid w:val="5C1B076F"/>
    <w:rsid w:val="5C71213D"/>
    <w:rsid w:val="5CFD02A0"/>
    <w:rsid w:val="5DDE3904"/>
    <w:rsid w:val="5E0F7E5F"/>
    <w:rsid w:val="5E2356B9"/>
    <w:rsid w:val="5E3E301E"/>
    <w:rsid w:val="5E730E82"/>
    <w:rsid w:val="5EAA5DDA"/>
    <w:rsid w:val="5FA82319"/>
    <w:rsid w:val="5FAC336D"/>
    <w:rsid w:val="616E578F"/>
    <w:rsid w:val="61CF0031"/>
    <w:rsid w:val="62E54C39"/>
    <w:rsid w:val="63603041"/>
    <w:rsid w:val="63B84AF5"/>
    <w:rsid w:val="63E636A7"/>
    <w:rsid w:val="647E4241"/>
    <w:rsid w:val="648669A1"/>
    <w:rsid w:val="64D63485"/>
    <w:rsid w:val="6585087D"/>
    <w:rsid w:val="65E97D44"/>
    <w:rsid w:val="66E92F02"/>
    <w:rsid w:val="67923542"/>
    <w:rsid w:val="67EB7247"/>
    <w:rsid w:val="67F74634"/>
    <w:rsid w:val="69262337"/>
    <w:rsid w:val="69B01F0C"/>
    <w:rsid w:val="6A633A0D"/>
    <w:rsid w:val="6ADB3023"/>
    <w:rsid w:val="6B1B6095"/>
    <w:rsid w:val="6BCB60D2"/>
    <w:rsid w:val="6C1E72DF"/>
    <w:rsid w:val="6C245031"/>
    <w:rsid w:val="6CFE17CB"/>
    <w:rsid w:val="6DFC768A"/>
    <w:rsid w:val="6E466A83"/>
    <w:rsid w:val="6F522F46"/>
    <w:rsid w:val="6F9A6059"/>
    <w:rsid w:val="6FA348AB"/>
    <w:rsid w:val="719B1CDE"/>
    <w:rsid w:val="71C108C5"/>
    <w:rsid w:val="71FB3C3C"/>
    <w:rsid w:val="72C50044"/>
    <w:rsid w:val="72CB65F3"/>
    <w:rsid w:val="733E6DC5"/>
    <w:rsid w:val="738B5D82"/>
    <w:rsid w:val="73927111"/>
    <w:rsid w:val="740578E3"/>
    <w:rsid w:val="74624249"/>
    <w:rsid w:val="74A82F40"/>
    <w:rsid w:val="752B3379"/>
    <w:rsid w:val="760F67F7"/>
    <w:rsid w:val="764853C3"/>
    <w:rsid w:val="768E1E11"/>
    <w:rsid w:val="76BD6253"/>
    <w:rsid w:val="77BD7F0F"/>
    <w:rsid w:val="7812649D"/>
    <w:rsid w:val="78494817"/>
    <w:rsid w:val="78F13B18"/>
    <w:rsid w:val="79066F17"/>
    <w:rsid w:val="79A70AC0"/>
    <w:rsid w:val="79F503F9"/>
    <w:rsid w:val="7A210B1F"/>
    <w:rsid w:val="7A8F7F06"/>
    <w:rsid w:val="7BB120FE"/>
    <w:rsid w:val="7BF841C6"/>
    <w:rsid w:val="7D2C0CE2"/>
    <w:rsid w:val="7D6F2271"/>
    <w:rsid w:val="7E071957"/>
    <w:rsid w:val="7E6E54AC"/>
    <w:rsid w:val="7EAA7A04"/>
    <w:rsid w:val="7EAE0FEB"/>
    <w:rsid w:val="7EBA4486"/>
    <w:rsid w:val="7F0A04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qFormat="1" w:uiPriority="9" w:semiHidden="0" w:name="heading 3"/>
    <w:lsdException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4"/>
      <w:szCs w:val="24"/>
      <w:lang w:val="en-US" w:eastAsia="zh-CN" w:bidi="ar-SA"/>
    </w:rPr>
  </w:style>
  <w:style w:type="paragraph" w:styleId="2">
    <w:name w:val="heading 1"/>
    <w:basedOn w:val="1"/>
    <w:next w:val="1"/>
    <w:link w:val="87"/>
    <w:uiPriority w:val="0"/>
    <w:pPr>
      <w:keepNext/>
      <w:keepLines/>
      <w:snapToGrid w:val="0"/>
      <w:spacing w:line="360" w:lineRule="auto"/>
      <w:jc w:val="center"/>
      <w:outlineLvl w:val="0"/>
    </w:pPr>
    <w:rPr>
      <w:rFonts w:ascii="宋体" w:hAnsi="宋体" w:cs="宋体"/>
      <w:b/>
      <w:color w:val="FF0000"/>
      <w:kern w:val="44"/>
      <w:sz w:val="28"/>
      <w:szCs w:val="28"/>
    </w:rPr>
  </w:style>
  <w:style w:type="paragraph" w:styleId="3">
    <w:name w:val="heading 2"/>
    <w:basedOn w:val="1"/>
    <w:next w:val="1"/>
    <w:link w:val="35"/>
    <w:uiPriority w:val="0"/>
    <w:pPr>
      <w:keepNext/>
      <w:keepLines/>
      <w:numPr>
        <w:ilvl w:val="1"/>
        <w:numId w:val="1"/>
      </w:numPr>
      <w:spacing w:before="200" w:after="200" w:line="360" w:lineRule="auto"/>
      <w:jc w:val="left"/>
      <w:outlineLvl w:val="1"/>
    </w:pPr>
    <w:rPr>
      <w:rFonts w:ascii="黑体" w:hAnsi="黑体" w:eastAsia="黑体"/>
      <w:bCs/>
      <w:sz w:val="28"/>
      <w:szCs w:val="32"/>
    </w:rPr>
  </w:style>
  <w:style w:type="paragraph" w:styleId="4">
    <w:name w:val="heading 3"/>
    <w:basedOn w:val="1"/>
    <w:next w:val="1"/>
    <w:link w:val="66"/>
    <w:autoRedefine/>
    <w:unhideWhenUsed/>
    <w:qFormat/>
    <w:uiPriority w:val="9"/>
    <w:pPr>
      <w:keepNext/>
      <w:keepLines/>
      <w:spacing w:before="260" w:after="260" w:line="416" w:lineRule="auto"/>
      <w:outlineLvl w:val="2"/>
    </w:pPr>
    <w:rPr>
      <w:b/>
      <w:bCs/>
      <w:sz w:val="32"/>
      <w:szCs w:val="32"/>
    </w:rPr>
  </w:style>
  <w:style w:type="character" w:default="1" w:styleId="30">
    <w:name w:val="Default Paragraph Font"/>
    <w:semiHidden/>
    <w:unhideWhenUsed/>
    <w:uiPriority w:val="1"/>
  </w:style>
  <w:style w:type="table" w:default="1" w:styleId="28">
    <w:name w:val="Normal Table"/>
    <w:semiHidden/>
    <w:unhideWhenUsed/>
    <w:uiPriority w:val="99"/>
    <w:tblPr>
      <w:tblCellMar>
        <w:top w:w="0" w:type="dxa"/>
        <w:left w:w="108" w:type="dxa"/>
        <w:bottom w:w="0" w:type="dxa"/>
        <w:right w:w="108" w:type="dxa"/>
      </w:tblCellMar>
    </w:tblPr>
  </w:style>
  <w:style w:type="paragraph" w:styleId="5">
    <w:name w:val="Normal Indent"/>
    <w:basedOn w:val="1"/>
    <w:next w:val="6"/>
    <w:qFormat/>
    <w:uiPriority w:val="0"/>
    <w:pPr>
      <w:ind w:firstLine="420" w:firstLineChars="200"/>
    </w:pPr>
  </w:style>
  <w:style w:type="paragraph" w:customStyle="1" w:styleId="6">
    <w:name w:val="Char Char Char Char Char Char Char Char Char1 Char"/>
    <w:basedOn w:val="1"/>
    <w:next w:val="7"/>
    <w:uiPriority w:val="0"/>
    <w:pPr>
      <w:spacing w:line="360" w:lineRule="auto"/>
      <w:ind w:firstLine="200" w:firstLineChars="200"/>
    </w:pPr>
    <w:rPr>
      <w:rFonts w:hAnsi="ˎ̥" w:cs="ˎ̥"/>
    </w:rPr>
  </w:style>
  <w:style w:type="paragraph" w:customStyle="1" w:styleId="7">
    <w:name w:val="Body Text First Indent1"/>
    <w:next w:val="1"/>
    <w:qFormat/>
    <w:uiPriority w:val="99"/>
    <w:pPr>
      <w:widowControl w:val="0"/>
      <w:spacing w:after="120"/>
      <w:ind w:firstLine="420"/>
      <w:jc w:val="both"/>
    </w:pPr>
    <w:rPr>
      <w:rFonts w:ascii="Times New Roman" w:hAnsi="Times New Roman" w:eastAsia="宋体" w:cs="Times New Roman"/>
      <w:sz w:val="21"/>
      <w:szCs w:val="22"/>
      <w:lang w:val="en-US" w:eastAsia="zh-CN" w:bidi="ar-SA"/>
    </w:rPr>
  </w:style>
  <w:style w:type="paragraph" w:styleId="8">
    <w:name w:val="caption"/>
    <w:basedOn w:val="1"/>
    <w:next w:val="1"/>
    <w:link w:val="36"/>
    <w:qFormat/>
    <w:uiPriority w:val="0"/>
    <w:pPr>
      <w:keepNext/>
      <w:spacing w:line="300" w:lineRule="exact"/>
      <w:jc w:val="center"/>
    </w:pPr>
    <w:rPr>
      <w:rFonts w:ascii="黑体" w:hAnsi="黑体" w:eastAsia="黑体"/>
      <w:color w:val="000000" w:themeColor="text1"/>
      <w:sz w:val="21"/>
      <w:szCs w:val="21"/>
      <w14:textFill>
        <w14:solidFill>
          <w14:schemeClr w14:val="tx1"/>
        </w14:solidFill>
      </w14:textFill>
    </w:rPr>
  </w:style>
  <w:style w:type="paragraph" w:styleId="9">
    <w:name w:val="Document Map"/>
    <w:basedOn w:val="1"/>
    <w:link w:val="67"/>
    <w:autoRedefine/>
    <w:qFormat/>
    <w:uiPriority w:val="0"/>
    <w:rPr>
      <w:rFonts w:ascii="宋体" w:hAnsi="宋体" w:cs="宋体"/>
      <w:sz w:val="18"/>
      <w:szCs w:val="18"/>
    </w:rPr>
  </w:style>
  <w:style w:type="paragraph" w:styleId="10">
    <w:name w:val="annotation text"/>
    <w:basedOn w:val="1"/>
    <w:link w:val="68"/>
    <w:autoRedefine/>
    <w:qFormat/>
    <w:uiPriority w:val="99"/>
    <w:pPr>
      <w:jc w:val="left"/>
    </w:pPr>
  </w:style>
  <w:style w:type="paragraph" w:styleId="11">
    <w:name w:val="Body Text"/>
    <w:basedOn w:val="1"/>
    <w:next w:val="12"/>
    <w:link w:val="69"/>
    <w:qFormat/>
    <w:uiPriority w:val="99"/>
    <w:pPr>
      <w:widowControl/>
      <w:snapToGrid w:val="0"/>
      <w:spacing w:line="500" w:lineRule="exact"/>
      <w:ind w:firstLine="482" w:firstLineChars="200"/>
    </w:pPr>
    <w:rPr>
      <w:rFonts w:ascii="宋体" w:hAnsi="宋体" w:cs="宋体"/>
      <w:b/>
      <w:bCs/>
      <w:color w:val="ED0000"/>
      <w:kern w:val="0"/>
    </w:rPr>
  </w:style>
  <w:style w:type="paragraph" w:styleId="12">
    <w:name w:val="Body Text 2"/>
    <w:basedOn w:val="1"/>
    <w:qFormat/>
    <w:uiPriority w:val="0"/>
    <w:pPr>
      <w:spacing w:after="120" w:line="480" w:lineRule="auto"/>
    </w:pPr>
  </w:style>
  <w:style w:type="paragraph" w:styleId="13">
    <w:name w:val="Body Text Indent"/>
    <w:basedOn w:val="1"/>
    <w:autoRedefine/>
    <w:qFormat/>
    <w:uiPriority w:val="0"/>
    <w:pPr>
      <w:spacing w:line="440" w:lineRule="exact"/>
      <w:ind w:firstLine="510"/>
    </w:pPr>
    <w:rPr>
      <w:rFonts w:ascii="宋体"/>
      <w:spacing w:val="12"/>
      <w:kern w:val="0"/>
    </w:rPr>
  </w:style>
  <w:style w:type="paragraph" w:styleId="14">
    <w:name w:val="Block Text"/>
    <w:basedOn w:val="1"/>
    <w:next w:val="1"/>
    <w:autoRedefine/>
    <w:qFormat/>
    <w:uiPriority w:val="99"/>
    <w:pPr>
      <w:spacing w:line="480" w:lineRule="exact"/>
      <w:ind w:left="-125" w:right="-56" w:firstLine="570"/>
    </w:pPr>
    <w:rPr>
      <w:sz w:val="28"/>
    </w:rPr>
  </w:style>
  <w:style w:type="paragraph" w:styleId="15">
    <w:name w:val="Date"/>
    <w:basedOn w:val="1"/>
    <w:next w:val="1"/>
    <w:autoRedefine/>
    <w:qFormat/>
    <w:uiPriority w:val="0"/>
    <w:rPr>
      <w:rFonts w:ascii="宋体"/>
      <w:kern w:val="0"/>
      <w:sz w:val="20"/>
      <w:szCs w:val="20"/>
    </w:rPr>
  </w:style>
  <w:style w:type="paragraph" w:styleId="16">
    <w:name w:val="Body Text Indent 2"/>
    <w:basedOn w:val="1"/>
    <w:link w:val="93"/>
    <w:autoRedefine/>
    <w:qFormat/>
    <w:uiPriority w:val="0"/>
    <w:pPr>
      <w:spacing w:after="120" w:line="480" w:lineRule="auto"/>
      <w:ind w:left="420" w:leftChars="200"/>
    </w:pPr>
  </w:style>
  <w:style w:type="paragraph" w:styleId="17">
    <w:name w:val="footer"/>
    <w:basedOn w:val="1"/>
    <w:link w:val="70"/>
    <w:autoRedefine/>
    <w:qFormat/>
    <w:uiPriority w:val="99"/>
    <w:pPr>
      <w:tabs>
        <w:tab w:val="center" w:pos="4153"/>
        <w:tab w:val="right" w:pos="8306"/>
      </w:tabs>
      <w:snapToGrid w:val="0"/>
      <w:jc w:val="left"/>
    </w:pPr>
    <w:rPr>
      <w:sz w:val="18"/>
      <w:szCs w:val="18"/>
    </w:rPr>
  </w:style>
  <w:style w:type="paragraph" w:styleId="18">
    <w:name w:val="header"/>
    <w:basedOn w:val="1"/>
    <w:link w:val="71"/>
    <w:autoRedefine/>
    <w:unhideWhenUsed/>
    <w:qFormat/>
    <w:uiPriority w:val="0"/>
    <w:pPr>
      <w:pBdr>
        <w:bottom w:val="single" w:color="auto" w:sz="6" w:space="1"/>
      </w:pBdr>
      <w:tabs>
        <w:tab w:val="center" w:pos="4153"/>
        <w:tab w:val="right" w:pos="8306"/>
      </w:tabs>
      <w:snapToGrid w:val="0"/>
      <w:jc w:val="center"/>
    </w:pPr>
    <w:rPr>
      <w:kern w:val="0"/>
      <w:sz w:val="18"/>
      <w:szCs w:val="18"/>
    </w:rPr>
  </w:style>
  <w:style w:type="paragraph" w:styleId="19">
    <w:name w:val="index heading"/>
    <w:basedOn w:val="1"/>
    <w:next w:val="20"/>
    <w:autoRedefine/>
    <w:qFormat/>
    <w:uiPriority w:val="0"/>
    <w:rPr>
      <w:rFonts w:hint="eastAsia" w:ascii="Cambria" w:hAnsi="Cambria"/>
      <w:b/>
    </w:rPr>
  </w:style>
  <w:style w:type="paragraph" w:styleId="20">
    <w:name w:val="index 1"/>
    <w:basedOn w:val="1"/>
    <w:next w:val="1"/>
    <w:autoRedefine/>
    <w:uiPriority w:val="0"/>
  </w:style>
  <w:style w:type="paragraph" w:styleId="21">
    <w:name w:val="List"/>
    <w:basedOn w:val="1"/>
    <w:next w:val="1"/>
    <w:autoRedefine/>
    <w:qFormat/>
    <w:uiPriority w:val="0"/>
    <w:pPr>
      <w:adjustRightInd w:val="0"/>
      <w:snapToGrid w:val="0"/>
      <w:ind w:left="198" w:hanging="198"/>
      <w:contextualSpacing/>
    </w:pPr>
    <w:rPr>
      <w:sz w:val="21"/>
    </w:rPr>
  </w:style>
  <w:style w:type="paragraph" w:styleId="22">
    <w:name w:val="Body Text Indent 3"/>
    <w:basedOn w:val="1"/>
    <w:link w:val="72"/>
    <w:autoRedefine/>
    <w:qFormat/>
    <w:uiPriority w:val="0"/>
    <w:pPr>
      <w:spacing w:line="520" w:lineRule="exact"/>
      <w:ind w:firstLine="640" w:firstLineChars="200"/>
    </w:pPr>
    <w:rPr>
      <w:rFonts w:ascii="宋体" w:hAnsi="宋体" w:eastAsia="楷体_GB2312" w:cs="宋体"/>
      <w:sz w:val="32"/>
      <w:szCs w:val="20"/>
    </w:rPr>
  </w:style>
  <w:style w:type="paragraph" w:styleId="23">
    <w:name w:val="toc 2"/>
    <w:basedOn w:val="1"/>
    <w:next w:val="1"/>
    <w:autoRedefine/>
    <w:unhideWhenUsed/>
    <w:qFormat/>
    <w:uiPriority w:val="39"/>
    <w:pPr>
      <w:spacing w:before="120"/>
      <w:ind w:left="210"/>
      <w:jc w:val="left"/>
    </w:pPr>
    <w:rPr>
      <w:rFonts w:ascii="Calibri" w:hAnsi="Calibri" w:cs="Calibri"/>
      <w:i/>
      <w:iCs/>
      <w:sz w:val="20"/>
    </w:rPr>
  </w:style>
  <w:style w:type="paragraph" w:styleId="24">
    <w:name w:val="toc 9"/>
    <w:basedOn w:val="1"/>
    <w:next w:val="1"/>
    <w:autoRedefine/>
    <w:qFormat/>
    <w:uiPriority w:val="39"/>
    <w:pPr>
      <w:ind w:left="1680"/>
      <w:jc w:val="left"/>
    </w:pPr>
    <w:rPr>
      <w:sz w:val="18"/>
    </w:rPr>
  </w:style>
  <w:style w:type="paragraph" w:styleId="25">
    <w:name w:val="HTML Preformatted"/>
    <w:basedOn w:val="1"/>
    <w:link w:val="117"/>
    <w:qFormat/>
    <w:uiPriority w:val="0"/>
    <w:rPr>
      <w:rFonts w:ascii="Courier New" w:hAnsi="Courier New" w:cs="Courier New"/>
      <w:sz w:val="20"/>
      <w:szCs w:val="20"/>
    </w:rPr>
  </w:style>
  <w:style w:type="paragraph" w:styleId="26">
    <w:name w:val="Normal (Web)"/>
    <w:basedOn w:val="1"/>
    <w:link w:val="98"/>
    <w:autoRedefine/>
    <w:qFormat/>
    <w:uiPriority w:val="99"/>
    <w:pPr>
      <w:widowControl/>
      <w:spacing w:before="100" w:beforeAutospacing="1" w:after="100" w:afterAutospacing="1"/>
      <w:jc w:val="left"/>
    </w:pPr>
    <w:rPr>
      <w:rFonts w:ascii="宋体" w:hAnsi="宋体"/>
      <w:kern w:val="0"/>
    </w:rPr>
  </w:style>
  <w:style w:type="paragraph" w:styleId="27">
    <w:name w:val="annotation subject"/>
    <w:basedOn w:val="10"/>
    <w:next w:val="1"/>
    <w:link w:val="90"/>
    <w:autoRedefine/>
    <w:qFormat/>
    <w:uiPriority w:val="0"/>
    <w:rPr>
      <w:b/>
      <w:bCs/>
    </w:rPr>
  </w:style>
  <w:style w:type="table" w:styleId="29">
    <w:name w:val="Table Grid"/>
    <w:basedOn w:val="28"/>
    <w:autoRedefine/>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page number"/>
    <w:autoRedefine/>
    <w:qFormat/>
    <w:uiPriority w:val="0"/>
  </w:style>
  <w:style w:type="character" w:styleId="32">
    <w:name w:val="FollowedHyperlink"/>
    <w:autoRedefine/>
    <w:qFormat/>
    <w:uiPriority w:val="0"/>
    <w:rPr>
      <w:color w:val="333333"/>
      <w:u w:val="none"/>
    </w:rPr>
  </w:style>
  <w:style w:type="character" w:styleId="33">
    <w:name w:val="Hyperlink"/>
    <w:autoRedefine/>
    <w:qFormat/>
    <w:uiPriority w:val="0"/>
    <w:rPr>
      <w:color w:val="20528F"/>
      <w:u w:val="none"/>
    </w:rPr>
  </w:style>
  <w:style w:type="character" w:styleId="34">
    <w:name w:val="annotation reference"/>
    <w:basedOn w:val="30"/>
    <w:autoRedefine/>
    <w:qFormat/>
    <w:uiPriority w:val="0"/>
    <w:rPr>
      <w:sz w:val="21"/>
      <w:szCs w:val="21"/>
    </w:rPr>
  </w:style>
  <w:style w:type="character" w:customStyle="1" w:styleId="35">
    <w:name w:val="标题 2 字符"/>
    <w:link w:val="3"/>
    <w:autoRedefine/>
    <w:qFormat/>
    <w:uiPriority w:val="0"/>
    <w:rPr>
      <w:rFonts w:ascii="黑体" w:hAnsi="黑体" w:eastAsia="黑体"/>
      <w:bCs/>
      <w:kern w:val="2"/>
      <w:sz w:val="28"/>
      <w:szCs w:val="32"/>
    </w:rPr>
  </w:style>
  <w:style w:type="character" w:customStyle="1" w:styleId="36">
    <w:name w:val="题注 字符"/>
    <w:link w:val="8"/>
    <w:autoRedefine/>
    <w:qFormat/>
    <w:uiPriority w:val="0"/>
    <w:rPr>
      <w:rFonts w:ascii="黑体" w:hAnsi="黑体" w:eastAsia="黑体"/>
      <w:color w:val="000000" w:themeColor="text1"/>
      <w:kern w:val="2"/>
      <w:sz w:val="21"/>
      <w:szCs w:val="21"/>
      <w14:textFill>
        <w14:solidFill>
          <w14:schemeClr w14:val="tx1"/>
        </w14:solidFill>
      </w14:textFill>
    </w:rPr>
  </w:style>
  <w:style w:type="paragraph" w:customStyle="1" w:styleId="37">
    <w:name w:val="MEL正文*"/>
    <w:basedOn w:val="1"/>
    <w:link w:val="59"/>
    <w:qFormat/>
    <w:uiPriority w:val="0"/>
    <w:pPr>
      <w:spacing w:line="500" w:lineRule="exact"/>
      <w:ind w:firstLine="200" w:firstLineChars="200"/>
    </w:pPr>
    <w:rPr>
      <w:rFonts w:ascii="宋体" w:hAnsi="宋体"/>
      <w:kern w:val="0"/>
    </w:rPr>
  </w:style>
  <w:style w:type="paragraph" w:customStyle="1" w:styleId="38">
    <w:name w:val="YJ-正文"/>
    <w:basedOn w:val="39"/>
    <w:link w:val="114"/>
    <w:autoRedefine/>
    <w:qFormat/>
    <w:uiPriority w:val="0"/>
    <w:pPr>
      <w:ind w:firstLine="200" w:firstLineChars="200"/>
      <w:jc w:val="both"/>
      <w:outlineLvl w:val="9"/>
    </w:pPr>
    <w:rPr>
      <w:b w:val="0"/>
      <w:sz w:val="24"/>
    </w:rPr>
  </w:style>
  <w:style w:type="paragraph" w:customStyle="1" w:styleId="39">
    <w:name w:val="YJ-表标题1"/>
    <w:basedOn w:val="1"/>
    <w:autoRedefine/>
    <w:qFormat/>
    <w:uiPriority w:val="0"/>
    <w:pPr>
      <w:widowControl/>
      <w:spacing w:line="520" w:lineRule="exact"/>
      <w:jc w:val="left"/>
      <w:outlineLvl w:val="1"/>
    </w:pPr>
    <w:rPr>
      <w:b/>
      <w:kern w:val="0"/>
      <w:sz w:val="30"/>
      <w:szCs w:val="22"/>
    </w:rPr>
  </w:style>
  <w:style w:type="paragraph" w:customStyle="1" w:styleId="40">
    <w:name w:val="YJ正文*"/>
    <w:basedOn w:val="1"/>
    <w:link w:val="58"/>
    <w:autoRedefine/>
    <w:qFormat/>
    <w:uiPriority w:val="0"/>
    <w:pPr>
      <w:ind w:firstLine="480"/>
    </w:pPr>
    <w:rPr>
      <w:rFonts w:ascii="宋体" w:hAnsi="宋体" w:cs="宋体"/>
      <w:color w:val="FF0000"/>
      <w:sz w:val="21"/>
      <w:szCs w:val="21"/>
    </w:rPr>
  </w:style>
  <w:style w:type="paragraph" w:customStyle="1" w:styleId="41">
    <w:name w:val="表字-书"/>
    <w:basedOn w:val="1"/>
    <w:link w:val="57"/>
    <w:qFormat/>
    <w:uiPriority w:val="0"/>
    <w:pPr>
      <w:widowControl/>
      <w:spacing w:line="300" w:lineRule="exact"/>
      <w:contextualSpacing/>
      <w:jc w:val="center"/>
    </w:pPr>
    <w:rPr>
      <w:rFonts w:ascii="宋体" w:hAnsi="宋体" w:cs="Arial"/>
      <w:spacing w:val="-6"/>
      <w:sz w:val="21"/>
      <w:szCs w:val="21"/>
    </w:rPr>
  </w:style>
  <w:style w:type="paragraph" w:customStyle="1" w:styleId="42">
    <w:name w:val="表格"/>
    <w:basedOn w:val="21"/>
    <w:next w:val="1"/>
    <w:autoRedefine/>
    <w:qFormat/>
    <w:uiPriority w:val="0"/>
    <w:pPr>
      <w:spacing w:beforeLines="10" w:afterLines="10" w:line="259" w:lineRule="auto"/>
      <w:jc w:val="center"/>
    </w:pPr>
    <w:rPr>
      <w:rFonts w:ascii="宋体"/>
      <w:kern w:val="0"/>
      <w:sz w:val="20"/>
      <w:szCs w:val="21"/>
    </w:rPr>
  </w:style>
  <w:style w:type="paragraph" w:customStyle="1" w:styleId="43">
    <w:name w:val="表格内容"/>
    <w:basedOn w:val="44"/>
    <w:next w:val="27"/>
    <w:autoRedefine/>
    <w:qFormat/>
    <w:uiPriority w:val="0"/>
    <w:pPr>
      <w:jc w:val="center"/>
    </w:pPr>
    <w:rPr>
      <w:rFonts w:ascii="Calibri" w:hAnsi="Calibri"/>
      <w:szCs w:val="22"/>
    </w:rPr>
  </w:style>
  <w:style w:type="paragraph" w:customStyle="1" w:styleId="44">
    <w:name w:val="WW-正文缩进"/>
    <w:basedOn w:val="1"/>
    <w:autoRedefine/>
    <w:semiHidden/>
    <w:qFormat/>
    <w:uiPriority w:val="0"/>
    <w:pPr>
      <w:ind w:firstLine="420" w:firstLineChars="200"/>
    </w:pPr>
    <w:rPr>
      <w:kern w:val="0"/>
      <w:sz w:val="28"/>
      <w:szCs w:val="20"/>
    </w:rPr>
  </w:style>
  <w:style w:type="paragraph" w:customStyle="1" w:styleId="45">
    <w:name w:val="YJ题注"/>
    <w:basedOn w:val="8"/>
    <w:autoRedefine/>
    <w:qFormat/>
    <w:uiPriority w:val="0"/>
    <w:pPr>
      <w:spacing w:line="520" w:lineRule="exact"/>
    </w:pPr>
    <w:rPr>
      <w:szCs w:val="24"/>
    </w:rPr>
  </w:style>
  <w:style w:type="paragraph" w:customStyle="1" w:styleId="46">
    <w:name w:val="表内文字"/>
    <w:basedOn w:val="47"/>
    <w:link w:val="113"/>
    <w:autoRedefine/>
    <w:qFormat/>
    <w:uiPriority w:val="0"/>
    <w:pPr>
      <w:widowControl/>
      <w:spacing w:line="300" w:lineRule="exact"/>
    </w:pPr>
    <w:rPr>
      <w:rFonts w:ascii="宋体" w:hAnsi="宋体"/>
      <w:szCs w:val="22"/>
    </w:rPr>
  </w:style>
  <w:style w:type="paragraph" w:customStyle="1" w:styleId="47">
    <w:name w:val="表文字"/>
    <w:basedOn w:val="1"/>
    <w:autoRedefine/>
    <w:qFormat/>
    <w:uiPriority w:val="0"/>
    <w:pPr>
      <w:overflowPunct w:val="0"/>
      <w:autoSpaceDE w:val="0"/>
      <w:autoSpaceDN w:val="0"/>
      <w:adjustRightInd w:val="0"/>
      <w:spacing w:line="240" w:lineRule="atLeast"/>
      <w:jc w:val="center"/>
      <w:textAlignment w:val="baseline"/>
    </w:pPr>
    <w:rPr>
      <w:kern w:val="0"/>
    </w:rPr>
  </w:style>
  <w:style w:type="paragraph" w:customStyle="1" w:styleId="48">
    <w:name w:val="标题3 CDD"/>
    <w:basedOn w:val="1"/>
    <w:autoRedefine/>
    <w:qFormat/>
    <w:uiPriority w:val="0"/>
    <w:pPr>
      <w:adjustRightInd w:val="0"/>
      <w:snapToGrid w:val="0"/>
      <w:spacing w:line="500" w:lineRule="exact"/>
      <w:ind w:firstLine="482"/>
    </w:pPr>
    <w:rPr>
      <w:rFonts w:hAnsi="宋体"/>
      <w:b/>
    </w:rPr>
  </w:style>
  <w:style w:type="paragraph" w:customStyle="1" w:styleId="49">
    <w:name w:val="正文 CDD"/>
    <w:basedOn w:val="1"/>
    <w:autoRedefine/>
    <w:qFormat/>
    <w:uiPriority w:val="0"/>
    <w:pPr>
      <w:ind w:firstLine="480"/>
    </w:pPr>
    <w:rPr>
      <w:rFonts w:ascii="等线" w:hAnsi="宋体"/>
    </w:rPr>
  </w:style>
  <w:style w:type="paragraph" w:customStyle="1" w:styleId="50">
    <w:name w:val="MEL表字-书"/>
    <w:basedOn w:val="1"/>
    <w:link w:val="64"/>
    <w:qFormat/>
    <w:uiPriority w:val="0"/>
    <w:pPr>
      <w:spacing w:line="300" w:lineRule="exact"/>
      <w:contextualSpacing/>
      <w:jc w:val="center"/>
    </w:pPr>
    <w:rPr>
      <w:rFonts w:ascii="宋体" w:hAnsi="宋体"/>
      <w:kern w:val="0"/>
      <w:sz w:val="21"/>
      <w:szCs w:val="21"/>
    </w:rPr>
  </w:style>
  <w:style w:type="paragraph" w:customStyle="1" w:styleId="51">
    <w:name w:val="文本"/>
    <w:basedOn w:val="13"/>
    <w:autoRedefine/>
    <w:qFormat/>
    <w:uiPriority w:val="0"/>
    <w:pPr>
      <w:adjustRightInd w:val="0"/>
      <w:snapToGrid w:val="0"/>
      <w:spacing w:line="520" w:lineRule="exact"/>
      <w:ind w:firstLine="200" w:firstLineChars="200"/>
    </w:pPr>
    <w:rPr>
      <w:rFonts w:eastAsia="仿宋_GB2312"/>
    </w:rPr>
  </w:style>
  <w:style w:type="paragraph" w:customStyle="1" w:styleId="52">
    <w:name w:val="表格1"/>
    <w:basedOn w:val="1"/>
    <w:autoRedefine/>
    <w:qFormat/>
    <w:uiPriority w:val="0"/>
    <w:pPr>
      <w:adjustRightInd w:val="0"/>
      <w:snapToGrid w:val="0"/>
      <w:jc w:val="center"/>
    </w:pPr>
    <w:rPr>
      <w:rFonts w:eastAsia="方正仿宋_GBK"/>
      <w:color w:val="000000"/>
      <w:kern w:val="0"/>
    </w:rPr>
  </w:style>
  <w:style w:type="paragraph" w:styleId="53">
    <w:name w:val="List Paragraph"/>
    <w:basedOn w:val="1"/>
    <w:autoRedefine/>
    <w:qFormat/>
    <w:uiPriority w:val="99"/>
    <w:pPr>
      <w:ind w:firstLine="420" w:firstLineChars="200"/>
    </w:pPr>
  </w:style>
  <w:style w:type="paragraph" w:customStyle="1" w:styleId="54">
    <w:name w:val="p0"/>
    <w:basedOn w:val="1"/>
    <w:autoRedefine/>
    <w:qFormat/>
    <w:uiPriority w:val="0"/>
    <w:pPr>
      <w:widowControl/>
    </w:pPr>
    <w:rPr>
      <w:kern w:val="0"/>
      <w:szCs w:val="21"/>
    </w:rPr>
  </w:style>
  <w:style w:type="paragraph" w:customStyle="1" w:styleId="55">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56">
    <w:name w:val="FL正文字体"/>
    <w:basedOn w:val="40"/>
    <w:link w:val="97"/>
    <w:autoRedefine/>
    <w:qFormat/>
    <w:uiPriority w:val="0"/>
    <w:rPr>
      <w:color w:val="000000" w:themeColor="text1"/>
      <w:kern w:val="0"/>
      <w14:textFill>
        <w14:solidFill>
          <w14:schemeClr w14:val="tx1"/>
        </w14:solidFill>
      </w14:textFill>
    </w:rPr>
  </w:style>
  <w:style w:type="character" w:customStyle="1" w:styleId="57">
    <w:name w:val="表字-书 Char"/>
    <w:link w:val="41"/>
    <w:autoRedefine/>
    <w:qFormat/>
    <w:uiPriority w:val="0"/>
    <w:rPr>
      <w:rFonts w:ascii="宋体" w:hAnsi="宋体" w:cs="Arial"/>
      <w:spacing w:val="-6"/>
      <w:kern w:val="2"/>
      <w:sz w:val="21"/>
      <w:szCs w:val="21"/>
    </w:rPr>
  </w:style>
  <w:style w:type="character" w:customStyle="1" w:styleId="58">
    <w:name w:val="YJ正文* 字符"/>
    <w:link w:val="40"/>
    <w:autoRedefine/>
    <w:qFormat/>
    <w:locked/>
    <w:uiPriority w:val="0"/>
    <w:rPr>
      <w:rFonts w:ascii="宋体" w:hAnsi="宋体" w:cs="宋体"/>
      <w:color w:val="FF0000"/>
      <w:kern w:val="2"/>
      <w:sz w:val="21"/>
      <w:szCs w:val="21"/>
    </w:rPr>
  </w:style>
  <w:style w:type="character" w:customStyle="1" w:styleId="59">
    <w:name w:val="MEL正文* 字符"/>
    <w:link w:val="37"/>
    <w:autoRedefine/>
    <w:qFormat/>
    <w:uiPriority w:val="0"/>
    <w:rPr>
      <w:rFonts w:ascii="宋体" w:hAnsi="宋体"/>
      <w:sz w:val="24"/>
      <w:szCs w:val="24"/>
    </w:rPr>
  </w:style>
  <w:style w:type="character" w:customStyle="1" w:styleId="60">
    <w:name w:val="CDD正文 Char"/>
    <w:link w:val="61"/>
    <w:autoRedefine/>
    <w:qFormat/>
    <w:locked/>
    <w:uiPriority w:val="0"/>
    <w:rPr>
      <w:rFonts w:ascii="宋体" w:hAnsi="宋体"/>
      <w:kern w:val="2"/>
      <w:sz w:val="24"/>
      <w:szCs w:val="24"/>
    </w:rPr>
  </w:style>
  <w:style w:type="paragraph" w:customStyle="1" w:styleId="61">
    <w:name w:val="CDD正文"/>
    <w:basedOn w:val="1"/>
    <w:link w:val="60"/>
    <w:autoRedefine/>
    <w:qFormat/>
    <w:uiPriority w:val="0"/>
    <w:pPr>
      <w:suppressLineNumbers/>
      <w:suppressAutoHyphens/>
      <w:snapToGrid w:val="0"/>
      <w:spacing w:line="520" w:lineRule="exact"/>
      <w:ind w:firstLine="200" w:firstLineChars="200"/>
      <w:outlineLvl w:val="3"/>
    </w:pPr>
    <w:rPr>
      <w:rFonts w:ascii="宋体" w:hAnsi="宋体"/>
    </w:rPr>
  </w:style>
  <w:style w:type="character" w:customStyle="1" w:styleId="62">
    <w:name w:val="正文(首行缩进) Char Char"/>
    <w:link w:val="63"/>
    <w:autoRedefine/>
    <w:qFormat/>
    <w:locked/>
    <w:uiPriority w:val="99"/>
    <w:rPr>
      <w:rFonts w:hAnsi="宋体"/>
      <w:spacing w:val="-2"/>
      <w:sz w:val="24"/>
      <w:szCs w:val="24"/>
    </w:rPr>
  </w:style>
  <w:style w:type="paragraph" w:customStyle="1" w:styleId="63">
    <w:name w:val="正文(首行缩进)"/>
    <w:basedOn w:val="1"/>
    <w:link w:val="62"/>
    <w:autoRedefine/>
    <w:qFormat/>
    <w:uiPriority w:val="99"/>
    <w:pPr>
      <w:tabs>
        <w:tab w:val="left" w:pos="4584"/>
      </w:tabs>
      <w:adjustRightInd w:val="0"/>
      <w:snapToGrid w:val="0"/>
      <w:spacing w:line="520" w:lineRule="exact"/>
      <w:ind w:firstLine="531" w:firstLineChars="225"/>
    </w:pPr>
    <w:rPr>
      <w:rFonts w:hAnsi="宋体"/>
      <w:spacing w:val="-2"/>
      <w:kern w:val="0"/>
    </w:rPr>
  </w:style>
  <w:style w:type="character" w:customStyle="1" w:styleId="64">
    <w:name w:val="MEL表字-书 字符"/>
    <w:link w:val="50"/>
    <w:autoRedefine/>
    <w:qFormat/>
    <w:uiPriority w:val="0"/>
    <w:rPr>
      <w:rFonts w:ascii="宋体" w:hAnsi="宋体"/>
      <w:sz w:val="21"/>
      <w:szCs w:val="21"/>
    </w:rPr>
  </w:style>
  <w:style w:type="character" w:customStyle="1" w:styleId="65">
    <w:name w:val="题注 字符3"/>
    <w:autoRedefine/>
    <w:qFormat/>
    <w:uiPriority w:val="0"/>
    <w:rPr>
      <w:rFonts w:ascii="黑体" w:hAnsi="黑体" w:eastAsia="黑体"/>
      <w:color w:val="0D0D0D" w:themeColor="text1" w:themeTint="F2"/>
      <w:sz w:val="21"/>
      <w14:textFill>
        <w14:solidFill>
          <w14:schemeClr w14:val="tx1">
            <w14:lumMod w14:val="95000"/>
            <w14:lumOff w14:val="5000"/>
          </w14:schemeClr>
        </w14:solidFill>
      </w14:textFill>
    </w:rPr>
  </w:style>
  <w:style w:type="character" w:customStyle="1" w:styleId="66">
    <w:name w:val="标题 3 字符"/>
    <w:basedOn w:val="30"/>
    <w:link w:val="4"/>
    <w:autoRedefine/>
    <w:qFormat/>
    <w:uiPriority w:val="9"/>
    <w:rPr>
      <w:b/>
      <w:bCs/>
      <w:kern w:val="2"/>
      <w:sz w:val="32"/>
      <w:szCs w:val="32"/>
    </w:rPr>
  </w:style>
  <w:style w:type="character" w:customStyle="1" w:styleId="67">
    <w:name w:val="文档结构图 字符"/>
    <w:basedOn w:val="30"/>
    <w:link w:val="9"/>
    <w:autoRedefine/>
    <w:qFormat/>
    <w:uiPriority w:val="0"/>
    <w:rPr>
      <w:rFonts w:ascii="宋体" w:hAnsi="宋体" w:cs="宋体"/>
      <w:kern w:val="2"/>
      <w:sz w:val="18"/>
      <w:szCs w:val="18"/>
    </w:rPr>
  </w:style>
  <w:style w:type="character" w:customStyle="1" w:styleId="68">
    <w:name w:val="批注文字 字符"/>
    <w:link w:val="10"/>
    <w:autoRedefine/>
    <w:qFormat/>
    <w:uiPriority w:val="99"/>
    <w:rPr>
      <w:kern w:val="2"/>
      <w:sz w:val="24"/>
      <w:szCs w:val="24"/>
    </w:rPr>
  </w:style>
  <w:style w:type="character" w:customStyle="1" w:styleId="69">
    <w:name w:val="正文文本 字符"/>
    <w:link w:val="11"/>
    <w:autoRedefine/>
    <w:qFormat/>
    <w:uiPriority w:val="0"/>
    <w:rPr>
      <w:rFonts w:ascii="宋体" w:hAnsi="宋体" w:cs="宋体"/>
      <w:b/>
      <w:bCs/>
      <w:color w:val="ED0000"/>
      <w:sz w:val="24"/>
      <w:szCs w:val="24"/>
    </w:rPr>
  </w:style>
  <w:style w:type="character" w:customStyle="1" w:styleId="70">
    <w:name w:val="页脚 字符"/>
    <w:link w:val="17"/>
    <w:autoRedefine/>
    <w:qFormat/>
    <w:uiPriority w:val="99"/>
    <w:rPr>
      <w:kern w:val="2"/>
      <w:sz w:val="18"/>
      <w:szCs w:val="18"/>
    </w:rPr>
  </w:style>
  <w:style w:type="character" w:customStyle="1" w:styleId="71">
    <w:name w:val="页眉 字符"/>
    <w:link w:val="18"/>
    <w:autoRedefine/>
    <w:qFormat/>
    <w:uiPriority w:val="0"/>
    <w:rPr>
      <w:sz w:val="18"/>
      <w:szCs w:val="18"/>
    </w:rPr>
  </w:style>
  <w:style w:type="character" w:customStyle="1" w:styleId="72">
    <w:name w:val="正文文本缩进 3 字符"/>
    <w:basedOn w:val="30"/>
    <w:link w:val="22"/>
    <w:qFormat/>
    <w:uiPriority w:val="0"/>
    <w:rPr>
      <w:rFonts w:ascii="宋体" w:hAnsi="宋体" w:eastAsia="楷体_GB2312" w:cs="宋体"/>
      <w:kern w:val="2"/>
      <w:sz w:val="32"/>
    </w:rPr>
  </w:style>
  <w:style w:type="character" w:customStyle="1" w:styleId="73">
    <w:name w:val="fbrq"/>
    <w:qFormat/>
    <w:uiPriority w:val="0"/>
  </w:style>
  <w:style w:type="character" w:customStyle="1" w:styleId="74">
    <w:name w:val="active"/>
    <w:qFormat/>
    <w:uiPriority w:val="0"/>
    <w:rPr>
      <w:color w:val="000000"/>
      <w:shd w:val="clear" w:color="auto" w:fill="F7F7F7"/>
    </w:rPr>
  </w:style>
  <w:style w:type="character" w:customStyle="1" w:styleId="75">
    <w:name w:val="active1"/>
    <w:autoRedefine/>
    <w:qFormat/>
    <w:uiPriority w:val="0"/>
    <w:rPr>
      <w:shd w:val="clear" w:color="auto" w:fill="FFFFFF"/>
    </w:rPr>
  </w:style>
  <w:style w:type="character" w:customStyle="1" w:styleId="76">
    <w:name w:val="first-child1"/>
    <w:autoRedefine/>
    <w:qFormat/>
    <w:uiPriority w:val="0"/>
  </w:style>
  <w:style w:type="character" w:customStyle="1" w:styleId="77">
    <w:name w:val="first-child2"/>
    <w:autoRedefine/>
    <w:qFormat/>
    <w:uiPriority w:val="0"/>
  </w:style>
  <w:style w:type="character" w:customStyle="1" w:styleId="78">
    <w:name w:val="first-child"/>
    <w:autoRedefine/>
    <w:qFormat/>
    <w:uiPriority w:val="0"/>
    <w:rPr>
      <w:color w:val="DF1C00"/>
    </w:rPr>
  </w:style>
  <w:style w:type="paragraph" w:customStyle="1" w:styleId="79">
    <w:name w:val="Table Paragraph"/>
    <w:basedOn w:val="1"/>
    <w:autoRedefine/>
    <w:qFormat/>
    <w:uiPriority w:val="1"/>
    <w:rPr>
      <w:rFonts w:ascii="楷体" w:hAnsi="楷体" w:eastAsia="楷体" w:cs="楷体"/>
      <w:sz w:val="21"/>
      <w:szCs w:val="22"/>
      <w:lang w:val="zh-CN" w:bidi="zh-CN"/>
    </w:rPr>
  </w:style>
  <w:style w:type="paragraph" w:customStyle="1" w:styleId="80">
    <w:name w:val="Char"/>
    <w:basedOn w:val="1"/>
    <w:autoRedefine/>
    <w:qFormat/>
    <w:uiPriority w:val="0"/>
    <w:rPr>
      <w:sz w:val="21"/>
    </w:rPr>
  </w:style>
  <w:style w:type="paragraph" w:customStyle="1" w:styleId="81">
    <w:name w:val="样式 首行缩进:  2 字符1"/>
    <w:basedOn w:val="1"/>
    <w:autoRedefine/>
    <w:qFormat/>
    <w:uiPriority w:val="0"/>
    <w:pPr>
      <w:spacing w:line="400" w:lineRule="exact"/>
    </w:pPr>
    <w:rPr>
      <w:rFonts w:ascii="宋体"/>
      <w:sz w:val="21"/>
      <w:szCs w:val="20"/>
    </w:rPr>
  </w:style>
  <w:style w:type="character" w:customStyle="1" w:styleId="82">
    <w:name w:val="报告书正文 Char"/>
    <w:link w:val="83"/>
    <w:autoRedefine/>
    <w:qFormat/>
    <w:uiPriority w:val="0"/>
    <w:rPr>
      <w:sz w:val="24"/>
      <w:lang w:val="zh-CN"/>
    </w:rPr>
  </w:style>
  <w:style w:type="paragraph" w:customStyle="1" w:styleId="83">
    <w:name w:val="报告书正文"/>
    <w:basedOn w:val="1"/>
    <w:link w:val="82"/>
    <w:autoRedefine/>
    <w:qFormat/>
    <w:uiPriority w:val="0"/>
    <w:pPr>
      <w:spacing w:line="360" w:lineRule="auto"/>
    </w:pPr>
    <w:rPr>
      <w:kern w:val="0"/>
      <w:szCs w:val="20"/>
      <w:lang w:val="zh-CN"/>
    </w:rPr>
  </w:style>
  <w:style w:type="character" w:customStyle="1" w:styleId="84">
    <w:name w:val="页脚 Char2"/>
    <w:autoRedefine/>
    <w:qFormat/>
    <w:uiPriority w:val="99"/>
    <w:rPr>
      <w:sz w:val="18"/>
      <w:szCs w:val="18"/>
    </w:rPr>
  </w:style>
  <w:style w:type="character" w:customStyle="1" w:styleId="85">
    <w:name w:val="寇 字符"/>
    <w:link w:val="86"/>
    <w:autoRedefine/>
    <w:qFormat/>
    <w:uiPriority w:val="0"/>
    <w:rPr>
      <w:rFonts w:ascii="宋体" w:hAnsi="宋体"/>
      <w:color w:val="FF0000"/>
      <w:kern w:val="2"/>
      <w:sz w:val="24"/>
      <w:szCs w:val="24"/>
    </w:rPr>
  </w:style>
  <w:style w:type="paragraph" w:customStyle="1" w:styleId="86">
    <w:name w:val="寇"/>
    <w:basedOn w:val="40"/>
    <w:link w:val="85"/>
    <w:autoRedefine/>
    <w:qFormat/>
    <w:uiPriority w:val="0"/>
  </w:style>
  <w:style w:type="character" w:customStyle="1" w:styleId="87">
    <w:name w:val="标题 1 字符"/>
    <w:link w:val="2"/>
    <w:autoRedefine/>
    <w:qFormat/>
    <w:uiPriority w:val="0"/>
    <w:rPr>
      <w:rFonts w:ascii="宋体" w:hAnsi="宋体" w:cs="宋体"/>
      <w:b/>
      <w:color w:val="FF0000"/>
      <w:kern w:val="44"/>
      <w:sz w:val="28"/>
      <w:szCs w:val="28"/>
    </w:rPr>
  </w:style>
  <w:style w:type="character" w:customStyle="1" w:styleId="88">
    <w:name w:val="正文文本 (2)_"/>
    <w:basedOn w:val="30"/>
    <w:link w:val="89"/>
    <w:autoRedefine/>
    <w:qFormat/>
    <w:uiPriority w:val="0"/>
    <w:rPr>
      <w:rFonts w:ascii="仿宋" w:eastAsia="仿宋"/>
      <w:sz w:val="13"/>
      <w:szCs w:val="13"/>
      <w:shd w:val="clear" w:color="auto" w:fill="FFFFFF"/>
    </w:rPr>
  </w:style>
  <w:style w:type="paragraph" w:customStyle="1" w:styleId="89">
    <w:name w:val="正文文本 (2)1"/>
    <w:basedOn w:val="1"/>
    <w:link w:val="88"/>
    <w:autoRedefine/>
    <w:qFormat/>
    <w:uiPriority w:val="0"/>
    <w:pPr>
      <w:shd w:val="clear" w:color="auto" w:fill="FFFFFF"/>
      <w:spacing w:line="259" w:lineRule="exact"/>
      <w:ind w:firstLine="300"/>
      <w:jc w:val="distribute"/>
    </w:pPr>
    <w:rPr>
      <w:rFonts w:ascii="仿宋" w:eastAsia="仿宋"/>
      <w:kern w:val="0"/>
      <w:sz w:val="13"/>
      <w:szCs w:val="13"/>
    </w:rPr>
  </w:style>
  <w:style w:type="character" w:customStyle="1" w:styleId="90">
    <w:name w:val="批注主题 字符"/>
    <w:basedOn w:val="68"/>
    <w:link w:val="27"/>
    <w:autoRedefine/>
    <w:qFormat/>
    <w:uiPriority w:val="0"/>
    <w:rPr>
      <w:b/>
      <w:bCs/>
      <w:kern w:val="2"/>
      <w:sz w:val="24"/>
      <w:szCs w:val="24"/>
    </w:rPr>
  </w:style>
  <w:style w:type="character" w:customStyle="1" w:styleId="91">
    <w:name w:val="正文 楷体 Char"/>
    <w:link w:val="92"/>
    <w:autoRedefine/>
    <w:qFormat/>
    <w:uiPriority w:val="0"/>
    <w:rPr>
      <w:rFonts w:ascii="楷体_GB2312" w:hAnsi="楷体_GB2312" w:eastAsia="楷体_GB2312"/>
      <w:sz w:val="24"/>
      <w:szCs w:val="24"/>
    </w:rPr>
  </w:style>
  <w:style w:type="paragraph" w:customStyle="1" w:styleId="92">
    <w:name w:val="正文 楷体"/>
    <w:basedOn w:val="1"/>
    <w:link w:val="91"/>
    <w:autoRedefine/>
    <w:qFormat/>
    <w:uiPriority w:val="0"/>
    <w:pPr>
      <w:spacing w:line="500" w:lineRule="exact"/>
      <w:ind w:firstLine="200" w:firstLineChars="200"/>
    </w:pPr>
    <w:rPr>
      <w:rFonts w:ascii="楷体_GB2312" w:hAnsi="楷体_GB2312" w:eastAsia="楷体_GB2312"/>
      <w:kern w:val="0"/>
    </w:rPr>
  </w:style>
  <w:style w:type="character" w:customStyle="1" w:styleId="93">
    <w:name w:val="正文文本缩进 2 字符"/>
    <w:basedOn w:val="30"/>
    <w:link w:val="16"/>
    <w:autoRedefine/>
    <w:qFormat/>
    <w:uiPriority w:val="0"/>
    <w:rPr>
      <w:kern w:val="2"/>
      <w:sz w:val="24"/>
      <w:szCs w:val="24"/>
    </w:rPr>
  </w:style>
  <w:style w:type="paragraph" w:customStyle="1" w:styleId="94">
    <w:name w:val="文字"/>
    <w:basedOn w:val="40"/>
    <w:link w:val="95"/>
    <w:autoRedefine/>
    <w:qFormat/>
    <w:uiPriority w:val="0"/>
    <w:pPr>
      <w:spacing w:line="520" w:lineRule="exact"/>
    </w:pPr>
    <w:rPr>
      <w:lang w:val="zh-CN"/>
    </w:rPr>
  </w:style>
  <w:style w:type="character" w:customStyle="1" w:styleId="95">
    <w:name w:val="文字 字符"/>
    <w:link w:val="94"/>
    <w:autoRedefine/>
    <w:qFormat/>
    <w:uiPriority w:val="0"/>
    <w:rPr>
      <w:rFonts w:ascii="宋体" w:hAnsi="宋体"/>
      <w:kern w:val="2"/>
      <w:sz w:val="24"/>
      <w:szCs w:val="24"/>
      <w:lang w:val="zh-CN" w:eastAsia="zh-CN"/>
    </w:rPr>
  </w:style>
  <w:style w:type="table" w:customStyle="1" w:styleId="96">
    <w:name w:val="报告书表格样式1"/>
    <w:basedOn w:val="28"/>
    <w:autoRedefine/>
    <w:qFormat/>
    <w:uiPriority w:val="0"/>
    <w:pPr>
      <w:spacing w:line="300" w:lineRule="exact"/>
      <w:contextualSpacing/>
      <w:jc w:val="center"/>
    </w:pPr>
    <w:rPr>
      <w:rFonts w:ascii="宋体" w:hAnsi="宋体" w:cs="宋体"/>
      <w:szCs w:val="21"/>
    </w:rPr>
    <w:tblPr>
      <w:jc w:val="center"/>
      <w:tblBorders>
        <w:top w:val="single" w:color="auto" w:sz="12" w:space="0"/>
        <w:bottom w:val="single" w:color="auto" w:sz="12" w:space="0"/>
        <w:insideH w:val="single" w:color="auto" w:sz="4" w:space="0"/>
        <w:insideV w:val="single" w:color="auto" w:sz="4" w:space="0"/>
      </w:tblBorders>
      <w:tblCellMar>
        <w:left w:w="28" w:type="dxa"/>
        <w:right w:w="28" w:type="dxa"/>
      </w:tblCellMar>
    </w:tblPr>
    <w:trPr>
      <w:jc w:val="center"/>
    </w:trPr>
    <w:tcPr>
      <w:vAlign w:val="center"/>
    </w:tcPr>
  </w:style>
  <w:style w:type="character" w:customStyle="1" w:styleId="97">
    <w:name w:val="FL正文字体 字符"/>
    <w:link w:val="56"/>
    <w:autoRedefine/>
    <w:qFormat/>
    <w:uiPriority w:val="0"/>
    <w:rPr>
      <w:rFonts w:ascii="宋体" w:hAnsi="宋体" w:cs="宋体"/>
      <w:color w:val="000000" w:themeColor="text1"/>
      <w:sz w:val="21"/>
      <w:szCs w:val="21"/>
      <w14:textFill>
        <w14:solidFill>
          <w14:schemeClr w14:val="tx1"/>
        </w14:solidFill>
      </w14:textFill>
    </w:rPr>
  </w:style>
  <w:style w:type="character" w:customStyle="1" w:styleId="98">
    <w:name w:val="普通(网站) 字符"/>
    <w:link w:val="26"/>
    <w:autoRedefine/>
    <w:qFormat/>
    <w:locked/>
    <w:uiPriority w:val="99"/>
    <w:rPr>
      <w:rFonts w:ascii="宋体" w:hAnsi="宋体"/>
      <w:sz w:val="24"/>
      <w:szCs w:val="24"/>
    </w:rPr>
  </w:style>
  <w:style w:type="paragraph" w:customStyle="1" w:styleId="99">
    <w:name w:val="正文邵"/>
    <w:basedOn w:val="1"/>
    <w:autoRedefine/>
    <w:qFormat/>
    <w:uiPriority w:val="0"/>
    <w:pPr>
      <w:spacing w:line="360" w:lineRule="auto"/>
      <w:ind w:firstLine="200" w:firstLineChars="200"/>
    </w:pPr>
    <w:rPr>
      <w:szCs w:val="21"/>
    </w:rPr>
  </w:style>
  <w:style w:type="table" w:customStyle="1" w:styleId="100">
    <w:name w:val="样式1"/>
    <w:basedOn w:val="28"/>
    <w:autoRedefine/>
    <w:qFormat/>
    <w:uiPriority w:val="0"/>
    <w:tblPr>
      <w:tblBorders>
        <w:top w:val="single" w:color="auto" w:sz="12" w:space="0"/>
        <w:bottom w:val="single" w:color="auto" w:sz="12" w:space="0"/>
        <w:insideH w:val="single" w:color="auto" w:sz="6" w:space="0"/>
        <w:insideV w:val="single" w:color="auto" w:sz="6" w:space="0"/>
      </w:tblBorders>
    </w:tblPr>
  </w:style>
  <w:style w:type="paragraph" w:customStyle="1" w:styleId="101">
    <w:name w:val="报告书-表体（左对齐）小五"/>
    <w:basedOn w:val="102"/>
    <w:next w:val="43"/>
    <w:autoRedefine/>
    <w:qFormat/>
    <w:uiPriority w:val="0"/>
    <w:pPr>
      <w:tabs>
        <w:tab w:val="left" w:pos="2760"/>
      </w:tabs>
    </w:pPr>
    <w:rPr>
      <w:sz w:val="18"/>
      <w:szCs w:val="18"/>
    </w:rPr>
  </w:style>
  <w:style w:type="paragraph" w:customStyle="1" w:styleId="102">
    <w:name w:val="报告书-表体（左对齐）"/>
    <w:basedOn w:val="103"/>
    <w:autoRedefine/>
    <w:qFormat/>
    <w:uiPriority w:val="0"/>
    <w:pPr>
      <w:tabs>
        <w:tab w:val="left" w:pos="2760"/>
      </w:tabs>
      <w:textAlignment w:val="baseline"/>
    </w:pPr>
    <w:rPr>
      <w:szCs w:val="21"/>
    </w:rPr>
  </w:style>
  <w:style w:type="paragraph" w:customStyle="1" w:styleId="103">
    <w:name w:val="报告书-表体（居中）"/>
    <w:basedOn w:val="1"/>
    <w:autoRedefine/>
    <w:qFormat/>
    <w:uiPriority w:val="0"/>
    <w:pPr>
      <w:tabs>
        <w:tab w:val="left" w:pos="2760"/>
      </w:tabs>
      <w:adjustRightInd w:val="0"/>
      <w:snapToGrid w:val="0"/>
      <w:spacing w:line="260" w:lineRule="exact"/>
      <w:jc w:val="center"/>
      <w:textAlignment w:val="center"/>
    </w:pPr>
    <w:rPr>
      <w:snapToGrid w:val="0"/>
      <w:kern w:val="0"/>
      <w:szCs w:val="28"/>
    </w:rPr>
  </w:style>
  <w:style w:type="character" w:customStyle="1" w:styleId="104">
    <w:name w:val="YJ题注 Char"/>
    <w:basedOn w:val="30"/>
    <w:autoRedefine/>
    <w:qFormat/>
    <w:uiPriority w:val="0"/>
    <w:rPr>
      <w:rFonts w:hint="eastAsia" w:ascii="宋体" w:hAnsi="宋体" w:eastAsia="黑体" w:cs="宋体"/>
      <w:kern w:val="2"/>
      <w:sz w:val="24"/>
      <w:szCs w:val="24"/>
    </w:rPr>
  </w:style>
  <w:style w:type="character" w:customStyle="1" w:styleId="105">
    <w:name w:val="YJ表中字体 Char"/>
    <w:link w:val="106"/>
    <w:qFormat/>
    <w:uiPriority w:val="0"/>
    <w:rPr>
      <w:rFonts w:ascii="宋体" w:hAnsi="宋体"/>
      <w:kern w:val="2"/>
      <w:sz w:val="21"/>
      <w:szCs w:val="22"/>
    </w:rPr>
  </w:style>
  <w:style w:type="paragraph" w:customStyle="1" w:styleId="106">
    <w:name w:val="YJ表中字体"/>
    <w:basedOn w:val="5"/>
    <w:link w:val="105"/>
    <w:qFormat/>
    <w:uiPriority w:val="0"/>
    <w:pPr>
      <w:tabs>
        <w:tab w:val="left" w:pos="8176"/>
      </w:tabs>
      <w:adjustRightInd w:val="0"/>
      <w:snapToGrid w:val="0"/>
      <w:spacing w:line="300" w:lineRule="exact"/>
      <w:ind w:firstLine="0" w:firstLineChars="0"/>
      <w:jc w:val="center"/>
    </w:pPr>
    <w:rPr>
      <w:rFonts w:ascii="宋体" w:hAnsi="宋体"/>
      <w:sz w:val="21"/>
      <w:szCs w:val="22"/>
    </w:rPr>
  </w:style>
  <w:style w:type="paragraph" w:customStyle="1" w:styleId="107">
    <w:name w:val="XA表字"/>
    <w:basedOn w:val="1"/>
    <w:qFormat/>
    <w:uiPriority w:val="0"/>
    <w:pPr>
      <w:spacing w:line="300" w:lineRule="exact"/>
      <w:jc w:val="center"/>
    </w:pPr>
    <w:rPr>
      <w:rFonts w:eastAsia="楷体"/>
      <w:snapToGrid w:val="0"/>
      <w:kern w:val="0"/>
      <w:sz w:val="21"/>
    </w:rPr>
  </w:style>
  <w:style w:type="character" w:customStyle="1" w:styleId="108">
    <w:name w:val="表中文字 Char"/>
    <w:link w:val="109"/>
    <w:qFormat/>
    <w:locked/>
    <w:uiPriority w:val="0"/>
    <w:rPr>
      <w:szCs w:val="24"/>
    </w:rPr>
  </w:style>
  <w:style w:type="paragraph" w:customStyle="1" w:styleId="109">
    <w:name w:val="表中文字"/>
    <w:basedOn w:val="1"/>
    <w:link w:val="108"/>
    <w:qFormat/>
    <w:uiPriority w:val="0"/>
    <w:pPr>
      <w:jc w:val="center"/>
    </w:pPr>
    <w:rPr>
      <w:kern w:val="0"/>
      <w:sz w:val="20"/>
    </w:rPr>
  </w:style>
  <w:style w:type="character" w:customStyle="1" w:styleId="110">
    <w:name w:val="FL 字符"/>
    <w:link w:val="111"/>
    <w:qFormat/>
    <w:uiPriority w:val="0"/>
    <w:rPr>
      <w:rFonts w:ascii="宋体" w:hAnsi="宋体"/>
      <w:color w:val="FF0000"/>
      <w:kern w:val="2"/>
      <w:sz w:val="24"/>
      <w:szCs w:val="24"/>
    </w:rPr>
  </w:style>
  <w:style w:type="paragraph" w:customStyle="1" w:styleId="111">
    <w:name w:val="FL"/>
    <w:basedOn w:val="40"/>
    <w:link w:val="110"/>
    <w:qFormat/>
    <w:uiPriority w:val="0"/>
    <w:pPr>
      <w:spacing w:line="500" w:lineRule="exact"/>
      <w:ind w:firstLine="200" w:firstLineChars="200"/>
    </w:pPr>
    <w:rPr>
      <w:rFonts w:cs="Times New Roman"/>
      <w:sz w:val="24"/>
      <w:szCs w:val="24"/>
    </w:rPr>
  </w:style>
  <w:style w:type="table" w:customStyle="1" w:styleId="112">
    <w:name w:val="报告书表格样式12"/>
    <w:basedOn w:val="28"/>
    <w:qFormat/>
    <w:uiPriority w:val="0"/>
    <w:pPr>
      <w:jc w:val="center"/>
    </w:pPr>
    <w:tblPr>
      <w:tblBorders>
        <w:top w:val="single" w:color="auto" w:sz="12" w:space="0"/>
        <w:bottom w:val="single" w:color="auto" w:sz="12" w:space="0"/>
        <w:insideH w:val="single" w:color="auto" w:sz="6" w:space="0"/>
        <w:insideV w:val="single" w:color="auto" w:sz="6" w:space="0"/>
      </w:tblBorders>
      <w:tblCellMar>
        <w:left w:w="28" w:type="dxa"/>
        <w:right w:w="28" w:type="dxa"/>
      </w:tblCellMar>
    </w:tblPr>
    <w:tcPr>
      <w:vAlign w:val="center"/>
    </w:tcPr>
  </w:style>
  <w:style w:type="character" w:customStyle="1" w:styleId="113">
    <w:name w:val="表内文字 字符"/>
    <w:link w:val="46"/>
    <w:qFormat/>
    <w:locked/>
    <w:uiPriority w:val="0"/>
    <w:rPr>
      <w:rFonts w:ascii="宋体" w:hAnsi="宋体"/>
      <w:sz w:val="24"/>
      <w:szCs w:val="22"/>
    </w:rPr>
  </w:style>
  <w:style w:type="character" w:customStyle="1" w:styleId="114">
    <w:name w:val="YJ-正文 Char"/>
    <w:link w:val="38"/>
    <w:qFormat/>
    <w:uiPriority w:val="0"/>
    <w:rPr>
      <w:sz w:val="24"/>
      <w:szCs w:val="22"/>
    </w:rPr>
  </w:style>
  <w:style w:type="paragraph" w:customStyle="1" w:styleId="115">
    <w:name w:val="Table Text"/>
    <w:basedOn w:val="1"/>
    <w:semiHidden/>
    <w:qFormat/>
    <w:uiPriority w:val="0"/>
    <w:rPr>
      <w:rFonts w:ascii="宋体" w:hAnsi="宋体" w:cs="宋体"/>
      <w:sz w:val="21"/>
      <w:szCs w:val="21"/>
      <w:lang w:eastAsia="en-US"/>
    </w:rPr>
  </w:style>
  <w:style w:type="paragraph" w:customStyle="1" w:styleId="116">
    <w:name w:val="00.正文格式"/>
    <w:basedOn w:val="5"/>
    <w:qFormat/>
    <w:uiPriority w:val="0"/>
    <w:pPr>
      <w:widowControl/>
      <w:spacing w:line="360" w:lineRule="auto"/>
      <w:ind w:firstLine="200"/>
      <w:jc w:val="left"/>
    </w:pPr>
    <w:rPr>
      <w:rFonts w:hAnsi="宋体"/>
      <w:color w:val="000000"/>
      <w:kern w:val="0"/>
    </w:rPr>
  </w:style>
  <w:style w:type="character" w:customStyle="1" w:styleId="117">
    <w:name w:val="HTML 预设格式 字符"/>
    <w:basedOn w:val="30"/>
    <w:link w:val="25"/>
    <w:qFormat/>
    <w:uiPriority w:val="0"/>
    <w:rPr>
      <w:rFonts w:ascii="Courier New" w:hAnsi="Courier New" w:cs="Courier New"/>
      <w:kern w:val="2"/>
    </w:rPr>
  </w:style>
  <w:style w:type="table" w:customStyle="1" w:styleId="118">
    <w:name w:val="网格型1"/>
    <w:basedOn w:val="28"/>
    <w:unhideWhenUsed/>
    <w:qFormat/>
    <w:uiPriority w:val="99"/>
    <w:pPr>
      <w:widowControl w:val="0"/>
      <w:jc w:val="both"/>
    </w:pPr>
    <w:rPr>
      <w:rFonts w:ascii="宋体" w:hAnsi="宋体"/>
    </w:r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0dad9050-bedf-4a70-8f2b-70d4a71eb7e1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33F36106</paraID>
      <start>0</start>
      <end>2</end>
      <status>modified</status>
      <modifiedWord>1.</modifiedWord>
      <trackRevisions>false</trackRevisions>
    </reviewItem>
    <reviewItem>
      <errorID>832503dc-9bd2-478c-b6d6-424447e988db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53D3B85A</paraID>
      <start>0</start>
      <end>2</end>
      <status>modified</status>
      <modifiedWord>1.</modifiedWord>
      <trackRevisions>false</trackRevisions>
    </reviewItem>
    <reviewItem>
      <errorID>72eb9829-9f0b-40e2-b508-82dda1091eeb</errorID>
      <errorWord>减缓</errorWord>
      <group>L1_Grammar</group>
      <groupName>语法问题</groupName>
      <ability>L2_Grammar</ability>
      <abilityName>语法错误</abilityName>
      <candidateList>
        <item>减少</item>
      </candidateList>
      <explain>“最大限度～减缓”搭配不当，建议修改为“最大限度～减少”。</explain>
      <paraID>261E811B</paraID>
      <start>88</start>
      <end>90</end>
      <status>modified</status>
      <modifiedWord>减少</modifiedWord>
      <trackRevisions>false</trackRevisions>
    </reviewItem>
    <reviewItem>
      <errorID>7fb8a371-3e76-4fbb-828f-d3113559a8e5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60D808AB</paraID>
      <start>0</start>
      <end>2</end>
      <status>modified</status>
      <modifiedWord>2.</modifiedWord>
      <trackRevisions>false</trackRevisions>
    </reviewItem>
    <reviewItem>
      <errorID>be5c71f3-fe3c-4d9a-b112-6e304b3abe87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DB5545A</paraID>
      <start>0</start>
      <end>2</end>
      <status>modified</status>
      <modifiedWord>3.</modifiedWord>
      <trackRevisions>false</trackRevisions>
    </reviewItem>
    <reviewItem>
      <errorID>fa773a38-155a-4115-9073-cbafadda50f2</errorID>
      <errorWord>期</errorWord>
      <group>L1_Word</group>
      <groupName>字词问题</groupName>
      <ability>L2_Typo</ability>
      <abilityName>字词错误</abilityName>
      <candidateList>
        <item>期间</item>
      </candidateList>
      <explain>〈名〉某个时期里面：农忙～｜春节～｜抗战～。</explain>
      <paraID>51A565C6</paraID>
      <start>105</start>
      <end>107</end>
      <status>modified</status>
      <modifiedWord>期间</modifiedWord>
      <trackRevisions>false</trackRevisions>
    </reviewItem>
    <reviewItem>
      <errorID>411404f4-746e-4ce0-9d74-afee31351818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18DAAFD4</paraID>
      <start>0</start>
      <end>2</end>
      <status>modified</status>
      <modifiedWord>4.</modifiedWord>
      <trackRevisions>false</trackRevisions>
    </reviewItem>
    <reviewItem>
      <errorID>c4e18428-4937-44e2-97f9-cd8238256104</errorID>
      <errorWord>五五</errorWord>
      <group>L1_Word</group>
      <groupName>字词问题</groupName>
      <ability>L2_Typo</ability>
      <abilityName>字词错误</abilityName>
      <candidateList>
        <item>五</item>
      </candidateList>
      <explain/>
      <paraID> 156D1D5</paraID>
      <start>64</start>
      <end>65</end>
      <status>modified</status>
      <modifiedWord>五</modifiedWord>
      <trackRevisions>false</trackRevisions>
    </reviewItem>
    <reviewItem>
      <errorID>bf10f130-b126-49c6-ab99-9bb77a360a30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2AAD31</paraID>
      <start>0</start>
      <end>2</end>
      <status>modified</status>
      <modifiedWord>6.</modifiedWord>
      <trackRevisions>false</trackRevisions>
    </reviewItem>
    <reviewItem>
      <errorID>2e5c92e6-9182-42e1-82b4-e34e4946e0f1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42D871</paraID>
      <start>143</start>
      <end>144</end>
      <status>modified</status>
      <modifiedWord>—</modifiedWord>
      <trackRevisions>false</trackRevisions>
    </reviewItem>
    <reviewItem>
      <errorID>1bad7bf9-82e6-4e93-aa7c-9c098463964a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42D871</paraID>
      <start>214</start>
      <end>215</end>
      <status>modified</status>
      <modifiedWord>—</modifiedWord>
      <trackRevisions>false</trackRevisions>
    </reviewItem>
    <reviewItem>
      <errorID>b4ba8bdf-1a61-49a1-b607-1fb6ae47b1c6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49C04DB9</paraID>
      <start>0</start>
      <end>2</end>
      <status>modified</status>
      <modifiedWord>7.</modifiedWord>
      <trackRevisions>false</trackRevisions>
    </reviewItem>
    <reviewItem>
      <errorID>f084c677-0bf9-4896-a052-59dcb6cd2885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51374842</paraID>
      <start>0</start>
      <end>2</end>
      <status>modified</status>
      <modifiedWord>8.</modifiedWord>
      <trackRevisions>false</trackRevisions>
    </reviewItem>
    <reviewItem>
      <errorID>6d95bfd2-3d85-43f2-8729-9468c3b8417a</errorID>
      <errorWord>《固体废物分类与代码目录》（2024年）</errorWord>
      <group>L1_Knowledge</group>
      <groupName>知识性问题</groupName>
      <ability>L2_Knowledge</ability>
      <abilityName>其他知识</abilityName>
      <candidateList>
        <item>《固体废物分类与代码目录（2024年）》</item>
      </candidateList>
      <explain>疑似政策文件、法律法规名称等书写不规范，请注意检查。</explain>
      <paraID>411DE46D</paraID>
      <start>94</start>
      <end>114</end>
      <status>modified</status>
      <modifiedWord>《固体废物分类与代码目录（2024年）》</modifiedWord>
      <trackRevisions>false</trackRevisions>
    </reviewItem>
    <reviewItem>
      <errorID>414d0b11-e91a-49be-b29b-ca69eb4b8d7e</errorID>
      <errorWord>(</errorWord>
      <group>L1_Format</group>
      <groupName>格式问题</groupName>
      <ability>L2_HalfPunc_CN</ability>
      <abilityName>全半角问题</abilityName>
      <candidateList>
        <item>（</item>
      </candidateList>
      <explain>文本全半角错误。</explain>
      <paraID>411DE46D</paraID>
      <start>236</start>
      <end>237</end>
      <status>modified</status>
      <modifiedWord>（</modifiedWord>
      <trackRevisions>false</trackRevisions>
    </reviewItem>
    <reviewItem>
      <errorID>1f34fb2f-ee56-4bae-9ba8-358581b9d384</errorID>
      <errorWord>)</errorWord>
      <group>L1_Format</group>
      <groupName>格式问题</groupName>
      <ability>L2_HalfPunc_CN</ability>
      <abilityName>全半角问题</abilityName>
      <candidateList>
        <item>）</item>
      </candidateList>
      <explain>文本全半角错误。</explain>
      <paraID>411DE46D</paraID>
      <start>251</start>
      <end>252</end>
      <status>modified</status>
      <modifiedWord>）</modifiedWord>
      <trackRevisions>false</trackRevisions>
    </reviewItem>
    <reviewItem>
      <errorID>ba9de7be-aaa4-45c1-bfd0-1c27c0b09384</errorID>
      <errorWord>(</errorWord>
      <group>L1_Format</group>
      <groupName>格式问题</groupName>
      <ability>L2_HalfPunc_CN</ability>
      <abilityName>全半角问题</abilityName>
      <candidateList>
        <item>（</item>
      </candidateList>
      <explain>文本全半角错误。</explain>
      <paraID>411DE46D</paraID>
      <start>294</start>
      <end>295</end>
      <status>modified</status>
      <modifiedWord>（</modifiedWord>
      <trackRevisions>false</trackRevisions>
    </reviewItem>
    <reviewItem>
      <errorID>257aca7f-3958-49ac-ac49-c44d9aa15915</errorID>
      <errorWord>)</errorWord>
      <group>L1_Format</group>
      <groupName>格式问题</groupName>
      <ability>L2_HalfPunc_CN</ability>
      <abilityName>全半角问题</abilityName>
      <candidateList>
        <item>）</item>
      </candidateList>
      <explain>文本全半角错误。</explain>
      <paraID>411DE46D</paraID>
      <start>309</start>
      <end>310</end>
      <status>modified</status>
      <modifiedWord>）</modifiedWord>
      <trackRevisions>false</trackRevisions>
    </reviewItem>
    <reviewItem>
      <errorID>504496b4-37a3-4537-95a8-427bebecca39</errorID>
      <errorWord>(</errorWord>
      <group>L1_Format</group>
      <groupName>格式问题</groupName>
      <ability>L2_HalfPunc_CN</ability>
      <abilityName>全半角问题</abilityName>
      <candidateList>
        <item>（</item>
      </candidateList>
      <explain>文本全半角错误。</explain>
      <paraID>411DE46D</paraID>
      <start>367</start>
      <end>368</end>
      <status>modified</status>
      <modifiedWord>（</modifiedWord>
      <trackRevisions>false</trackRevisions>
    </reviewItem>
    <reviewItem>
      <errorID>abf294d9-dbc1-4787-8ccb-1b5d86147319</errorID>
      <errorWord>)</errorWord>
      <group>L1_Format</group>
      <groupName>格式问题</groupName>
      <ability>L2_HalfPunc_CN</ability>
      <abilityName>全半角问题</abilityName>
      <candidateList>
        <item>）</item>
      </candidateList>
      <explain>文本全半角错误。</explain>
      <paraID>411DE46D</paraID>
      <start>382</start>
      <end>383</end>
      <status>modified</status>
      <modifiedWord>）</modifiedWord>
      <trackRevisions>false</trackRevisions>
    </reviewItem>
    <reviewItem>
      <errorID>eb8e4c38-5c16-4e99-94ab-cf68ea35042f</errorID>
      <errorWord>行</errorWord>
      <group>L1_Word</group>
      <groupName>字词问题</groupName>
      <ability>L2_Typo</ability>
      <abilityName>字词错误</abilityName>
      <candidateList>
        <item>行性</item>
      </candidateList>
      <explain/>
      <paraID>3B7CF745</paraID>
      <start>93</start>
      <end>95</end>
      <status>modified</status>
      <modifiedWord>行性</modifiedWord>
      <trackRevisions>false</trackRevisions>
    </reviewItem>
  </reviewItems>
  <config/>
</contractReview>
</file>

<file path=customXml/itemProps1.xml><?xml version="1.0" encoding="utf-8"?>
<ds:datastoreItem xmlns:ds="http://schemas.openxmlformats.org/officeDocument/2006/customXml" ds:itemID="{D1812C5B-0C3E-4E59-9DD7-A10267793A29}">
  <ds:schemaRefs/>
</ds:datastoreItem>
</file>

<file path=customXml/itemProps2.xml><?xml version="1.0" encoding="utf-8"?>
<ds:datastoreItem xmlns:ds="http://schemas.openxmlformats.org/officeDocument/2006/customXml" ds:itemID="{abf659e6-59b7-4f97-b210-2e3782413add}">
  <ds:schemaRefs/>
</ds:datastoreItem>
</file>

<file path=docProps/app.xml><?xml version="1.0" encoding="utf-8"?>
<Properties xmlns="http://schemas.openxmlformats.org/officeDocument/2006/extended-properties" xmlns:vt="http://schemas.openxmlformats.org/officeDocument/2006/docPropsVTypes">
  <Template>Normal.dotm</Template>
  <Pages>11</Pages>
  <Words>6713</Words>
  <Characters>7166</Characters>
  <Lines>443</Lines>
  <Paragraphs>124</Paragraphs>
  <TotalTime>233</TotalTime>
  <ScaleCrop>false</ScaleCrop>
  <LinksUpToDate>false</LinksUpToDate>
  <CharactersWithSpaces>7233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2026-07-03T08:17:00Z</dcterms:created>
  <dc:creator>WPS_pL</dc:creator>
  <cp:lastModifiedBy>无敌可乐鸡翅包饭</cp:lastModifiedBy>
  <cp:lastPrinted>2026-06-25T06:26:00Z</cp:lastPrinted>
  <dcterms:modified xsi:type="dcterms:W3CDTF">2026-07-10T05:40:56Z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60E847CFCC6146009685F9E579B03708_13</vt:lpwstr>
  </property>
  <property fmtid="{D5CDD505-2E9C-101B-9397-08002B2CF9AE}" pid="4" name="KSOTemplateDocerSaveRecord">
    <vt:lpwstr>eyJoZGlkIjoiZDAxZmVlMTBjZmI5NGY1MzQzYjhlZDg3Y2YzODNmMTYiLCJ1c2VySWQiOiI3OTQ2NDA5ODkifQ==</vt:lpwstr>
  </property>
</Properties>
</file>