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A46BF1">
      <w:pPr>
        <w:jc w:val="center"/>
        <w:rPr>
          <w:rFonts w:ascii="仿宋_GB2312" w:hAnsi="仿宋_GB2312" w:eastAsia="仿宋_GB2312" w:cs="仿宋_GB2312"/>
          <w:color w:val="0000FF"/>
          <w:sz w:val="36"/>
          <w:szCs w:val="36"/>
        </w:rPr>
      </w:pPr>
    </w:p>
    <w:p w14:paraId="16FF60BF">
      <w:pPr>
        <w:rPr>
          <w:rFonts w:ascii="仿宋_GB2312" w:hAnsi="仿宋_GB2312" w:eastAsia="仿宋_GB2312" w:cs="仿宋_GB2312"/>
          <w:color w:val="0000FF"/>
          <w:sz w:val="36"/>
          <w:szCs w:val="36"/>
        </w:rPr>
      </w:pPr>
    </w:p>
    <w:p w14:paraId="6128944B">
      <w:pPr>
        <w:rPr>
          <w:rFonts w:ascii="仿宋_GB2312" w:hAnsi="仿宋_GB2312" w:eastAsia="仿宋_GB2312" w:cs="仿宋_GB2312"/>
          <w:color w:val="0000FF"/>
          <w:sz w:val="36"/>
          <w:szCs w:val="36"/>
        </w:rPr>
      </w:pPr>
    </w:p>
    <w:p w14:paraId="379D91FD">
      <w:pPr>
        <w:rPr>
          <w:rFonts w:ascii="仿宋_GB2312" w:hAnsi="仿宋_GB2312" w:eastAsia="仿宋_GB2312" w:cs="仿宋_GB2312"/>
          <w:color w:val="0000FF"/>
          <w:sz w:val="36"/>
          <w:szCs w:val="36"/>
        </w:rPr>
      </w:pPr>
    </w:p>
    <w:p w14:paraId="6E0CFFEA">
      <w:pPr>
        <w:adjustRightInd w:val="0"/>
        <w:snapToGrid w:val="0"/>
        <w:jc w:val="center"/>
        <w:outlineLvl w:val="0"/>
        <w:rPr>
          <w:rFonts w:hint="eastAsia" w:ascii="方正小标宋_GBK" w:eastAsia="方正小标宋_GBK"/>
          <w:bCs/>
          <w:color w:val="auto"/>
          <w:sz w:val="72"/>
          <w:szCs w:val="72"/>
          <w:highlight w:val="none"/>
        </w:rPr>
      </w:pPr>
      <w:r>
        <w:rPr>
          <w:rFonts w:hint="eastAsia" w:ascii="方正小标宋_GBK" w:eastAsia="方正小标宋_GBK"/>
          <w:bCs/>
          <w:color w:val="auto"/>
          <w:sz w:val="72"/>
          <w:szCs w:val="72"/>
          <w:highlight w:val="none"/>
        </w:rPr>
        <w:t>建设项目环境影响报告表</w:t>
      </w:r>
    </w:p>
    <w:p w14:paraId="311C86EA">
      <w:pPr>
        <w:adjustRightInd w:val="0"/>
        <w:snapToGrid w:val="0"/>
        <w:spacing w:before="192" w:beforeLines="80"/>
        <w:jc w:val="center"/>
        <w:rPr>
          <w:rFonts w:hint="eastAsia" w:ascii="楷体_GB2312" w:eastAsia="楷体_GB2312"/>
          <w:bCs/>
          <w:color w:val="auto"/>
          <w:sz w:val="48"/>
          <w:szCs w:val="48"/>
          <w:highlight w:val="none"/>
        </w:rPr>
      </w:pPr>
      <w:r>
        <w:rPr>
          <w:rFonts w:hint="eastAsia" w:ascii="楷体_GB2312" w:eastAsia="楷体_GB2312"/>
          <w:bCs/>
          <w:color w:val="auto"/>
          <w:sz w:val="48"/>
          <w:szCs w:val="48"/>
          <w:highlight w:val="none"/>
        </w:rPr>
        <w:t>（</w:t>
      </w:r>
      <w:r>
        <w:rPr>
          <w:rFonts w:hint="eastAsia" w:ascii="楷体_GB2312" w:eastAsia="楷体_GB2312"/>
          <w:bCs/>
          <w:color w:val="auto"/>
          <w:sz w:val="48"/>
          <w:szCs w:val="48"/>
          <w:highlight w:val="none"/>
          <w:lang w:val="en-US" w:eastAsia="zh-CN"/>
        </w:rPr>
        <w:t>污染</w:t>
      </w:r>
      <w:r>
        <w:rPr>
          <w:rFonts w:hint="eastAsia" w:ascii="楷体_GB2312" w:eastAsia="楷体_GB2312"/>
          <w:bCs/>
          <w:color w:val="auto"/>
          <w:sz w:val="48"/>
          <w:szCs w:val="48"/>
          <w:highlight w:val="none"/>
        </w:rPr>
        <w:t>影响类）</w:t>
      </w:r>
    </w:p>
    <w:p w14:paraId="5CD3BD38">
      <w:pPr>
        <w:adjustRightInd w:val="0"/>
        <w:snapToGrid w:val="0"/>
        <w:spacing w:before="192" w:beforeLines="80"/>
        <w:jc w:val="center"/>
        <w:rPr>
          <w:rFonts w:hint="eastAsia" w:ascii="楷体_GB2312" w:hAnsi="Times New Roman" w:eastAsia="楷体_GB2312" w:cs="Times New Roman"/>
          <w:bCs/>
          <w:color w:val="auto"/>
          <w:sz w:val="48"/>
          <w:szCs w:val="48"/>
          <w:highlight w:val="none"/>
          <w:lang w:eastAsia="zh-CN"/>
        </w:rPr>
      </w:pPr>
      <w:r>
        <w:rPr>
          <w:rFonts w:hint="eastAsia" w:ascii="楷体_GB2312" w:hAnsi="Times New Roman" w:eastAsia="楷体_GB2312" w:cs="Times New Roman"/>
          <w:bCs/>
          <w:color w:val="auto"/>
          <w:sz w:val="40"/>
          <w:szCs w:val="40"/>
          <w:highlight w:val="none"/>
          <w:lang w:eastAsia="zh-CN"/>
        </w:rPr>
        <w:t>（</w:t>
      </w:r>
      <w:r>
        <w:rPr>
          <w:rFonts w:hint="eastAsia" w:ascii="楷体_GB2312" w:hAnsi="Times New Roman" w:eastAsia="楷体_GB2312" w:cs="Times New Roman"/>
          <w:bCs/>
          <w:color w:val="auto"/>
          <w:sz w:val="40"/>
          <w:szCs w:val="40"/>
          <w:highlight w:val="none"/>
          <w:lang w:val="en-US" w:eastAsia="zh-CN"/>
        </w:rPr>
        <w:t>公示</w:t>
      </w:r>
      <w:bookmarkStart w:id="14" w:name="_GoBack"/>
      <w:bookmarkEnd w:id="14"/>
      <w:r>
        <w:rPr>
          <w:rFonts w:hint="eastAsia" w:ascii="楷体_GB2312" w:hAnsi="Times New Roman" w:eastAsia="楷体_GB2312" w:cs="Times New Roman"/>
          <w:bCs/>
          <w:color w:val="auto"/>
          <w:sz w:val="40"/>
          <w:szCs w:val="40"/>
          <w:highlight w:val="none"/>
          <w:lang w:val="en-US" w:eastAsia="zh-CN"/>
        </w:rPr>
        <w:t>稿</w:t>
      </w:r>
      <w:r>
        <w:rPr>
          <w:rFonts w:hint="eastAsia" w:ascii="楷体_GB2312" w:hAnsi="Times New Roman" w:eastAsia="楷体_GB2312" w:cs="Times New Roman"/>
          <w:bCs/>
          <w:color w:val="auto"/>
          <w:sz w:val="40"/>
          <w:szCs w:val="40"/>
          <w:highlight w:val="none"/>
          <w:lang w:eastAsia="zh-CN"/>
        </w:rPr>
        <w:t>）</w:t>
      </w:r>
    </w:p>
    <w:p w14:paraId="3A5231F2">
      <w:pPr>
        <w:jc w:val="center"/>
        <w:rPr>
          <w:rFonts w:hint="default" w:eastAsia="仿宋"/>
          <w:color w:val="0000FF"/>
          <w:sz w:val="52"/>
          <w:szCs w:val="52"/>
          <w:highlight w:val="none"/>
          <w:lang w:val="en-US" w:eastAsia="zh-CN"/>
        </w:rPr>
      </w:pPr>
    </w:p>
    <w:p w14:paraId="027CA490">
      <w:pPr>
        <w:ind w:firstLine="1040"/>
        <w:rPr>
          <w:rFonts w:eastAsia="仿宋"/>
          <w:color w:val="0000FF"/>
          <w:sz w:val="44"/>
          <w:szCs w:val="44"/>
        </w:rPr>
      </w:pPr>
    </w:p>
    <w:p w14:paraId="4F4E74E3">
      <w:pPr>
        <w:ind w:firstLine="1040"/>
        <w:rPr>
          <w:rFonts w:eastAsia="仿宋"/>
          <w:color w:val="0000FF"/>
          <w:sz w:val="44"/>
          <w:szCs w:val="44"/>
        </w:rPr>
      </w:pPr>
    </w:p>
    <w:p w14:paraId="18F7D627">
      <w:pPr>
        <w:ind w:firstLine="1040"/>
        <w:rPr>
          <w:rFonts w:eastAsia="仿宋"/>
          <w:color w:val="0000FF"/>
          <w:sz w:val="44"/>
          <w:szCs w:val="44"/>
        </w:rPr>
      </w:pPr>
    </w:p>
    <w:p w14:paraId="45931069">
      <w:pPr>
        <w:ind w:firstLine="1040"/>
        <w:rPr>
          <w:rFonts w:eastAsia="仿宋"/>
          <w:color w:val="auto"/>
          <w:sz w:val="44"/>
          <w:szCs w:val="44"/>
        </w:rPr>
      </w:pPr>
    </w:p>
    <w:tbl>
      <w:tblPr>
        <w:tblStyle w:val="29"/>
        <w:tblW w:w="0" w:type="auto"/>
        <w:tblInd w:w="13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60"/>
        <w:gridCol w:w="1203"/>
        <w:gridCol w:w="5709"/>
      </w:tblGrid>
      <w:tr w14:paraId="6D2DF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60" w:type="dxa"/>
            <w:tcBorders>
              <w:tl2br w:val="nil"/>
              <w:tr2bl w:val="nil"/>
            </w:tcBorders>
            <w:noWrap w:val="0"/>
            <w:vAlign w:val="top"/>
          </w:tcPr>
          <w:p w14:paraId="3471D713">
            <w:pPr>
              <w:keepNext w:val="0"/>
              <w:keepLines w:val="0"/>
              <w:pageBreakBefore w:val="0"/>
              <w:widowControl w:val="0"/>
              <w:kinsoku/>
              <w:wordWrap/>
              <w:overflowPunct/>
              <w:topLinePunct w:val="0"/>
              <w:autoSpaceDE/>
              <w:autoSpaceDN/>
              <w:bidi w:val="0"/>
              <w:adjustRightInd w:val="0"/>
              <w:snapToGrid w:val="0"/>
              <w:spacing w:line="700" w:lineRule="exact"/>
              <w:jc w:val="left"/>
              <w:textAlignment w:val="auto"/>
              <w:rPr>
                <w:rFonts w:hint="default" w:ascii="Times New Roman" w:hAnsi="Times New Roman" w:eastAsia="仿宋_GB2312" w:cs="Times New Roman"/>
                <w:color w:val="auto"/>
                <w:sz w:val="36"/>
                <w:szCs w:val="36"/>
                <w:highlight w:val="none"/>
                <w:vertAlign w:val="baseline"/>
                <w:lang w:eastAsia="zh-CN"/>
              </w:rPr>
            </w:pPr>
            <w:r>
              <w:rPr>
                <w:rFonts w:hint="default" w:ascii="Times New Roman" w:hAnsi="Times New Roman" w:eastAsia="仿宋_GB2312" w:cs="Times New Roman"/>
                <w:color w:val="auto"/>
                <w:sz w:val="36"/>
                <w:szCs w:val="36"/>
                <w:highlight w:val="none"/>
                <w:vertAlign w:val="baseline"/>
                <w:lang w:eastAsia="zh-CN"/>
              </w:rPr>
              <w:t>项目名称：</w:t>
            </w:r>
          </w:p>
        </w:tc>
        <w:tc>
          <w:tcPr>
            <w:tcW w:w="6912" w:type="dxa"/>
            <w:gridSpan w:val="2"/>
            <w:tcBorders>
              <w:tl2br w:val="nil"/>
              <w:tr2bl w:val="nil"/>
            </w:tcBorders>
            <w:noWrap w:val="0"/>
            <w:vAlign w:val="center"/>
          </w:tcPr>
          <w:p w14:paraId="06063E16">
            <w:pPr>
              <w:keepNext w:val="0"/>
              <w:keepLines w:val="0"/>
              <w:pageBreakBefore w:val="0"/>
              <w:widowControl w:val="0"/>
              <w:kinsoku/>
              <w:wordWrap/>
              <w:overflowPunct/>
              <w:topLinePunct w:val="0"/>
              <w:autoSpaceDE/>
              <w:autoSpaceDN/>
              <w:bidi w:val="0"/>
              <w:adjustRightInd w:val="0"/>
              <w:snapToGrid w:val="0"/>
              <w:spacing w:line="700" w:lineRule="exact"/>
              <w:ind w:left="0" w:firstLine="0" w:firstLineChars="0"/>
              <w:jc w:val="both"/>
              <w:textAlignment w:val="auto"/>
              <w:rPr>
                <w:rFonts w:hint="default" w:ascii="Times New Roman" w:hAnsi="Times New Roman" w:eastAsia="仿宋_GB2312" w:cs="Times New Roman"/>
                <w:color w:val="auto"/>
                <w:sz w:val="36"/>
                <w:szCs w:val="36"/>
                <w:highlight w:val="none"/>
                <w:vertAlign w:val="baseline"/>
                <w:lang w:val="en-US"/>
              </w:rPr>
            </w:pPr>
            <w:r>
              <w:rPr>
                <w:rFonts w:hint="default" w:ascii="Times New Roman" w:hAnsi="Times New Roman" w:eastAsia="仿宋_GB2312" w:cs="Times New Roman"/>
                <w:color w:val="auto"/>
                <w:sz w:val="36"/>
                <w:szCs w:val="36"/>
                <w:highlight w:val="none"/>
                <w:u w:val="single"/>
                <w:lang w:val="en-US" w:eastAsia="zh-CN"/>
              </w:rPr>
              <w:t xml:space="preserve">塔城市世盛预制厂预制品生产线建设项目        </w:t>
            </w:r>
          </w:p>
        </w:tc>
      </w:tr>
      <w:tr w14:paraId="689C4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063" w:type="dxa"/>
            <w:gridSpan w:val="2"/>
            <w:tcBorders>
              <w:tl2br w:val="nil"/>
              <w:tr2bl w:val="nil"/>
            </w:tcBorders>
            <w:noWrap w:val="0"/>
            <w:vAlign w:val="top"/>
          </w:tcPr>
          <w:p w14:paraId="1C1DC2E9">
            <w:pPr>
              <w:keepNext w:val="0"/>
              <w:keepLines w:val="0"/>
              <w:pageBreakBefore w:val="0"/>
              <w:widowControl w:val="0"/>
              <w:kinsoku/>
              <w:wordWrap/>
              <w:overflowPunct/>
              <w:topLinePunct w:val="0"/>
              <w:autoSpaceDE/>
              <w:autoSpaceDN/>
              <w:bidi w:val="0"/>
              <w:adjustRightInd w:val="0"/>
              <w:snapToGrid w:val="0"/>
              <w:spacing w:line="700" w:lineRule="exact"/>
              <w:jc w:val="left"/>
              <w:textAlignment w:val="auto"/>
              <w:rPr>
                <w:rFonts w:hint="default" w:ascii="Times New Roman" w:hAnsi="Times New Roman" w:eastAsia="仿宋_GB2312" w:cs="Times New Roman"/>
                <w:color w:val="auto"/>
                <w:sz w:val="36"/>
                <w:szCs w:val="36"/>
                <w:highlight w:val="none"/>
                <w:vertAlign w:val="baseline"/>
              </w:rPr>
            </w:pPr>
            <w:r>
              <w:rPr>
                <w:rFonts w:hint="default" w:ascii="Times New Roman" w:hAnsi="Times New Roman" w:eastAsia="仿宋_GB2312" w:cs="Times New Roman"/>
                <w:color w:val="auto"/>
                <w:sz w:val="36"/>
                <w:szCs w:val="36"/>
                <w:highlight w:val="none"/>
              </w:rPr>
              <w:t>建设单位（盖章）：</w:t>
            </w:r>
          </w:p>
        </w:tc>
        <w:tc>
          <w:tcPr>
            <w:tcW w:w="5709" w:type="dxa"/>
            <w:tcBorders>
              <w:tl2br w:val="nil"/>
              <w:tr2bl w:val="nil"/>
            </w:tcBorders>
            <w:noWrap w:val="0"/>
            <w:vAlign w:val="top"/>
          </w:tcPr>
          <w:p w14:paraId="757A5293">
            <w:pPr>
              <w:keepNext w:val="0"/>
              <w:keepLines w:val="0"/>
              <w:pageBreakBefore w:val="0"/>
              <w:widowControl w:val="0"/>
              <w:kinsoku/>
              <w:wordWrap/>
              <w:overflowPunct/>
              <w:topLinePunct w:val="0"/>
              <w:autoSpaceDE/>
              <w:autoSpaceDN/>
              <w:bidi w:val="0"/>
              <w:adjustRightInd w:val="0"/>
              <w:snapToGrid w:val="0"/>
              <w:spacing w:line="700" w:lineRule="exact"/>
              <w:jc w:val="left"/>
              <w:textAlignment w:val="auto"/>
              <w:rPr>
                <w:rFonts w:hint="default" w:ascii="Times New Roman" w:hAnsi="Times New Roman" w:eastAsia="仿宋_GB2312" w:cs="Times New Roman"/>
                <w:color w:val="auto"/>
                <w:sz w:val="36"/>
                <w:szCs w:val="36"/>
                <w:highlight w:val="none"/>
                <w:vertAlign w:val="baseline"/>
                <w:lang w:val="en-US"/>
              </w:rPr>
            </w:pPr>
            <w:r>
              <w:rPr>
                <w:rFonts w:hint="eastAsia" w:ascii="仿宋_GB2312" w:hAnsi="仿宋_GB2312" w:eastAsia="仿宋_GB2312" w:cs="仿宋_GB2312"/>
                <w:b w:val="0"/>
                <w:bCs w:val="0"/>
                <w:color w:val="auto"/>
                <w:sz w:val="36"/>
                <w:szCs w:val="36"/>
                <w:u w:val="single"/>
                <w:lang w:eastAsia="zh-CN"/>
              </w:rPr>
              <w:t>塔城市世盛预制厂</w:t>
            </w:r>
            <w:r>
              <w:rPr>
                <w:rFonts w:hint="eastAsia" w:ascii="Times New Roman" w:hAnsi="Times New Roman" w:eastAsia="仿宋" w:cs="Times New Roman"/>
                <w:b w:val="0"/>
                <w:bCs w:val="0"/>
                <w:color w:val="auto"/>
                <w:sz w:val="36"/>
                <w:szCs w:val="36"/>
                <w:u w:val="single"/>
                <w:lang w:val="en-US" w:eastAsia="zh-CN"/>
              </w:rPr>
              <w:t xml:space="preserve">  </w:t>
            </w:r>
            <w:r>
              <w:rPr>
                <w:rFonts w:hint="default" w:ascii="Times New Roman" w:hAnsi="Times New Roman" w:eastAsia="仿宋_GB2312" w:cs="Times New Roman"/>
                <w:color w:val="auto"/>
                <w:sz w:val="36"/>
                <w:szCs w:val="36"/>
                <w:highlight w:val="none"/>
                <w:u w:val="single"/>
                <w:lang w:val="en-US" w:eastAsia="zh-CN"/>
              </w:rPr>
              <w:t xml:space="preserve">             </w:t>
            </w:r>
          </w:p>
        </w:tc>
      </w:tr>
      <w:tr w14:paraId="6B0B4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60" w:type="dxa"/>
            <w:tcBorders>
              <w:tl2br w:val="nil"/>
              <w:tr2bl w:val="nil"/>
            </w:tcBorders>
            <w:noWrap w:val="0"/>
            <w:vAlign w:val="top"/>
          </w:tcPr>
          <w:p w14:paraId="68355401">
            <w:pPr>
              <w:keepNext w:val="0"/>
              <w:keepLines w:val="0"/>
              <w:pageBreakBefore w:val="0"/>
              <w:widowControl w:val="0"/>
              <w:kinsoku/>
              <w:wordWrap/>
              <w:overflowPunct/>
              <w:topLinePunct w:val="0"/>
              <w:autoSpaceDE/>
              <w:autoSpaceDN/>
              <w:bidi w:val="0"/>
              <w:adjustRightInd w:val="0"/>
              <w:snapToGrid w:val="0"/>
              <w:spacing w:line="700" w:lineRule="exact"/>
              <w:jc w:val="left"/>
              <w:textAlignment w:val="auto"/>
              <w:rPr>
                <w:rFonts w:hint="default" w:ascii="Times New Roman" w:hAnsi="Times New Roman" w:eastAsia="仿宋_GB2312" w:cs="Times New Roman"/>
                <w:color w:val="auto"/>
                <w:sz w:val="36"/>
                <w:szCs w:val="36"/>
                <w:highlight w:val="none"/>
              </w:rPr>
            </w:pPr>
            <w:r>
              <w:rPr>
                <w:rFonts w:hint="default" w:ascii="Times New Roman" w:hAnsi="Times New Roman" w:eastAsia="仿宋_GB2312" w:cs="Times New Roman"/>
                <w:color w:val="auto"/>
                <w:sz w:val="36"/>
                <w:szCs w:val="36"/>
                <w:highlight w:val="none"/>
              </w:rPr>
              <w:t>编制日期：</w:t>
            </w:r>
          </w:p>
        </w:tc>
        <w:tc>
          <w:tcPr>
            <w:tcW w:w="6912" w:type="dxa"/>
            <w:gridSpan w:val="2"/>
            <w:tcBorders>
              <w:tl2br w:val="nil"/>
              <w:tr2bl w:val="nil"/>
            </w:tcBorders>
            <w:noWrap w:val="0"/>
            <w:vAlign w:val="top"/>
          </w:tcPr>
          <w:p w14:paraId="5F86C724">
            <w:pPr>
              <w:keepNext w:val="0"/>
              <w:keepLines w:val="0"/>
              <w:pageBreakBefore w:val="0"/>
              <w:widowControl w:val="0"/>
              <w:kinsoku/>
              <w:wordWrap/>
              <w:overflowPunct/>
              <w:topLinePunct w:val="0"/>
              <w:autoSpaceDE/>
              <w:autoSpaceDN/>
              <w:bidi w:val="0"/>
              <w:adjustRightInd w:val="0"/>
              <w:snapToGrid w:val="0"/>
              <w:spacing w:line="700" w:lineRule="exact"/>
              <w:jc w:val="left"/>
              <w:textAlignment w:val="auto"/>
              <w:rPr>
                <w:rFonts w:hint="default" w:ascii="Times New Roman" w:hAnsi="Times New Roman" w:eastAsia="仿宋_GB2312" w:cs="Times New Roman"/>
                <w:color w:val="auto"/>
                <w:sz w:val="36"/>
                <w:szCs w:val="36"/>
                <w:highlight w:val="none"/>
                <w:u w:val="single"/>
                <w:lang w:eastAsia="zh-CN"/>
              </w:rPr>
            </w:pPr>
            <w:r>
              <w:rPr>
                <w:rFonts w:hint="default" w:ascii="Times New Roman" w:hAnsi="Times New Roman" w:eastAsia="仿宋_GB2312" w:cs="Times New Roman"/>
                <w:color w:val="auto"/>
                <w:sz w:val="36"/>
                <w:szCs w:val="36"/>
                <w:highlight w:val="none"/>
                <w:u w:val="single"/>
              </w:rPr>
              <w:t xml:space="preserve">    </w:t>
            </w:r>
            <w:r>
              <w:rPr>
                <w:rFonts w:hint="default" w:ascii="Times New Roman" w:hAnsi="Times New Roman" w:eastAsia="仿宋_GB2312" w:cs="Times New Roman"/>
                <w:color w:val="auto"/>
                <w:sz w:val="36"/>
                <w:szCs w:val="36"/>
                <w:highlight w:val="none"/>
                <w:u w:val="single"/>
                <w:lang w:val="en-US" w:eastAsia="zh-CN"/>
              </w:rPr>
              <w:t xml:space="preserve">     </w:t>
            </w:r>
            <w:r>
              <w:rPr>
                <w:rFonts w:hint="default" w:ascii="Times New Roman" w:hAnsi="Times New Roman" w:eastAsia="仿宋_GB2312" w:cs="Times New Roman"/>
                <w:color w:val="auto"/>
                <w:sz w:val="36"/>
                <w:szCs w:val="36"/>
                <w:highlight w:val="none"/>
                <w:u w:val="single"/>
              </w:rPr>
              <w:t xml:space="preserve">  </w:t>
            </w:r>
            <w:r>
              <w:rPr>
                <w:rFonts w:hint="eastAsia" w:ascii="仿宋_GB2312" w:hAnsi="仿宋_GB2312" w:eastAsia="仿宋_GB2312" w:cs="仿宋_GB2312"/>
                <w:b w:val="0"/>
                <w:bCs w:val="0"/>
                <w:color w:val="auto"/>
                <w:sz w:val="36"/>
                <w:szCs w:val="36"/>
                <w:u w:val="single"/>
                <w:lang w:val="en-US" w:eastAsia="zh-CN"/>
              </w:rPr>
              <w:t>2026年4月</w:t>
            </w:r>
            <w:r>
              <w:rPr>
                <w:rFonts w:hint="default" w:ascii="Times New Roman" w:hAnsi="Times New Roman" w:eastAsia="仿宋_GB2312" w:cs="Times New Roman"/>
                <w:color w:val="auto"/>
                <w:sz w:val="36"/>
                <w:szCs w:val="36"/>
                <w:highlight w:val="none"/>
                <w:u w:val="single"/>
              </w:rPr>
              <w:t xml:space="preserve">          </w:t>
            </w:r>
            <w:r>
              <w:rPr>
                <w:rFonts w:hint="default" w:ascii="Times New Roman" w:hAnsi="Times New Roman" w:eastAsia="仿宋_GB2312" w:cs="Times New Roman"/>
                <w:color w:val="auto"/>
                <w:sz w:val="36"/>
                <w:szCs w:val="36"/>
                <w:highlight w:val="none"/>
                <w:u w:val="single"/>
                <w:lang w:val="en-US" w:eastAsia="zh-CN"/>
              </w:rPr>
              <w:t xml:space="preserve">    </w:t>
            </w:r>
            <w:r>
              <w:rPr>
                <w:rFonts w:hint="default" w:ascii="Times New Roman" w:hAnsi="Times New Roman" w:eastAsia="仿宋_GB2312" w:cs="Times New Roman"/>
                <w:color w:val="auto"/>
                <w:sz w:val="36"/>
                <w:szCs w:val="36"/>
                <w:highlight w:val="none"/>
                <w:u w:val="single"/>
              </w:rPr>
              <w:t xml:space="preserve">  </w:t>
            </w:r>
            <w:r>
              <w:rPr>
                <w:rFonts w:hint="default" w:ascii="Times New Roman" w:hAnsi="Times New Roman" w:eastAsia="仿宋_GB2312" w:cs="Times New Roman"/>
                <w:color w:val="auto"/>
                <w:sz w:val="36"/>
                <w:szCs w:val="36"/>
                <w:highlight w:val="none"/>
                <w:u w:val="single"/>
                <w:lang w:val="en-US" w:eastAsia="zh-CN"/>
              </w:rPr>
              <w:t xml:space="preserve"> </w:t>
            </w:r>
            <w:r>
              <w:rPr>
                <w:rFonts w:hint="default" w:ascii="Times New Roman" w:hAnsi="Times New Roman" w:eastAsia="仿宋_GB2312" w:cs="Times New Roman"/>
                <w:color w:val="auto"/>
                <w:sz w:val="36"/>
                <w:szCs w:val="36"/>
                <w:highlight w:val="none"/>
                <w:u w:val="single"/>
              </w:rPr>
              <w:t xml:space="preserve"> </w:t>
            </w:r>
            <w:r>
              <w:rPr>
                <w:rFonts w:hint="default" w:ascii="Times New Roman" w:hAnsi="Times New Roman" w:eastAsia="仿宋_GB2312" w:cs="Times New Roman"/>
                <w:color w:val="auto"/>
                <w:sz w:val="36"/>
                <w:szCs w:val="36"/>
                <w:highlight w:val="none"/>
                <w:u w:val="single"/>
                <w:lang w:val="en-US" w:eastAsia="zh-CN"/>
              </w:rPr>
              <w:t xml:space="preserve">  </w:t>
            </w:r>
          </w:p>
        </w:tc>
      </w:tr>
    </w:tbl>
    <w:p w14:paraId="50AE8A10">
      <w:pPr>
        <w:adjustRightInd w:val="0"/>
        <w:snapToGrid w:val="0"/>
        <w:spacing w:line="288" w:lineRule="auto"/>
        <w:ind w:firstLine="1040"/>
        <w:rPr>
          <w:rFonts w:ascii="仿宋_GB2312" w:eastAsia="仿宋_GB2312"/>
          <w:color w:val="auto"/>
          <w:sz w:val="36"/>
          <w:szCs w:val="36"/>
          <w:u w:val="single"/>
        </w:rPr>
      </w:pPr>
    </w:p>
    <w:p w14:paraId="0DD0B572">
      <w:pPr>
        <w:rPr>
          <w:color w:val="auto"/>
        </w:rPr>
      </w:pPr>
    </w:p>
    <w:p w14:paraId="1444D48C">
      <w:pPr>
        <w:rPr>
          <w:color w:val="auto"/>
        </w:rPr>
      </w:pPr>
    </w:p>
    <w:p w14:paraId="4B0E575A">
      <w:pPr>
        <w:rPr>
          <w:color w:val="auto"/>
        </w:rPr>
      </w:pPr>
    </w:p>
    <w:p w14:paraId="1E013E2C">
      <w:pPr>
        <w:rPr>
          <w:color w:val="auto"/>
        </w:rPr>
      </w:pPr>
    </w:p>
    <w:p w14:paraId="08D69296">
      <w:pPr>
        <w:rPr>
          <w:color w:val="auto"/>
        </w:rPr>
      </w:pPr>
    </w:p>
    <w:p w14:paraId="0AC01C01">
      <w:pPr>
        <w:rPr>
          <w:color w:val="auto"/>
        </w:rPr>
      </w:pPr>
    </w:p>
    <w:p w14:paraId="2BB1A12B">
      <w:pPr>
        <w:rPr>
          <w:color w:val="auto"/>
        </w:rPr>
      </w:pPr>
    </w:p>
    <w:p w14:paraId="751B90C7">
      <w:pPr>
        <w:jc w:val="center"/>
        <w:rPr>
          <w:rFonts w:hint="eastAsia"/>
          <w:color w:val="auto"/>
        </w:rPr>
      </w:pPr>
      <w:r>
        <w:rPr>
          <w:rFonts w:hint="eastAsia" w:ascii="楷体_GB2312" w:eastAsia="楷体_GB2312"/>
          <w:color w:val="auto"/>
          <w:sz w:val="36"/>
          <w:szCs w:val="36"/>
        </w:rPr>
        <w:t>中华人民共和国生态环境部制</w:t>
      </w:r>
    </w:p>
    <w:p w14:paraId="4533FB3C">
      <w:pPr>
        <w:bidi w:val="0"/>
        <w:rPr>
          <w:rFonts w:hint="eastAsia"/>
          <w:color w:val="0000FF"/>
        </w:rPr>
        <w:sectPr>
          <w:footerReference r:id="rId3" w:type="default"/>
          <w:pgSz w:w="11906" w:h="16838"/>
          <w:pgMar w:top="1417" w:right="1134" w:bottom="1134" w:left="1417" w:header="851" w:footer="1077" w:gutter="0"/>
          <w:pgBorders>
            <w:top w:val="none" w:sz="0" w:space="0"/>
            <w:left w:val="none" w:sz="0" w:space="0"/>
            <w:bottom w:val="none" w:sz="0" w:space="0"/>
            <w:right w:val="none" w:sz="0" w:space="0"/>
          </w:pgBorders>
          <w:pgNumType w:fmt="numberInDash" w:start="1"/>
          <w:cols w:space="720" w:num="1"/>
          <w:docGrid w:linePitch="312" w:charSpace="0"/>
        </w:sectPr>
      </w:pPr>
    </w:p>
    <w:p w14:paraId="0B4CBFA3">
      <w:pPr>
        <w:widowControl/>
        <w:spacing w:before="100" w:beforeAutospacing="1" w:after="100" w:afterAutospacing="1"/>
        <w:jc w:val="center"/>
        <w:outlineLvl w:val="0"/>
        <w:rPr>
          <w:rFonts w:hint="eastAsia" w:ascii="黑体" w:hAnsi="黑体" w:eastAsia="黑体" w:cs="Times New Roman"/>
          <w:snapToGrid w:val="0"/>
          <w:color w:val="000000"/>
          <w:kern w:val="0"/>
          <w:sz w:val="30"/>
          <w:szCs w:val="30"/>
        </w:rPr>
      </w:pPr>
      <w:r>
        <w:rPr>
          <w:rFonts w:hint="eastAsia" w:ascii="黑体" w:hAnsi="黑体" w:eastAsia="黑体" w:cs="Times New Roman"/>
          <w:snapToGrid w:val="0"/>
          <w:color w:val="000000"/>
          <w:kern w:val="0"/>
          <w:sz w:val="30"/>
          <w:szCs w:val="30"/>
        </w:rPr>
        <w:t>一、建设项目基本情况</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752"/>
        <w:gridCol w:w="2267"/>
        <w:gridCol w:w="2129"/>
        <w:gridCol w:w="3118"/>
      </w:tblGrid>
      <w:tr w14:paraId="3C3DBB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52" w:type="dxa"/>
            <w:noWrap w:val="0"/>
            <w:tcMar>
              <w:top w:w="16" w:type="dxa"/>
              <w:left w:w="16" w:type="dxa"/>
              <w:right w:w="16" w:type="dxa"/>
            </w:tcMar>
            <w:vAlign w:val="center"/>
          </w:tcPr>
          <w:p w14:paraId="6449C63F">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color w:val="000000"/>
                <w:szCs w:val="21"/>
              </w:rPr>
            </w:pPr>
            <w:r>
              <w:rPr>
                <w:rFonts w:hint="eastAsia" w:ascii="宋体" w:hAnsi="宋体" w:eastAsia="宋体" w:cs="宋体"/>
                <w:color w:val="000000"/>
                <w:szCs w:val="21"/>
              </w:rPr>
              <w:t>建设项目名称</w:t>
            </w:r>
          </w:p>
        </w:tc>
        <w:tc>
          <w:tcPr>
            <w:tcW w:w="7514" w:type="dxa"/>
            <w:gridSpan w:val="3"/>
            <w:noWrap w:val="0"/>
            <w:vAlign w:val="center"/>
          </w:tcPr>
          <w:p w14:paraId="3081B468">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color w:val="000000"/>
                <w:szCs w:val="21"/>
                <w:lang w:val="en-US" w:eastAsia="zh-CN"/>
              </w:rPr>
            </w:pPr>
            <w:r>
              <w:rPr>
                <w:rFonts w:hint="default" w:ascii="Times New Roman" w:hAnsi="Times New Roman" w:cs="Times New Roman"/>
                <w:color w:val="000000"/>
                <w:szCs w:val="21"/>
                <w:lang w:val="en-US" w:eastAsia="zh-CN"/>
              </w:rPr>
              <w:t>塔城市世盛预制厂预制品生产线建设项目</w:t>
            </w:r>
          </w:p>
        </w:tc>
      </w:tr>
      <w:tr w14:paraId="715A41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52" w:type="dxa"/>
            <w:noWrap w:val="0"/>
            <w:tcMar>
              <w:top w:w="16" w:type="dxa"/>
              <w:left w:w="16" w:type="dxa"/>
              <w:right w:w="16" w:type="dxa"/>
            </w:tcMar>
            <w:vAlign w:val="center"/>
          </w:tcPr>
          <w:p w14:paraId="7ACFBFA6">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color w:val="000000"/>
                <w:szCs w:val="21"/>
              </w:rPr>
            </w:pPr>
            <w:r>
              <w:rPr>
                <w:rFonts w:hint="eastAsia" w:ascii="宋体" w:hAnsi="宋体" w:eastAsia="宋体" w:cs="宋体"/>
                <w:color w:val="000000"/>
                <w:szCs w:val="21"/>
              </w:rPr>
              <w:t>项目代码</w:t>
            </w:r>
          </w:p>
        </w:tc>
        <w:tc>
          <w:tcPr>
            <w:tcW w:w="7514" w:type="dxa"/>
            <w:gridSpan w:val="3"/>
            <w:noWrap w:val="0"/>
            <w:vAlign w:val="center"/>
          </w:tcPr>
          <w:p w14:paraId="7D14DDE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lang w:val="en-US" w:eastAsia="zh-CN"/>
              </w:rPr>
            </w:pPr>
            <w:r>
              <w:rPr>
                <w:rFonts w:hint="eastAsia" w:cs="Times New Roman"/>
                <w:color w:val="000000"/>
                <w:szCs w:val="21"/>
                <w:lang w:val="en-US" w:eastAsia="zh-CN"/>
              </w:rPr>
              <w:t>无</w:t>
            </w:r>
          </w:p>
        </w:tc>
      </w:tr>
      <w:tr w14:paraId="230333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52" w:type="dxa"/>
            <w:noWrap w:val="0"/>
            <w:tcMar>
              <w:top w:w="16" w:type="dxa"/>
              <w:left w:w="16" w:type="dxa"/>
              <w:right w:w="16" w:type="dxa"/>
            </w:tcMar>
            <w:vAlign w:val="center"/>
          </w:tcPr>
          <w:p w14:paraId="1AE2FD0D">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Cs w:val="21"/>
              </w:rPr>
            </w:pPr>
            <w:r>
              <w:rPr>
                <w:rFonts w:hint="eastAsia" w:ascii="宋体" w:hAnsi="宋体" w:eastAsia="宋体" w:cs="宋体"/>
                <w:color w:val="000000"/>
                <w:szCs w:val="21"/>
              </w:rPr>
              <w:t>建设单位联系人</w:t>
            </w:r>
          </w:p>
        </w:tc>
        <w:tc>
          <w:tcPr>
            <w:tcW w:w="2267" w:type="dxa"/>
            <w:noWrap w:val="0"/>
            <w:vAlign w:val="center"/>
          </w:tcPr>
          <w:p w14:paraId="3B8F81E3">
            <w:pPr>
              <w:keepNext w:val="0"/>
              <w:keepLines w:val="0"/>
              <w:suppressLineNumbers w:val="0"/>
              <w:adjustRightInd w:val="0"/>
              <w:snapToGrid w:val="0"/>
              <w:spacing w:before="0" w:beforeAutospacing="0" w:after="0" w:afterAutospacing="0"/>
              <w:ind w:left="0" w:right="0"/>
              <w:jc w:val="center"/>
              <w:rPr>
                <w:rFonts w:hint="default" w:ascii="宋体" w:hAnsi="宋体" w:cs="宋体"/>
                <w:color w:val="000000"/>
                <w:szCs w:val="21"/>
                <w:lang w:val="en-US" w:eastAsia="zh-CN"/>
              </w:rPr>
            </w:pPr>
            <w:r>
              <w:rPr>
                <w:rFonts w:hint="eastAsia" w:ascii="宋体" w:hAnsi="宋体" w:cs="宋体"/>
                <w:color w:val="000000"/>
                <w:szCs w:val="21"/>
                <w:lang w:val="en-US" w:eastAsia="zh-CN"/>
              </w:rPr>
              <w:t>***</w:t>
            </w:r>
          </w:p>
        </w:tc>
        <w:tc>
          <w:tcPr>
            <w:tcW w:w="2129" w:type="dxa"/>
            <w:noWrap w:val="0"/>
            <w:vAlign w:val="center"/>
          </w:tcPr>
          <w:p w14:paraId="16BD1F27">
            <w:pPr>
              <w:keepNext w:val="0"/>
              <w:keepLines w:val="0"/>
              <w:suppressLineNumbers w:val="0"/>
              <w:adjustRightInd w:val="0"/>
              <w:snapToGrid w:val="0"/>
              <w:spacing w:before="0" w:beforeAutospacing="0" w:after="0" w:afterAutospacing="0"/>
              <w:ind w:left="0" w:right="0"/>
              <w:jc w:val="center"/>
              <w:rPr>
                <w:rFonts w:hint="default" w:ascii="宋体" w:hAnsi="宋体" w:cs="宋体"/>
                <w:color w:val="000000"/>
                <w:szCs w:val="21"/>
                <w:lang w:val="en-US" w:eastAsia="zh-CN"/>
              </w:rPr>
            </w:pPr>
            <w:r>
              <w:rPr>
                <w:rFonts w:hint="default" w:ascii="宋体" w:hAnsi="宋体" w:cs="宋体"/>
                <w:color w:val="000000"/>
                <w:szCs w:val="21"/>
                <w:lang w:val="en-US" w:eastAsia="zh-CN"/>
              </w:rPr>
              <w:t>联系方式</w:t>
            </w:r>
          </w:p>
        </w:tc>
        <w:tc>
          <w:tcPr>
            <w:tcW w:w="3118" w:type="dxa"/>
            <w:noWrap w:val="0"/>
            <w:vAlign w:val="center"/>
          </w:tcPr>
          <w:p w14:paraId="1E866326">
            <w:pPr>
              <w:keepNext w:val="0"/>
              <w:keepLines w:val="0"/>
              <w:suppressLineNumbers w:val="0"/>
              <w:adjustRightInd w:val="0"/>
              <w:snapToGrid w:val="0"/>
              <w:spacing w:before="0" w:beforeAutospacing="0" w:after="0" w:afterAutospacing="0"/>
              <w:ind w:left="0" w:right="0"/>
              <w:jc w:val="center"/>
              <w:rPr>
                <w:rFonts w:hint="default" w:ascii="宋体" w:hAnsi="宋体" w:cs="宋体"/>
                <w:color w:val="000000"/>
                <w:szCs w:val="21"/>
                <w:lang w:val="en-US" w:eastAsia="zh-CN"/>
              </w:rPr>
            </w:pPr>
            <w:r>
              <w:rPr>
                <w:rFonts w:hint="eastAsia" w:ascii="宋体" w:hAnsi="宋体" w:cs="宋体"/>
                <w:color w:val="000000"/>
                <w:szCs w:val="21"/>
                <w:lang w:val="en-US" w:eastAsia="zh-CN"/>
              </w:rPr>
              <w:t>***</w:t>
            </w:r>
          </w:p>
        </w:tc>
      </w:tr>
      <w:tr w14:paraId="7063BA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7" w:hRule="atLeast"/>
          <w:jc w:val="center"/>
        </w:trPr>
        <w:tc>
          <w:tcPr>
            <w:tcW w:w="1752" w:type="dxa"/>
            <w:noWrap w:val="0"/>
            <w:tcMar>
              <w:top w:w="16" w:type="dxa"/>
              <w:left w:w="16" w:type="dxa"/>
              <w:right w:w="16" w:type="dxa"/>
            </w:tcMar>
            <w:vAlign w:val="center"/>
          </w:tcPr>
          <w:p w14:paraId="5698B870">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color w:val="000000"/>
                <w:szCs w:val="21"/>
              </w:rPr>
            </w:pPr>
            <w:r>
              <w:rPr>
                <w:rFonts w:hint="eastAsia" w:ascii="宋体" w:hAnsi="宋体" w:eastAsia="宋体" w:cs="宋体"/>
                <w:color w:val="000000"/>
                <w:szCs w:val="21"/>
              </w:rPr>
              <w:t>建设地点</w:t>
            </w:r>
          </w:p>
        </w:tc>
        <w:tc>
          <w:tcPr>
            <w:tcW w:w="7514" w:type="dxa"/>
            <w:gridSpan w:val="3"/>
            <w:noWrap w:val="0"/>
            <w:vAlign w:val="center"/>
          </w:tcPr>
          <w:p w14:paraId="4A63EB4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lang w:val="en-US"/>
              </w:rPr>
            </w:pPr>
            <w:r>
              <w:rPr>
                <w:rFonts w:hint="default" w:ascii="Times New Roman" w:hAnsi="Times New Roman" w:cs="Times New Roman"/>
                <w:color w:val="000000"/>
                <w:szCs w:val="21"/>
                <w:highlight w:val="none"/>
                <w:u w:val="none"/>
                <w:lang w:val="en-US" w:eastAsia="zh-CN"/>
              </w:rPr>
              <w:t>新疆</w:t>
            </w:r>
            <w:r>
              <w:rPr>
                <w:rFonts w:hint="eastAsia" w:cs="Times New Roman"/>
                <w:color w:val="000000"/>
                <w:szCs w:val="21"/>
                <w:highlight w:val="none"/>
                <w:u w:val="none"/>
                <w:lang w:val="en-US" w:eastAsia="zh-CN"/>
              </w:rPr>
              <w:t>维吾尔</w:t>
            </w:r>
            <w:r>
              <w:rPr>
                <w:rFonts w:hint="default" w:ascii="Times New Roman" w:hAnsi="Times New Roman" w:eastAsia="宋体" w:cs="Times New Roman"/>
                <w:color w:val="000000"/>
                <w:szCs w:val="21"/>
                <w:highlight w:val="none"/>
                <w:u w:val="none"/>
              </w:rPr>
              <w:t>自治区</w:t>
            </w:r>
            <w:r>
              <w:rPr>
                <w:rFonts w:hint="eastAsia" w:cs="Times New Roman"/>
                <w:color w:val="000000"/>
                <w:szCs w:val="21"/>
                <w:highlight w:val="none"/>
                <w:u w:val="none"/>
                <w:lang w:val="en-US" w:eastAsia="zh-CN"/>
              </w:rPr>
              <w:t>塔城地区塔城市阿西尔乡向阳队</w:t>
            </w:r>
          </w:p>
        </w:tc>
      </w:tr>
      <w:tr w14:paraId="04A365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52" w:type="dxa"/>
            <w:noWrap w:val="0"/>
            <w:tcMar>
              <w:top w:w="16" w:type="dxa"/>
              <w:left w:w="16" w:type="dxa"/>
              <w:right w:w="16" w:type="dxa"/>
            </w:tcMar>
            <w:vAlign w:val="center"/>
          </w:tcPr>
          <w:p w14:paraId="38B3DEE9">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color w:val="000000"/>
                <w:szCs w:val="21"/>
              </w:rPr>
            </w:pPr>
            <w:r>
              <w:rPr>
                <w:rFonts w:hint="eastAsia" w:ascii="宋体" w:hAnsi="宋体" w:eastAsia="宋体" w:cs="宋体"/>
                <w:color w:val="000000"/>
                <w:szCs w:val="21"/>
              </w:rPr>
              <w:t>地理坐标</w:t>
            </w:r>
          </w:p>
        </w:tc>
        <w:tc>
          <w:tcPr>
            <w:tcW w:w="7514" w:type="dxa"/>
            <w:gridSpan w:val="3"/>
            <w:noWrap w:val="0"/>
            <w:vAlign w:val="center"/>
          </w:tcPr>
          <w:p w14:paraId="280C244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Cs w:val="21"/>
              </w:rPr>
            </w:pPr>
            <w:r>
              <w:rPr>
                <w:rFonts w:hint="eastAsia" w:ascii="宋体" w:hAnsi="宋体" w:cs="宋体"/>
                <w:color w:val="000000"/>
                <w:szCs w:val="21"/>
                <w:lang w:val="en-US" w:eastAsia="zh-CN"/>
              </w:rPr>
              <w:t>***</w:t>
            </w:r>
          </w:p>
        </w:tc>
      </w:tr>
      <w:tr w14:paraId="0654E1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662" w:hRule="atLeast"/>
          <w:jc w:val="center"/>
        </w:trPr>
        <w:tc>
          <w:tcPr>
            <w:tcW w:w="1752" w:type="dxa"/>
            <w:noWrap w:val="0"/>
            <w:tcMar>
              <w:top w:w="16" w:type="dxa"/>
              <w:left w:w="16" w:type="dxa"/>
              <w:right w:w="16" w:type="dxa"/>
            </w:tcMar>
            <w:vAlign w:val="center"/>
          </w:tcPr>
          <w:p w14:paraId="0143F325">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Cs w:val="21"/>
              </w:rPr>
            </w:pPr>
            <w:r>
              <w:rPr>
                <w:rFonts w:hint="eastAsia" w:ascii="宋体" w:hAnsi="宋体" w:eastAsia="宋体" w:cs="宋体"/>
                <w:color w:val="000000"/>
                <w:szCs w:val="21"/>
              </w:rPr>
              <w:t>国民经济</w:t>
            </w:r>
          </w:p>
          <w:p w14:paraId="4224E96B">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color w:val="000000"/>
                <w:szCs w:val="21"/>
              </w:rPr>
            </w:pPr>
            <w:r>
              <w:rPr>
                <w:rFonts w:hint="eastAsia" w:ascii="宋体" w:hAnsi="宋体" w:eastAsia="宋体" w:cs="宋体"/>
                <w:color w:val="000000"/>
                <w:szCs w:val="21"/>
              </w:rPr>
              <w:t>行业类别</w:t>
            </w:r>
          </w:p>
        </w:tc>
        <w:tc>
          <w:tcPr>
            <w:tcW w:w="2267" w:type="dxa"/>
            <w:noWrap w:val="0"/>
            <w:vAlign w:val="center"/>
          </w:tcPr>
          <w:p w14:paraId="3C99147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C3021</w:t>
            </w:r>
            <w:r>
              <w:rPr>
                <w:rFonts w:hint="eastAsia" w:cs="Times New Roman"/>
                <w:color w:val="000000"/>
                <w:szCs w:val="21"/>
                <w:lang w:val="en-US" w:eastAsia="zh-CN"/>
              </w:rPr>
              <w:t xml:space="preserve"> </w:t>
            </w:r>
            <w:r>
              <w:rPr>
                <w:rFonts w:hint="default" w:ascii="Times New Roman" w:hAnsi="Times New Roman" w:eastAsia="宋体" w:cs="Times New Roman"/>
                <w:color w:val="000000"/>
                <w:szCs w:val="21"/>
                <w:lang w:val="en-US" w:eastAsia="zh-CN"/>
              </w:rPr>
              <w:t>水泥制品制造</w:t>
            </w:r>
          </w:p>
        </w:tc>
        <w:tc>
          <w:tcPr>
            <w:tcW w:w="2129" w:type="dxa"/>
            <w:noWrap w:val="0"/>
            <w:vAlign w:val="center"/>
          </w:tcPr>
          <w:p w14:paraId="30BC2AE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rPr>
            </w:pPr>
            <w:bookmarkStart w:id="0" w:name="_Hlk49843745"/>
            <w:r>
              <w:rPr>
                <w:rFonts w:hint="default" w:ascii="Times New Roman" w:hAnsi="Times New Roman" w:eastAsia="宋体" w:cs="Times New Roman"/>
                <w:color w:val="000000"/>
                <w:szCs w:val="21"/>
              </w:rPr>
              <w:t>建设项目</w:t>
            </w:r>
          </w:p>
          <w:p w14:paraId="5D619E8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行业类别</w:t>
            </w:r>
            <w:bookmarkEnd w:id="0"/>
          </w:p>
        </w:tc>
        <w:tc>
          <w:tcPr>
            <w:tcW w:w="3118" w:type="dxa"/>
            <w:noWrap w:val="0"/>
            <w:vAlign w:val="center"/>
          </w:tcPr>
          <w:p w14:paraId="564AB4E5">
            <w:pPr>
              <w:keepNext w:val="0"/>
              <w:keepLines w:val="0"/>
              <w:suppressLineNumbers w:val="0"/>
              <w:adjustRightInd w:val="0"/>
              <w:snapToGrid w:val="0"/>
              <w:spacing w:before="0" w:beforeAutospacing="0" w:after="0" w:afterAutospacing="0"/>
              <w:ind w:left="0" w:right="0"/>
              <w:rPr>
                <w:rFonts w:hint="default"/>
                <w:color w:val="000000"/>
                <w:lang w:val="en-US"/>
              </w:rPr>
            </w:pPr>
            <w:r>
              <w:rPr>
                <w:rFonts w:hint="default" w:ascii="Times New Roman" w:hAnsi="Times New Roman" w:eastAsia="宋体" w:cs="Times New Roman"/>
                <w:color w:val="000000"/>
                <w:szCs w:val="21"/>
                <w:lang w:val="en-US" w:eastAsia="zh-CN"/>
              </w:rPr>
              <w:t>二十七、非金属矿物制品业30</w:t>
            </w:r>
            <w:r>
              <w:rPr>
                <w:rFonts w:hint="eastAsia" w:cs="Times New Roman"/>
                <w:color w:val="000000"/>
                <w:szCs w:val="21"/>
                <w:lang w:val="en-US" w:eastAsia="zh-CN"/>
              </w:rPr>
              <w:t>“</w:t>
            </w:r>
            <w:r>
              <w:rPr>
                <w:rFonts w:hint="default" w:ascii="Times New Roman" w:hAnsi="Times New Roman" w:eastAsia="宋体" w:cs="Times New Roman"/>
                <w:color w:val="000000"/>
                <w:szCs w:val="21"/>
                <w:lang w:val="en-US" w:eastAsia="zh-CN"/>
              </w:rPr>
              <w:t>55石膏、水泥制品及类似制品制造302</w:t>
            </w:r>
            <w:r>
              <w:rPr>
                <w:rFonts w:hint="eastAsia" w:cs="Times New Roman"/>
                <w:color w:val="000000"/>
                <w:szCs w:val="21"/>
                <w:lang w:val="en-US" w:eastAsia="zh-CN"/>
              </w:rPr>
              <w:t>”</w:t>
            </w:r>
            <w:r>
              <w:rPr>
                <w:rFonts w:hint="default" w:ascii="Times New Roman" w:hAnsi="Times New Roman" w:eastAsia="宋体" w:cs="Times New Roman"/>
                <w:color w:val="000000"/>
                <w:szCs w:val="21"/>
                <w:lang w:val="en-US" w:eastAsia="zh-CN"/>
              </w:rPr>
              <w:t>—商品混凝土；砼结构构件制造；水泥制品制造</w:t>
            </w:r>
          </w:p>
        </w:tc>
      </w:tr>
      <w:tr w14:paraId="1BB4D7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24" w:hRule="atLeast"/>
          <w:jc w:val="center"/>
        </w:trPr>
        <w:tc>
          <w:tcPr>
            <w:tcW w:w="1752" w:type="dxa"/>
            <w:noWrap w:val="0"/>
            <w:tcMar>
              <w:top w:w="16" w:type="dxa"/>
              <w:left w:w="16" w:type="dxa"/>
              <w:right w:w="16" w:type="dxa"/>
            </w:tcMar>
            <w:vAlign w:val="center"/>
          </w:tcPr>
          <w:p w14:paraId="6D31F22A">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color w:val="000000"/>
                <w:szCs w:val="21"/>
              </w:rPr>
            </w:pPr>
            <w:r>
              <w:rPr>
                <w:rFonts w:hint="eastAsia" w:ascii="宋体" w:hAnsi="宋体" w:eastAsia="宋体" w:cs="宋体"/>
                <w:color w:val="000000"/>
                <w:szCs w:val="21"/>
              </w:rPr>
              <w:t>建设性质</w:t>
            </w:r>
          </w:p>
        </w:tc>
        <w:tc>
          <w:tcPr>
            <w:tcW w:w="2267" w:type="dxa"/>
            <w:noWrap w:val="0"/>
            <w:vAlign w:val="center"/>
          </w:tcPr>
          <w:p w14:paraId="4BF86CA0">
            <w:pPr>
              <w:keepNext w:val="0"/>
              <w:keepLines w:val="0"/>
              <w:suppressLineNumbers w:val="0"/>
              <w:spacing w:before="0" w:beforeAutospacing="0" w:after="0" w:afterAutospacing="0"/>
              <w:ind w:left="0" w:right="0"/>
              <w:jc w:val="left"/>
              <w:rPr>
                <w:rFonts w:hint="default" w:ascii="宋体" w:hAnsi="宋体" w:eastAsia="宋体" w:cs="宋体"/>
                <w:color w:val="000000"/>
                <w:szCs w:val="21"/>
              </w:rPr>
            </w:pPr>
            <w:r>
              <w:rPr>
                <w:rFonts w:hint="eastAsia" w:ascii="宋体" w:hAnsi="宋体" w:cs="宋体"/>
                <w:color w:val="000000"/>
                <w:szCs w:val="21"/>
                <w:lang w:eastAsia="zh-CN"/>
              </w:rPr>
              <w:t>☑</w:t>
            </w:r>
            <w:r>
              <w:rPr>
                <w:rFonts w:hint="eastAsia" w:ascii="宋体" w:hAnsi="宋体" w:eastAsia="宋体" w:cs="宋体"/>
                <w:color w:val="000000"/>
                <w:szCs w:val="21"/>
              </w:rPr>
              <w:t>新建（迁建）</w:t>
            </w:r>
          </w:p>
          <w:p w14:paraId="48E983CB">
            <w:pPr>
              <w:keepNext w:val="0"/>
              <w:keepLines w:val="0"/>
              <w:suppressLineNumbers w:val="0"/>
              <w:spacing w:before="0" w:beforeAutospacing="0" w:after="0" w:afterAutospacing="0"/>
              <w:ind w:left="0" w:right="0"/>
              <w:jc w:val="left"/>
              <w:rPr>
                <w:rFonts w:hint="eastAsia" w:ascii="宋体" w:hAnsi="宋体" w:eastAsia="宋体" w:cs="宋体"/>
                <w:color w:val="000000"/>
                <w:szCs w:val="21"/>
              </w:rPr>
            </w:pPr>
            <w:r>
              <w:rPr>
                <w:rFonts w:hint="eastAsia" w:ascii="宋体" w:hAnsi="宋体" w:eastAsia="宋体" w:cs="宋体"/>
                <w:color w:val="000000"/>
                <w:szCs w:val="21"/>
              </w:rPr>
              <w:t>□改建</w:t>
            </w:r>
          </w:p>
          <w:p w14:paraId="3BF85AE3">
            <w:pPr>
              <w:keepNext w:val="0"/>
              <w:keepLines w:val="0"/>
              <w:suppressLineNumbers w:val="0"/>
              <w:spacing w:before="0" w:beforeAutospacing="0" w:after="0" w:afterAutospacing="0"/>
              <w:ind w:left="0" w:right="0"/>
              <w:jc w:val="left"/>
              <w:rPr>
                <w:rFonts w:hint="eastAsia" w:ascii="宋体" w:hAnsi="宋体" w:eastAsia="宋体" w:cs="宋体"/>
                <w:color w:val="000000"/>
                <w:szCs w:val="21"/>
              </w:rPr>
            </w:pPr>
            <w:r>
              <w:rPr>
                <w:rFonts w:hint="eastAsia" w:ascii="宋体" w:hAnsi="宋体" w:eastAsia="宋体" w:cs="宋体"/>
                <w:color w:val="000000"/>
                <w:szCs w:val="21"/>
              </w:rPr>
              <w:t>□扩建</w:t>
            </w:r>
          </w:p>
          <w:p w14:paraId="45D52BCE">
            <w:pPr>
              <w:keepNext w:val="0"/>
              <w:keepLines w:val="0"/>
              <w:suppressLineNumbers w:val="0"/>
              <w:spacing w:before="0" w:beforeAutospacing="0" w:after="0" w:afterAutospacing="0"/>
              <w:ind w:left="0" w:right="0"/>
              <w:jc w:val="left"/>
              <w:rPr>
                <w:rFonts w:hint="default" w:ascii="宋体" w:hAnsi="宋体" w:eastAsia="宋体" w:cs="宋体"/>
                <w:color w:val="000000"/>
                <w:szCs w:val="21"/>
              </w:rPr>
            </w:pPr>
            <w:r>
              <w:rPr>
                <w:rFonts w:hint="eastAsia" w:ascii="宋体" w:hAnsi="宋体" w:eastAsia="宋体" w:cs="宋体"/>
                <w:color w:val="000000"/>
                <w:szCs w:val="21"/>
              </w:rPr>
              <w:t>□技术改造</w:t>
            </w:r>
          </w:p>
        </w:tc>
        <w:tc>
          <w:tcPr>
            <w:tcW w:w="2129" w:type="dxa"/>
            <w:noWrap w:val="0"/>
            <w:vAlign w:val="center"/>
          </w:tcPr>
          <w:p w14:paraId="1BA8CDA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Cs w:val="21"/>
              </w:rPr>
            </w:pPr>
            <w:r>
              <w:rPr>
                <w:rFonts w:hint="eastAsia" w:ascii="宋体" w:hAnsi="宋体" w:eastAsia="宋体" w:cs="宋体"/>
                <w:color w:val="000000"/>
                <w:szCs w:val="21"/>
              </w:rPr>
              <w:t>建设项目</w:t>
            </w:r>
          </w:p>
          <w:p w14:paraId="5F4E7CB8">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color w:val="000000"/>
                <w:szCs w:val="21"/>
              </w:rPr>
            </w:pPr>
            <w:r>
              <w:rPr>
                <w:rFonts w:hint="eastAsia" w:ascii="宋体" w:hAnsi="宋体" w:eastAsia="宋体" w:cs="宋体"/>
                <w:color w:val="000000"/>
                <w:szCs w:val="21"/>
              </w:rPr>
              <w:t>申报情形</w:t>
            </w:r>
          </w:p>
        </w:tc>
        <w:tc>
          <w:tcPr>
            <w:tcW w:w="3118" w:type="dxa"/>
            <w:noWrap w:val="0"/>
            <w:vAlign w:val="center"/>
          </w:tcPr>
          <w:p w14:paraId="589B545F">
            <w:pPr>
              <w:keepNext w:val="0"/>
              <w:keepLines w:val="0"/>
              <w:suppressLineNumbers w:val="0"/>
              <w:spacing w:before="0" w:beforeAutospacing="0" w:after="0" w:afterAutospacing="0"/>
              <w:ind w:left="0" w:right="0"/>
              <w:jc w:val="left"/>
              <w:rPr>
                <w:rFonts w:hint="default" w:ascii="宋体" w:hAnsi="宋体" w:eastAsia="宋体" w:cs="宋体"/>
                <w:color w:val="000000"/>
                <w:szCs w:val="21"/>
              </w:rPr>
            </w:pPr>
            <w:r>
              <w:rPr>
                <w:rFonts w:hint="eastAsia" w:ascii="宋体" w:hAnsi="宋体" w:eastAsia="宋体" w:cs="宋体"/>
                <w:color w:val="000000"/>
                <w:szCs w:val="21"/>
                <w:lang w:eastAsia="zh-CN"/>
              </w:rPr>
              <w:t>☑</w:t>
            </w:r>
            <w:r>
              <w:rPr>
                <w:rFonts w:hint="eastAsia" w:ascii="宋体" w:hAnsi="宋体" w:eastAsia="宋体" w:cs="宋体"/>
                <w:color w:val="000000"/>
                <w:szCs w:val="21"/>
              </w:rPr>
              <w:t>首次申报项目</w:t>
            </w:r>
            <w:r>
              <w:rPr>
                <w:rFonts w:hint="default" w:ascii="宋体" w:hAnsi="宋体" w:eastAsia="宋体" w:cs="宋体"/>
                <w:color w:val="000000"/>
                <w:szCs w:val="21"/>
              </w:rPr>
              <w:t xml:space="preserve">             </w:t>
            </w:r>
          </w:p>
          <w:p w14:paraId="053ED267">
            <w:pPr>
              <w:keepNext w:val="0"/>
              <w:keepLines w:val="0"/>
              <w:suppressLineNumbers w:val="0"/>
              <w:spacing w:before="0" w:beforeAutospacing="0" w:after="0" w:afterAutospacing="0"/>
              <w:ind w:left="0" w:right="0"/>
              <w:jc w:val="left"/>
              <w:rPr>
                <w:rFonts w:hint="default" w:ascii="宋体" w:hAnsi="宋体" w:eastAsia="宋体" w:cs="宋体"/>
                <w:color w:val="000000"/>
                <w:szCs w:val="21"/>
              </w:rPr>
            </w:pPr>
            <w:r>
              <w:rPr>
                <w:rFonts w:hint="eastAsia" w:ascii="宋体" w:hAnsi="宋体" w:eastAsia="宋体" w:cs="宋体"/>
                <w:color w:val="000000"/>
                <w:szCs w:val="21"/>
              </w:rPr>
              <w:t>□不予批准后再次申报项目</w:t>
            </w:r>
          </w:p>
          <w:p w14:paraId="57C6234B">
            <w:pPr>
              <w:keepNext w:val="0"/>
              <w:keepLines w:val="0"/>
              <w:suppressLineNumbers w:val="0"/>
              <w:spacing w:before="0" w:beforeAutospacing="0" w:after="0" w:afterAutospacing="0"/>
              <w:ind w:left="0" w:right="0"/>
              <w:jc w:val="left"/>
              <w:rPr>
                <w:rFonts w:hint="default" w:ascii="宋体" w:hAnsi="宋体" w:eastAsia="宋体" w:cs="宋体"/>
                <w:color w:val="000000"/>
                <w:szCs w:val="21"/>
              </w:rPr>
            </w:pPr>
            <w:r>
              <w:rPr>
                <w:rFonts w:hint="eastAsia" w:ascii="宋体" w:hAnsi="宋体" w:eastAsia="宋体" w:cs="宋体"/>
                <w:color w:val="000000"/>
                <w:szCs w:val="21"/>
              </w:rPr>
              <w:t>□超五年重新审核项目</w:t>
            </w:r>
            <w:r>
              <w:rPr>
                <w:rFonts w:hint="default" w:ascii="宋体" w:hAnsi="宋体" w:eastAsia="宋体" w:cs="宋体"/>
                <w:color w:val="000000"/>
                <w:szCs w:val="21"/>
              </w:rPr>
              <w:t xml:space="preserve">     </w:t>
            </w:r>
          </w:p>
          <w:p w14:paraId="3FCAEF6B">
            <w:pPr>
              <w:keepNext w:val="0"/>
              <w:keepLines w:val="0"/>
              <w:suppressLineNumbers w:val="0"/>
              <w:spacing w:before="0" w:beforeAutospacing="0" w:after="0" w:afterAutospacing="0"/>
              <w:ind w:left="0" w:right="0"/>
              <w:jc w:val="left"/>
              <w:rPr>
                <w:rFonts w:hint="default" w:ascii="宋体" w:hAnsi="宋体" w:eastAsia="宋体" w:cs="宋体"/>
                <w:color w:val="000000"/>
                <w:szCs w:val="21"/>
              </w:rPr>
            </w:pPr>
            <w:r>
              <w:rPr>
                <w:rFonts w:hint="eastAsia" w:ascii="宋体" w:hAnsi="宋体" w:cs="宋体"/>
                <w:color w:val="000000"/>
                <w:szCs w:val="21"/>
                <w:lang w:eastAsia="zh-CN"/>
              </w:rPr>
              <w:t>□</w:t>
            </w:r>
            <w:r>
              <w:rPr>
                <w:rFonts w:hint="eastAsia" w:ascii="宋体" w:hAnsi="宋体" w:eastAsia="宋体" w:cs="宋体"/>
                <w:color w:val="000000"/>
                <w:szCs w:val="21"/>
              </w:rPr>
              <w:t>重大变动重新报批项目</w:t>
            </w:r>
          </w:p>
        </w:tc>
      </w:tr>
      <w:tr w14:paraId="0A6FB7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752" w:type="dxa"/>
            <w:noWrap w:val="0"/>
            <w:tcMar>
              <w:top w:w="16" w:type="dxa"/>
              <w:left w:w="16" w:type="dxa"/>
              <w:right w:w="16" w:type="dxa"/>
            </w:tcMar>
            <w:vAlign w:val="center"/>
          </w:tcPr>
          <w:p w14:paraId="47E3D0D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Cs w:val="21"/>
              </w:rPr>
            </w:pPr>
            <w:r>
              <w:rPr>
                <w:rFonts w:hint="eastAsia" w:ascii="宋体" w:hAnsi="宋体" w:eastAsia="宋体" w:cs="宋体"/>
                <w:color w:val="000000"/>
                <w:szCs w:val="21"/>
              </w:rPr>
              <w:t>项目审批（核准</w:t>
            </w:r>
            <w:r>
              <w:rPr>
                <w:rFonts w:hint="default" w:ascii="宋体" w:hAnsi="宋体" w:eastAsia="宋体" w:cs="宋体"/>
                <w:color w:val="000000"/>
                <w:szCs w:val="21"/>
              </w:rPr>
              <w:t>/</w:t>
            </w:r>
          </w:p>
          <w:p w14:paraId="703BD6BB">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color w:val="000000"/>
                <w:szCs w:val="21"/>
              </w:rPr>
            </w:pPr>
            <w:r>
              <w:rPr>
                <w:rFonts w:hint="eastAsia" w:ascii="宋体" w:hAnsi="宋体" w:eastAsia="宋体" w:cs="宋体"/>
                <w:color w:val="000000"/>
                <w:szCs w:val="21"/>
              </w:rPr>
              <w:t>备案）部门（选填）</w:t>
            </w:r>
          </w:p>
        </w:tc>
        <w:tc>
          <w:tcPr>
            <w:tcW w:w="2267" w:type="dxa"/>
            <w:noWrap w:val="0"/>
            <w:vAlign w:val="center"/>
          </w:tcPr>
          <w:p w14:paraId="5689AED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lang w:val="en-US" w:eastAsia="zh-CN"/>
              </w:rPr>
            </w:pPr>
            <w:r>
              <w:rPr>
                <w:rFonts w:hint="eastAsia" w:cs="Times New Roman"/>
                <w:color w:val="000000"/>
                <w:szCs w:val="21"/>
                <w:lang w:val="en-US" w:eastAsia="zh-CN"/>
              </w:rPr>
              <w:t>/</w:t>
            </w:r>
          </w:p>
        </w:tc>
        <w:tc>
          <w:tcPr>
            <w:tcW w:w="2129" w:type="dxa"/>
            <w:noWrap w:val="0"/>
            <w:vAlign w:val="center"/>
          </w:tcPr>
          <w:p w14:paraId="2342D9E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项目审批（核准/</w:t>
            </w:r>
          </w:p>
          <w:p w14:paraId="47FF902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备案）文号（选填）</w:t>
            </w:r>
          </w:p>
        </w:tc>
        <w:tc>
          <w:tcPr>
            <w:tcW w:w="3118" w:type="dxa"/>
            <w:noWrap w:val="0"/>
            <w:vAlign w:val="center"/>
          </w:tcPr>
          <w:p w14:paraId="1A7C961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lang w:val="en-US" w:eastAsia="zh-CN"/>
              </w:rPr>
            </w:pPr>
            <w:r>
              <w:rPr>
                <w:rFonts w:hint="eastAsia" w:cs="Times New Roman"/>
                <w:color w:val="000000"/>
                <w:szCs w:val="21"/>
                <w:lang w:val="en-US" w:eastAsia="zh-CN"/>
              </w:rPr>
              <w:t>/</w:t>
            </w:r>
          </w:p>
        </w:tc>
      </w:tr>
      <w:tr w14:paraId="278F8A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1752" w:type="dxa"/>
            <w:noWrap w:val="0"/>
            <w:tcMar>
              <w:top w:w="16" w:type="dxa"/>
              <w:left w:w="16" w:type="dxa"/>
              <w:right w:w="16" w:type="dxa"/>
            </w:tcMar>
            <w:vAlign w:val="center"/>
          </w:tcPr>
          <w:p w14:paraId="0A4C7AF9">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color w:val="000000"/>
                <w:szCs w:val="21"/>
              </w:rPr>
            </w:pPr>
            <w:r>
              <w:rPr>
                <w:rFonts w:hint="eastAsia" w:ascii="宋体" w:hAnsi="宋体" w:eastAsia="宋体" w:cs="宋体"/>
                <w:color w:val="000000"/>
                <w:szCs w:val="21"/>
              </w:rPr>
              <w:t>总投资（万元）</w:t>
            </w:r>
          </w:p>
        </w:tc>
        <w:tc>
          <w:tcPr>
            <w:tcW w:w="2267" w:type="dxa"/>
            <w:noWrap w:val="0"/>
            <w:vAlign w:val="center"/>
          </w:tcPr>
          <w:p w14:paraId="726287F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lang w:val="en-US" w:eastAsia="zh-CN"/>
              </w:rPr>
            </w:pPr>
            <w:r>
              <w:rPr>
                <w:rFonts w:hint="eastAsia" w:cs="Times New Roman"/>
                <w:color w:val="000000"/>
                <w:szCs w:val="21"/>
                <w:lang w:val="en-US" w:eastAsia="zh-CN"/>
              </w:rPr>
              <w:t>80</w:t>
            </w:r>
          </w:p>
        </w:tc>
        <w:tc>
          <w:tcPr>
            <w:tcW w:w="2129" w:type="dxa"/>
            <w:noWrap w:val="0"/>
            <w:tcMar>
              <w:top w:w="16" w:type="dxa"/>
              <w:left w:w="16" w:type="dxa"/>
              <w:right w:w="16" w:type="dxa"/>
            </w:tcMar>
            <w:vAlign w:val="center"/>
          </w:tcPr>
          <w:p w14:paraId="10BEB5B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环保投资（万元）</w:t>
            </w:r>
          </w:p>
        </w:tc>
        <w:tc>
          <w:tcPr>
            <w:tcW w:w="3118" w:type="dxa"/>
            <w:noWrap w:val="0"/>
            <w:vAlign w:val="center"/>
          </w:tcPr>
          <w:p w14:paraId="59BB8BF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highlight w:val="none"/>
                <w:lang w:val="en-US" w:eastAsia="zh-CN"/>
              </w:rPr>
            </w:pPr>
            <w:r>
              <w:rPr>
                <w:rFonts w:hint="eastAsia" w:cs="Times New Roman"/>
                <w:color w:val="000000"/>
                <w:szCs w:val="21"/>
                <w:highlight w:val="none"/>
                <w:lang w:val="en-US" w:eastAsia="zh-CN"/>
              </w:rPr>
              <w:t>7.3</w:t>
            </w:r>
          </w:p>
        </w:tc>
      </w:tr>
      <w:tr w14:paraId="18EE37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1752" w:type="dxa"/>
            <w:noWrap w:val="0"/>
            <w:tcMar>
              <w:top w:w="16" w:type="dxa"/>
              <w:left w:w="16" w:type="dxa"/>
              <w:right w:w="16" w:type="dxa"/>
            </w:tcMar>
            <w:vAlign w:val="center"/>
          </w:tcPr>
          <w:p w14:paraId="50CD7324">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color w:val="000000"/>
                <w:szCs w:val="21"/>
              </w:rPr>
            </w:pPr>
            <w:r>
              <w:rPr>
                <w:rFonts w:hint="eastAsia" w:ascii="宋体" w:hAnsi="宋体" w:eastAsia="宋体" w:cs="宋体"/>
                <w:color w:val="000000"/>
                <w:szCs w:val="21"/>
              </w:rPr>
              <w:t>环保投资占比（</w:t>
            </w:r>
            <w:r>
              <w:rPr>
                <w:rFonts w:hint="default" w:ascii="宋体" w:hAnsi="宋体" w:eastAsia="宋体" w:cs="宋体"/>
                <w:color w:val="000000"/>
                <w:szCs w:val="21"/>
              </w:rPr>
              <w:t>%</w:t>
            </w:r>
            <w:r>
              <w:rPr>
                <w:rFonts w:hint="eastAsia" w:ascii="宋体" w:hAnsi="宋体" w:eastAsia="宋体" w:cs="宋体"/>
                <w:color w:val="000000"/>
                <w:szCs w:val="21"/>
              </w:rPr>
              <w:t>）</w:t>
            </w:r>
          </w:p>
        </w:tc>
        <w:tc>
          <w:tcPr>
            <w:tcW w:w="2267" w:type="dxa"/>
            <w:noWrap w:val="0"/>
            <w:vAlign w:val="center"/>
          </w:tcPr>
          <w:p w14:paraId="346BE1C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lang w:val="en-US" w:eastAsia="zh-CN"/>
              </w:rPr>
            </w:pPr>
            <w:r>
              <w:rPr>
                <w:rFonts w:hint="eastAsia" w:cs="Times New Roman"/>
                <w:color w:val="000000"/>
                <w:szCs w:val="21"/>
                <w:highlight w:val="none"/>
                <w:lang w:val="en-US" w:eastAsia="zh-CN"/>
              </w:rPr>
              <w:t>9.13</w:t>
            </w:r>
          </w:p>
        </w:tc>
        <w:tc>
          <w:tcPr>
            <w:tcW w:w="2129" w:type="dxa"/>
            <w:noWrap w:val="0"/>
            <w:tcMar>
              <w:top w:w="16" w:type="dxa"/>
              <w:left w:w="16" w:type="dxa"/>
              <w:right w:w="16" w:type="dxa"/>
            </w:tcMar>
            <w:vAlign w:val="center"/>
          </w:tcPr>
          <w:p w14:paraId="77D1C15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施工工期</w:t>
            </w:r>
          </w:p>
        </w:tc>
        <w:tc>
          <w:tcPr>
            <w:tcW w:w="3118" w:type="dxa"/>
            <w:noWrap w:val="0"/>
            <w:vAlign w:val="center"/>
          </w:tcPr>
          <w:p w14:paraId="3A3CD6A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szCs w:val="21"/>
                <w:lang w:val="en-US" w:eastAsia="zh-CN"/>
              </w:rPr>
            </w:pPr>
            <w:r>
              <w:rPr>
                <w:rFonts w:hint="eastAsia" w:cs="Times New Roman"/>
                <w:color w:val="000000"/>
                <w:szCs w:val="21"/>
                <w:lang w:val="en-US" w:eastAsia="zh-CN"/>
              </w:rPr>
              <w:t>1个月（项目未批先建，目前项目已经建成，本次不存在施工期。）</w:t>
            </w:r>
          </w:p>
        </w:tc>
      </w:tr>
      <w:tr w14:paraId="5551EF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12" w:hRule="atLeast"/>
          <w:jc w:val="center"/>
        </w:trPr>
        <w:tc>
          <w:tcPr>
            <w:tcW w:w="1752" w:type="dxa"/>
            <w:noWrap w:val="0"/>
            <w:tcMar>
              <w:top w:w="16" w:type="dxa"/>
              <w:left w:w="16" w:type="dxa"/>
              <w:right w:w="16" w:type="dxa"/>
            </w:tcMar>
            <w:vAlign w:val="center"/>
          </w:tcPr>
          <w:p w14:paraId="087CFFB6">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Cs w:val="21"/>
              </w:rPr>
            </w:pPr>
            <w:r>
              <w:rPr>
                <w:rFonts w:hint="eastAsia" w:ascii="宋体" w:hAnsi="宋体" w:eastAsia="宋体" w:cs="宋体"/>
                <w:color w:val="000000"/>
                <w:szCs w:val="21"/>
              </w:rPr>
              <w:t>是否开工建设</w:t>
            </w:r>
          </w:p>
        </w:tc>
        <w:tc>
          <w:tcPr>
            <w:tcW w:w="2267" w:type="dxa"/>
            <w:noWrap w:val="0"/>
            <w:vAlign w:val="center"/>
          </w:tcPr>
          <w:p w14:paraId="0733031B">
            <w:pPr>
              <w:keepNext w:val="0"/>
              <w:keepLines w:val="0"/>
              <w:suppressLineNumbers w:val="0"/>
              <w:adjustRightInd w:val="0"/>
              <w:snapToGrid w:val="0"/>
              <w:spacing w:before="0" w:beforeAutospacing="0" w:after="0" w:afterAutospacing="0"/>
              <w:ind w:left="0" w:right="0"/>
              <w:rPr>
                <w:rFonts w:hint="default" w:ascii="宋体" w:hAnsi="宋体" w:eastAsia="宋体" w:cs="宋体"/>
                <w:color w:val="000000"/>
                <w:szCs w:val="21"/>
              </w:rPr>
            </w:pPr>
            <w:r>
              <w:rPr>
                <w:rFonts w:hint="eastAsia" w:ascii="宋体" w:hAnsi="宋体" w:cs="宋体"/>
                <w:color w:val="000000"/>
                <w:szCs w:val="21"/>
                <w:lang w:eastAsia="zh-CN"/>
              </w:rPr>
              <w:t>□</w:t>
            </w:r>
            <w:r>
              <w:rPr>
                <w:rFonts w:hint="eastAsia" w:ascii="宋体" w:hAnsi="宋体" w:eastAsia="宋体" w:cs="宋体"/>
                <w:color w:val="000000"/>
                <w:szCs w:val="21"/>
              </w:rPr>
              <w:t>否</w:t>
            </w:r>
          </w:p>
          <w:p w14:paraId="7DB26476">
            <w:pPr>
              <w:keepNext w:val="0"/>
              <w:keepLines w:val="0"/>
              <w:suppressLineNumbers w:val="0"/>
              <w:adjustRightInd w:val="0"/>
              <w:snapToGrid w:val="0"/>
              <w:spacing w:before="0" w:beforeAutospacing="0" w:after="0" w:afterAutospacing="0"/>
              <w:ind w:left="0" w:right="0"/>
              <w:rPr>
                <w:rFonts w:hint="default" w:ascii="宋体" w:hAnsi="宋体" w:eastAsia="宋体" w:cs="宋体"/>
                <w:color w:val="000000"/>
                <w:szCs w:val="21"/>
                <w:lang w:val="en-US" w:eastAsia="zh-CN"/>
              </w:rPr>
            </w:pPr>
            <w:r>
              <w:rPr>
                <w:rFonts w:hint="eastAsia" w:ascii="宋体" w:hAnsi="宋体" w:cs="宋体"/>
                <w:color w:val="000000"/>
                <w:szCs w:val="21"/>
                <w:lang w:eastAsia="zh-CN"/>
              </w:rPr>
              <w:t>☑</w:t>
            </w:r>
            <w:r>
              <w:rPr>
                <w:rFonts w:hint="eastAsia" w:ascii="宋体" w:hAnsi="宋体" w:eastAsia="宋体" w:cs="宋体"/>
                <w:color w:val="000000"/>
                <w:szCs w:val="21"/>
              </w:rPr>
              <w:t>是：</w:t>
            </w:r>
            <w:r>
              <w:rPr>
                <w:rFonts w:hint="eastAsia" w:ascii="宋体" w:hAnsi="宋体" w:cs="宋体"/>
                <w:color w:val="000000"/>
                <w:szCs w:val="21"/>
                <w:u w:val="single"/>
                <w:lang w:val="en-US" w:eastAsia="zh-CN"/>
              </w:rPr>
              <w:t>项目于2014年建设完成并投产，本次属于补做环评</w:t>
            </w:r>
            <w:r>
              <w:rPr>
                <w:rFonts w:hint="eastAsia"/>
                <w:color w:val="000000"/>
                <w:u w:val="single"/>
                <w:lang w:eastAsia="zh-CN"/>
              </w:rPr>
              <w:t>，</w:t>
            </w:r>
            <w:r>
              <w:rPr>
                <w:rFonts w:hint="eastAsia"/>
                <w:color w:val="000000"/>
                <w:u w:val="single"/>
                <w:lang w:val="en-US" w:eastAsia="zh-CN"/>
              </w:rPr>
              <w:t>目前暂未收到相关处罚。</w:t>
            </w:r>
          </w:p>
        </w:tc>
        <w:tc>
          <w:tcPr>
            <w:tcW w:w="2129" w:type="dxa"/>
            <w:noWrap w:val="0"/>
            <w:tcMar>
              <w:top w:w="16" w:type="dxa"/>
              <w:left w:w="16" w:type="dxa"/>
              <w:right w:w="16" w:type="dxa"/>
            </w:tcMar>
            <w:vAlign w:val="center"/>
          </w:tcPr>
          <w:p w14:paraId="769985E3">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Cs w:val="21"/>
              </w:rPr>
            </w:pPr>
            <w:r>
              <w:rPr>
                <w:rFonts w:hint="eastAsia" w:ascii="宋体" w:hAnsi="宋体" w:eastAsia="宋体" w:cs="宋体"/>
                <w:color w:val="000000"/>
                <w:spacing w:val="-6"/>
                <w:szCs w:val="21"/>
              </w:rPr>
              <w:t>用地面积（</w:t>
            </w:r>
            <w:r>
              <w:rPr>
                <w:rFonts w:hint="default" w:ascii="Times New Roman" w:hAnsi="Times New Roman" w:eastAsia="宋体" w:cs="Times New Roman"/>
                <w:color w:val="000000"/>
                <w:spacing w:val="-6"/>
                <w:szCs w:val="21"/>
              </w:rPr>
              <w:t>m</w:t>
            </w:r>
            <w:r>
              <w:rPr>
                <w:rFonts w:hint="default" w:ascii="Times New Roman" w:hAnsi="Times New Roman" w:eastAsia="宋体" w:cs="Times New Roman"/>
                <w:color w:val="000000"/>
                <w:spacing w:val="-6"/>
                <w:szCs w:val="21"/>
                <w:vertAlign w:val="superscript"/>
              </w:rPr>
              <w:t>2</w:t>
            </w:r>
            <w:r>
              <w:rPr>
                <w:rFonts w:hint="eastAsia" w:ascii="宋体" w:hAnsi="宋体" w:eastAsia="宋体" w:cs="宋体"/>
                <w:color w:val="000000"/>
                <w:spacing w:val="-6"/>
                <w:szCs w:val="21"/>
              </w:rPr>
              <w:t>）</w:t>
            </w:r>
          </w:p>
        </w:tc>
        <w:tc>
          <w:tcPr>
            <w:tcW w:w="3118" w:type="dxa"/>
            <w:noWrap w:val="0"/>
            <w:vAlign w:val="center"/>
          </w:tcPr>
          <w:p w14:paraId="308BA6A2">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color w:val="000000"/>
                <w:szCs w:val="21"/>
                <w:lang w:val="en-US"/>
              </w:rPr>
            </w:pPr>
            <w:r>
              <w:rPr>
                <w:rFonts w:hint="eastAsia" w:cs="Times New Roman"/>
                <w:color w:val="000000"/>
                <w:lang w:val="en-US" w:eastAsia="zh-CN"/>
              </w:rPr>
              <w:t>12667</w:t>
            </w:r>
          </w:p>
        </w:tc>
      </w:tr>
      <w:tr w14:paraId="1AD9D6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752" w:type="dxa"/>
            <w:noWrap w:val="0"/>
            <w:vAlign w:val="center"/>
          </w:tcPr>
          <w:p w14:paraId="1F228CE0">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color w:val="000000"/>
                <w:kern w:val="0"/>
                <w:szCs w:val="21"/>
              </w:rPr>
              <w:t>专项评价设置情况</w:t>
            </w:r>
          </w:p>
        </w:tc>
        <w:tc>
          <w:tcPr>
            <w:tcW w:w="7514" w:type="dxa"/>
            <w:gridSpan w:val="3"/>
            <w:noWrap w:val="0"/>
            <w:vAlign w:val="center"/>
          </w:tcPr>
          <w:p w14:paraId="2CAC1436">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无</w:t>
            </w:r>
          </w:p>
        </w:tc>
      </w:tr>
      <w:tr w14:paraId="00F6D0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752" w:type="dxa"/>
            <w:noWrap w:val="0"/>
            <w:vAlign w:val="center"/>
          </w:tcPr>
          <w:p w14:paraId="384574D2">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宋体"/>
                <w:color w:val="000000"/>
                <w:kern w:val="0"/>
                <w:szCs w:val="21"/>
              </w:rPr>
            </w:pPr>
            <w:r>
              <w:rPr>
                <w:rFonts w:hint="eastAsia" w:ascii="宋体" w:hAnsi="宋体" w:eastAsia="宋体" w:cs="宋体"/>
                <w:color w:val="000000"/>
                <w:szCs w:val="21"/>
              </w:rPr>
              <w:t>规划情况</w:t>
            </w:r>
          </w:p>
        </w:tc>
        <w:tc>
          <w:tcPr>
            <w:tcW w:w="7514" w:type="dxa"/>
            <w:gridSpan w:val="3"/>
            <w:noWrap w:val="0"/>
            <w:vAlign w:val="center"/>
          </w:tcPr>
          <w:p w14:paraId="39DE4655">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kern w:val="0"/>
                <w:sz w:val="24"/>
                <w:szCs w:val="24"/>
                <w:highlight w:val="none"/>
                <w:lang w:val="en-US" w:eastAsia="zh-CN"/>
              </w:rPr>
            </w:pPr>
            <w:r>
              <w:rPr>
                <w:rFonts w:hint="eastAsia" w:ascii="Times New Roman" w:hAnsi="Times New Roman" w:eastAsia="宋体" w:cs="Times New Roman"/>
                <w:color w:val="000000"/>
                <w:kern w:val="0"/>
                <w:sz w:val="24"/>
                <w:szCs w:val="24"/>
                <w:highlight w:val="none"/>
                <w:lang w:val="en-US" w:eastAsia="zh-CN"/>
              </w:rPr>
              <w:t>无</w:t>
            </w:r>
          </w:p>
        </w:tc>
      </w:tr>
      <w:tr w14:paraId="002BEF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752" w:type="dxa"/>
            <w:noWrap w:val="0"/>
            <w:vAlign w:val="center"/>
          </w:tcPr>
          <w:p w14:paraId="2A98374F">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color w:val="000000"/>
                <w:szCs w:val="21"/>
              </w:rPr>
            </w:pPr>
            <w:r>
              <w:rPr>
                <w:rFonts w:hint="eastAsia" w:ascii="宋体" w:hAnsi="宋体" w:eastAsia="宋体" w:cs="宋体"/>
                <w:color w:val="000000"/>
                <w:szCs w:val="21"/>
              </w:rPr>
              <w:t>规划环境影响</w:t>
            </w:r>
          </w:p>
          <w:p w14:paraId="6AE06CBD">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kern w:val="0"/>
                <w:szCs w:val="21"/>
              </w:rPr>
            </w:pPr>
            <w:r>
              <w:rPr>
                <w:rFonts w:hint="eastAsia" w:ascii="宋体" w:hAnsi="宋体" w:eastAsia="宋体" w:cs="宋体"/>
                <w:color w:val="000000"/>
                <w:szCs w:val="21"/>
              </w:rPr>
              <w:t>评价情况</w:t>
            </w:r>
          </w:p>
        </w:tc>
        <w:tc>
          <w:tcPr>
            <w:tcW w:w="7514" w:type="dxa"/>
            <w:gridSpan w:val="3"/>
            <w:noWrap w:val="0"/>
            <w:vAlign w:val="center"/>
          </w:tcPr>
          <w:p w14:paraId="26F4B33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jc w:val="center"/>
              <w:textAlignment w:val="auto"/>
              <w:rPr>
                <w:rFonts w:hint="eastAsia" w:eastAsia="宋体"/>
                <w:color w:val="000000"/>
                <w:lang w:val="en-US" w:eastAsia="zh-CN"/>
              </w:rPr>
            </w:pPr>
            <w:r>
              <w:rPr>
                <w:rFonts w:hint="eastAsia"/>
                <w:color w:val="000000"/>
                <w:lang w:val="en-US" w:eastAsia="zh-CN"/>
              </w:rPr>
              <w:t>无</w:t>
            </w:r>
          </w:p>
        </w:tc>
      </w:tr>
      <w:tr w14:paraId="042290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1752" w:type="dxa"/>
            <w:noWrap w:val="0"/>
            <w:vAlign w:val="center"/>
          </w:tcPr>
          <w:p w14:paraId="3435215F">
            <w:pPr>
              <w:keepNext w:val="0"/>
              <w:keepLines w:val="0"/>
              <w:suppressLineNumbers w:val="0"/>
              <w:autoSpaceDE w:val="0"/>
              <w:autoSpaceDN w:val="0"/>
              <w:adjustRightInd w:val="0"/>
              <w:snapToGrid w:val="0"/>
              <w:spacing w:before="0" w:beforeAutospacing="0" w:after="0" w:afterAutospacing="0"/>
              <w:ind w:left="0" w:right="0"/>
              <w:jc w:val="center"/>
              <w:rPr>
                <w:rFonts w:hint="default"/>
                <w:color w:val="000000"/>
              </w:rPr>
            </w:pPr>
            <w:r>
              <w:rPr>
                <w:rFonts w:hint="eastAsia" w:ascii="宋体" w:hAnsi="宋体" w:eastAsia="宋体" w:cs="宋体"/>
                <w:color w:val="000000"/>
                <w:kern w:val="0"/>
                <w:szCs w:val="21"/>
              </w:rPr>
              <w:t>规划及规划环境影响评价符合性分析</w:t>
            </w:r>
          </w:p>
        </w:tc>
        <w:tc>
          <w:tcPr>
            <w:tcW w:w="7514" w:type="dxa"/>
            <w:gridSpan w:val="3"/>
            <w:noWrap w:val="0"/>
            <w:vAlign w:val="center"/>
          </w:tcPr>
          <w:p w14:paraId="17DC92D0">
            <w:pPr>
              <w:pStyle w:val="57"/>
              <w:snapToGrid w:val="0"/>
              <w:ind w:left="0" w:leftChars="0" w:firstLine="0" w:firstLineChars="0"/>
              <w:jc w:val="center"/>
              <w:rPr>
                <w:rFonts w:hint="default" w:ascii="Times New Roman" w:hAnsi="Times New Roman" w:cs="Times New Roman"/>
                <w:color w:val="000000"/>
                <w:sz w:val="24"/>
                <w:highlight w:val="none"/>
                <w:lang w:val="en-US" w:eastAsia="zh-CN"/>
              </w:rPr>
            </w:pPr>
            <w:r>
              <w:rPr>
                <w:rFonts w:hint="eastAsia" w:cs="Times New Roman"/>
                <w:color w:val="000000"/>
                <w:sz w:val="24"/>
                <w:highlight w:val="none"/>
                <w:lang w:val="en-US" w:eastAsia="zh-CN"/>
              </w:rPr>
              <w:t>无</w:t>
            </w:r>
          </w:p>
        </w:tc>
      </w:tr>
    </w:tbl>
    <w:p w14:paraId="6DDD57A3">
      <w:pPr>
        <w:spacing w:line="360" w:lineRule="auto"/>
        <w:outlineLvl w:val="0"/>
        <w:rPr>
          <w:rFonts w:ascii="Times New Roman" w:hAnsi="Times New Roman" w:eastAsia="黑体" w:cs="Times New Roman"/>
          <w:color w:val="000000"/>
          <w:sz w:val="30"/>
          <w:szCs w:val="24"/>
        </w:rPr>
        <w:sectPr>
          <w:footerReference r:id="rId4" w:type="default"/>
          <w:pgSz w:w="11906" w:h="16838"/>
          <w:pgMar w:top="1417" w:right="1134" w:bottom="1134" w:left="1417" w:header="851" w:footer="1077" w:gutter="0"/>
          <w:pgBorders>
            <w:top w:val="none" w:sz="0" w:space="0"/>
            <w:left w:val="none" w:sz="0" w:space="0"/>
            <w:bottom w:val="none" w:sz="0" w:space="0"/>
            <w:right w:val="none" w:sz="0" w:space="0"/>
          </w:pgBorders>
          <w:pgNumType w:fmt="numberInDash" w:start="1"/>
          <w:cols w:space="720" w:num="1"/>
          <w:docGrid w:linePitch="312" w:charSpace="0"/>
        </w:sectPr>
      </w:pPr>
    </w:p>
    <w:p w14:paraId="3E92CD6C">
      <w:pPr>
        <w:widowControl/>
        <w:numPr>
          <w:ilvl w:val="0"/>
          <w:numId w:val="3"/>
        </w:numPr>
        <w:spacing w:before="100" w:beforeAutospacing="1" w:after="100" w:afterAutospacing="1"/>
        <w:jc w:val="center"/>
        <w:outlineLvl w:val="0"/>
        <w:rPr>
          <w:rFonts w:hint="eastAsia" w:ascii="黑体" w:hAnsi="黑体" w:eastAsia="黑体" w:cs="Times New Roman"/>
          <w:snapToGrid w:val="0"/>
          <w:color w:val="000000"/>
          <w:kern w:val="0"/>
          <w:sz w:val="30"/>
          <w:szCs w:val="30"/>
        </w:rPr>
      </w:pPr>
      <w:r>
        <w:rPr>
          <w:rFonts w:hint="eastAsia" w:ascii="黑体" w:hAnsi="黑体" w:eastAsia="黑体" w:cs="Times New Roman"/>
          <w:snapToGrid w:val="0"/>
          <w:color w:val="000000"/>
          <w:kern w:val="0"/>
          <w:sz w:val="30"/>
          <w:szCs w:val="30"/>
        </w:rPr>
        <w:t>主要环境影响和保护措施</w:t>
      </w:r>
    </w:p>
    <w:tbl>
      <w:tblPr>
        <w:tblStyle w:val="28"/>
        <w:tblW w:w="939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8649"/>
      </w:tblGrid>
      <w:tr w14:paraId="29FB87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6" w:type="dxa"/>
            <w:noWrap w:val="0"/>
            <w:tcMar>
              <w:left w:w="28" w:type="dxa"/>
              <w:right w:w="28" w:type="dxa"/>
            </w:tcMar>
            <w:vAlign w:val="center"/>
          </w:tcPr>
          <w:p w14:paraId="0F3E0477">
            <w:pPr>
              <w:keepNext w:val="0"/>
              <w:keepLines w:val="0"/>
              <w:widowControl/>
              <w:suppressLineNumbers w:val="0"/>
              <w:adjustRightInd w:val="0"/>
              <w:snapToGrid w:val="0"/>
              <w:spacing w:before="0" w:beforeAutospacing="0" w:after="0" w:afterAutospacing="0"/>
              <w:ind w:left="0" w:right="0"/>
              <w:jc w:val="center"/>
              <w:rPr>
                <w:rFonts w:hint="eastAsia" w:ascii="宋体" w:hAnsi="宋体" w:eastAsia="宋体" w:cs="宋体"/>
                <w:color w:val="000000"/>
                <w:szCs w:val="21"/>
              </w:rPr>
            </w:pPr>
            <w:r>
              <w:rPr>
                <w:rFonts w:hint="eastAsia" w:ascii="宋体" w:hAnsi="宋体" w:eastAsia="宋体" w:cs="宋体"/>
                <w:color w:val="000000"/>
                <w:szCs w:val="21"/>
              </w:rPr>
              <w:t>施工期环境</w:t>
            </w:r>
            <w:r>
              <w:rPr>
                <w:rFonts w:hint="eastAsia" w:ascii="宋体" w:hAnsi="宋体" w:cs="宋体"/>
                <w:color w:val="000000"/>
                <w:szCs w:val="21"/>
                <w:lang w:val="en-US" w:eastAsia="zh-CN"/>
              </w:rPr>
              <w:t>影响和</w:t>
            </w:r>
            <w:r>
              <w:rPr>
                <w:rFonts w:hint="eastAsia" w:ascii="宋体" w:hAnsi="宋体" w:eastAsia="宋体" w:cs="宋体"/>
                <w:color w:val="000000"/>
                <w:szCs w:val="21"/>
              </w:rPr>
              <w:t>保护措施</w:t>
            </w:r>
          </w:p>
        </w:tc>
        <w:tc>
          <w:tcPr>
            <w:tcW w:w="8649" w:type="dxa"/>
            <w:noWrap w:val="0"/>
            <w:vAlign w:val="center"/>
          </w:tcPr>
          <w:p w14:paraId="790898CD">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right="0" w:firstLine="480" w:firstLineChars="200"/>
              <w:jc w:val="both"/>
              <w:textAlignment w:val="auto"/>
              <w:rPr>
                <w:rFonts w:hint="default" w:ascii="Times New Roman" w:hAnsi="Times New Roman" w:eastAsia="宋体" w:cs="Times New Roman"/>
                <w:b w:val="0"/>
                <w:bCs/>
                <w:snapToGrid w:val="0"/>
                <w:color w:val="000000"/>
                <w:spacing w:val="0"/>
                <w:kern w:val="0"/>
                <w:sz w:val="24"/>
                <w:szCs w:val="24"/>
                <w:vertAlign w:val="baseline"/>
                <w:lang w:val="en-US" w:eastAsia="zh-CN"/>
              </w:rPr>
            </w:pPr>
            <w:r>
              <w:rPr>
                <w:rFonts w:hint="default" w:ascii="Times New Roman" w:hAnsi="Times New Roman" w:eastAsia="宋体" w:cs="Times New Roman"/>
                <w:b w:val="0"/>
                <w:bCs/>
                <w:snapToGrid w:val="0"/>
                <w:color w:val="000000"/>
                <w:spacing w:val="0"/>
                <w:kern w:val="0"/>
                <w:sz w:val="24"/>
                <w:szCs w:val="24"/>
                <w:vertAlign w:val="baseline"/>
                <w:lang w:val="en-US" w:eastAsia="zh-CN"/>
              </w:rPr>
              <w:t>本项目已于20</w:t>
            </w:r>
            <w:r>
              <w:rPr>
                <w:rFonts w:hint="eastAsia" w:ascii="Times New Roman" w:hAnsi="Times New Roman" w:eastAsia="宋体" w:cs="Times New Roman"/>
                <w:b w:val="0"/>
                <w:bCs/>
                <w:snapToGrid w:val="0"/>
                <w:color w:val="000000"/>
                <w:spacing w:val="0"/>
                <w:kern w:val="0"/>
                <w:sz w:val="24"/>
                <w:szCs w:val="24"/>
                <w:vertAlign w:val="baseline"/>
                <w:lang w:val="en-US" w:eastAsia="zh-CN"/>
              </w:rPr>
              <w:t>14</w:t>
            </w:r>
            <w:r>
              <w:rPr>
                <w:rFonts w:hint="default" w:ascii="Times New Roman" w:hAnsi="Times New Roman" w:eastAsia="宋体" w:cs="Times New Roman"/>
                <w:b w:val="0"/>
                <w:bCs/>
                <w:snapToGrid w:val="0"/>
                <w:color w:val="000000"/>
                <w:spacing w:val="0"/>
                <w:kern w:val="0"/>
                <w:sz w:val="24"/>
                <w:szCs w:val="24"/>
                <w:vertAlign w:val="baseline"/>
                <w:lang w:val="en-US" w:eastAsia="zh-CN"/>
              </w:rPr>
              <w:t>年</w:t>
            </w:r>
            <w:r>
              <w:rPr>
                <w:rFonts w:hint="eastAsia" w:ascii="Times New Roman" w:hAnsi="Times New Roman" w:eastAsia="宋体" w:cs="Times New Roman"/>
                <w:b w:val="0"/>
                <w:bCs/>
                <w:snapToGrid w:val="0"/>
                <w:color w:val="000000"/>
                <w:spacing w:val="0"/>
                <w:kern w:val="0"/>
                <w:sz w:val="24"/>
                <w:szCs w:val="24"/>
                <w:vertAlign w:val="baseline"/>
                <w:lang w:val="en-US" w:eastAsia="zh-CN"/>
              </w:rPr>
              <w:t>4</w:t>
            </w:r>
            <w:r>
              <w:rPr>
                <w:rFonts w:hint="default" w:ascii="Times New Roman" w:hAnsi="Times New Roman" w:eastAsia="宋体" w:cs="Times New Roman"/>
                <w:b w:val="0"/>
                <w:bCs/>
                <w:snapToGrid w:val="0"/>
                <w:color w:val="000000"/>
                <w:spacing w:val="0"/>
                <w:kern w:val="0"/>
                <w:sz w:val="24"/>
                <w:szCs w:val="24"/>
                <w:vertAlign w:val="baseline"/>
                <w:lang w:val="en-US" w:eastAsia="zh-CN"/>
              </w:rPr>
              <w:t>月</w:t>
            </w:r>
            <w:r>
              <w:rPr>
                <w:rFonts w:hint="eastAsia" w:ascii="Times New Roman" w:hAnsi="Times New Roman" w:eastAsia="宋体" w:cs="Times New Roman"/>
                <w:b w:val="0"/>
                <w:bCs/>
                <w:snapToGrid w:val="0"/>
                <w:color w:val="000000"/>
                <w:spacing w:val="0"/>
                <w:kern w:val="0"/>
                <w:sz w:val="24"/>
                <w:szCs w:val="24"/>
                <w:vertAlign w:val="baseline"/>
                <w:lang w:val="en-US" w:eastAsia="zh-CN"/>
              </w:rPr>
              <w:t>14日投入</w:t>
            </w:r>
            <w:r>
              <w:rPr>
                <w:rFonts w:hint="default" w:ascii="Times New Roman" w:hAnsi="Times New Roman" w:eastAsia="宋体" w:cs="Times New Roman"/>
                <w:b w:val="0"/>
                <w:bCs/>
                <w:snapToGrid w:val="0"/>
                <w:color w:val="000000"/>
                <w:spacing w:val="0"/>
                <w:kern w:val="0"/>
                <w:sz w:val="24"/>
                <w:szCs w:val="24"/>
                <w:vertAlign w:val="baseline"/>
                <w:lang w:val="en-US" w:eastAsia="zh-CN"/>
              </w:rPr>
              <w:t>使用，项目施工期已结束。根据现场踏勘可知，项目施工现场已清理完毕，施工临时占地已恢复，已无施工遗留痕迹，故本次评价不再针对施工期进行详细阐述与评价。</w:t>
            </w:r>
          </w:p>
        </w:tc>
      </w:tr>
      <w:tr w14:paraId="324E93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6" w:type="dxa"/>
            <w:noWrap w:val="0"/>
            <w:tcMar>
              <w:left w:w="28" w:type="dxa"/>
              <w:right w:w="28" w:type="dxa"/>
            </w:tcMar>
            <w:vAlign w:val="center"/>
          </w:tcPr>
          <w:p w14:paraId="696453E5">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b w:val="0"/>
                <w:bCs/>
                <w:color w:val="000000"/>
                <w:szCs w:val="21"/>
              </w:rPr>
            </w:pPr>
            <w:r>
              <w:rPr>
                <w:rFonts w:hint="eastAsia" w:ascii="宋体" w:hAnsi="宋体" w:eastAsia="宋体" w:cs="宋体"/>
                <w:b w:val="0"/>
                <w:bCs/>
                <w:color w:val="000000"/>
                <w:szCs w:val="21"/>
              </w:rPr>
              <w:t>运营期环境影响和保护措施</w:t>
            </w:r>
          </w:p>
        </w:tc>
        <w:tc>
          <w:tcPr>
            <w:tcW w:w="8649" w:type="dxa"/>
            <w:noWrap w:val="0"/>
            <w:vAlign w:val="top"/>
          </w:tcPr>
          <w:p w14:paraId="50542126">
            <w:pPr>
              <w:adjustRightInd w:val="0"/>
              <w:snapToGrid w:val="0"/>
              <w:spacing w:line="360" w:lineRule="auto"/>
              <w:rPr>
                <w:rFonts w:hint="eastAsia"/>
                <w:b/>
                <w:bCs/>
                <w:color w:val="000000"/>
                <w:sz w:val="24"/>
                <w:szCs w:val="24"/>
                <w:lang w:val="en-US" w:eastAsia="zh-CN"/>
              </w:rPr>
            </w:pPr>
            <w:r>
              <w:rPr>
                <w:rFonts w:hint="eastAsia"/>
                <w:b/>
                <w:bCs/>
                <w:color w:val="000000"/>
                <w:sz w:val="24"/>
                <w:szCs w:val="24"/>
              </w:rPr>
              <w:t xml:space="preserve">4.2 </w:t>
            </w:r>
            <w:r>
              <w:rPr>
                <w:rFonts w:hint="eastAsia"/>
                <w:b/>
                <w:bCs/>
                <w:color w:val="000000"/>
                <w:sz w:val="24"/>
                <w:szCs w:val="24"/>
                <w:lang w:val="en-US" w:eastAsia="zh-CN"/>
              </w:rPr>
              <w:t>运营期环境影响和保护措施</w:t>
            </w:r>
          </w:p>
          <w:p w14:paraId="0DA46F5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jc w:val="both"/>
              <w:textAlignment w:val="baseline"/>
              <w:rPr>
                <w:rFonts w:hint="eastAsia"/>
                <w:b/>
                <w:bCs/>
                <w:color w:val="000000"/>
                <w:lang w:val="en-US" w:eastAsia="zh-CN"/>
              </w:rPr>
            </w:pPr>
            <w:r>
              <w:rPr>
                <w:rFonts w:hint="eastAsia"/>
                <w:b/>
                <w:bCs/>
                <w:color w:val="000000"/>
                <w:lang w:val="en-US" w:eastAsia="zh-CN"/>
              </w:rPr>
              <w:t>4.2.2 运营期废水环境影响分析和保护措施</w:t>
            </w:r>
          </w:p>
          <w:p w14:paraId="20114A9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jc w:val="both"/>
              <w:textAlignment w:val="baseline"/>
              <w:rPr>
                <w:rFonts w:hint="default"/>
                <w:b/>
                <w:bCs/>
                <w:color w:val="000000"/>
                <w:lang w:val="en-US" w:eastAsia="zh-CN"/>
              </w:rPr>
            </w:pPr>
            <w:r>
              <w:rPr>
                <w:rFonts w:hint="eastAsia"/>
                <w:b/>
                <w:bCs/>
                <w:color w:val="000000"/>
                <w:lang w:val="en-US" w:eastAsia="zh-CN"/>
              </w:rPr>
              <w:t>4.2.2.1废水源强核算</w:t>
            </w:r>
          </w:p>
          <w:p w14:paraId="54C9898A">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Autospacing="0" w:afterAutospacing="0" w:line="360" w:lineRule="auto"/>
              <w:ind w:left="-2" w:leftChars="0" w:right="0" w:rightChars="0" w:firstLine="482" w:firstLineChars="0"/>
              <w:jc w:val="both"/>
              <w:textAlignment w:val="baseline"/>
              <w:rPr>
                <w:rFonts w:hint="eastAsia"/>
                <w:b/>
                <w:bCs/>
                <w:color w:val="000000"/>
                <w:lang w:val="en-US" w:eastAsia="zh-CN"/>
              </w:rPr>
            </w:pPr>
            <w:r>
              <w:rPr>
                <w:rFonts w:hint="eastAsia"/>
                <w:b/>
                <w:bCs/>
                <w:color w:val="000000"/>
                <w:lang w:val="en-US" w:eastAsia="zh-CN"/>
              </w:rPr>
              <w:t>生产废水</w:t>
            </w:r>
          </w:p>
          <w:p w14:paraId="30953F01">
            <w:pPr>
              <w:keepNext w:val="0"/>
              <w:keepLines w:val="0"/>
              <w:widowControl/>
              <w:suppressLineNumbers w:val="0"/>
              <w:spacing w:before="0" w:beforeAutospacing="0" w:after="0" w:afterAutospacing="0" w:line="360" w:lineRule="auto"/>
              <w:ind w:left="0" w:right="0" w:firstLine="480" w:firstLineChars="200"/>
              <w:rPr>
                <w:rFonts w:hint="eastAsia"/>
                <w:b/>
                <w:bCs/>
                <w:color w:val="000000"/>
                <w:lang w:val="en-US" w:eastAsia="zh-CN"/>
              </w:rPr>
            </w:pPr>
            <w:r>
              <w:rPr>
                <w:rFonts w:hint="eastAsia" w:ascii="Times New Roman"/>
                <w:color w:val="000000"/>
                <w:sz w:val="24"/>
                <w:szCs w:val="24"/>
                <w:highlight w:val="none"/>
                <w:lang w:val="en-US" w:eastAsia="zh-CN"/>
              </w:rPr>
              <w:t>本项目生产废水为搅拌机设备清洗废水，清洗废水集中收集至沉淀池处理后用于原料喷淋。</w:t>
            </w:r>
          </w:p>
          <w:p w14:paraId="622AA46A">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Autospacing="0" w:afterAutospacing="0" w:line="360" w:lineRule="auto"/>
              <w:ind w:left="-2" w:leftChars="0" w:right="0" w:rightChars="0" w:firstLine="482" w:firstLineChars="0"/>
              <w:jc w:val="both"/>
              <w:textAlignment w:val="baseline"/>
              <w:rPr>
                <w:rFonts w:hint="default"/>
                <w:b/>
                <w:bCs/>
                <w:color w:val="000000"/>
                <w:lang w:val="en-US" w:eastAsia="zh-CN"/>
              </w:rPr>
            </w:pPr>
            <w:r>
              <w:rPr>
                <w:rFonts w:hint="eastAsia"/>
                <w:b/>
                <w:bCs/>
                <w:color w:val="000000"/>
                <w:lang w:val="en-US" w:eastAsia="zh-CN"/>
              </w:rPr>
              <w:t>生活污水</w:t>
            </w:r>
          </w:p>
          <w:p w14:paraId="6870B15E">
            <w:pPr>
              <w:keepNext w:val="0"/>
              <w:keepLines w:val="0"/>
              <w:widowControl w:val="0"/>
              <w:numPr>
                <w:ilvl w:val="0"/>
                <w:numId w:val="0"/>
              </w:numPr>
              <w:suppressLineNumbers w:val="0"/>
              <w:spacing w:before="0" w:beforeAutospacing="0" w:after="0" w:afterAutospacing="0" w:line="360" w:lineRule="auto"/>
              <w:ind w:right="0" w:rightChars="0" w:firstLine="480" w:firstLineChars="200"/>
              <w:jc w:val="both"/>
              <w:textAlignment w:val="baseline"/>
              <w:rPr>
                <w:rFonts w:hint="eastAsia" w:ascii="Times New Roman" w:hAnsi="Times New Roman"/>
                <w:color w:val="000000"/>
                <w:kern w:val="0"/>
                <w:sz w:val="24"/>
                <w:highlight w:val="none"/>
                <w:lang w:val="en-US" w:eastAsia="zh-CN"/>
              </w:rPr>
            </w:pPr>
            <w:r>
              <w:rPr>
                <w:rFonts w:hint="eastAsia" w:ascii="Times New Roman" w:hAnsi="Times New Roman"/>
                <w:color w:val="000000"/>
                <w:kern w:val="0"/>
                <w:sz w:val="24"/>
                <w:highlight w:val="none"/>
                <w:lang w:val="en-US" w:eastAsia="zh-CN"/>
              </w:rPr>
              <w:t>生活污水主要为员工生活污水，员工年用水量</w:t>
            </w:r>
            <w:r>
              <w:rPr>
                <w:rFonts w:hint="eastAsia" w:ascii="Times New Roman" w:hAnsi="Times New Roman" w:eastAsia="宋体" w:cs="Times New Roman"/>
                <w:caps w:val="0"/>
                <w:snapToGrid w:val="0"/>
                <w:color w:val="000000"/>
                <w:kern w:val="2"/>
                <w:sz w:val="24"/>
                <w:szCs w:val="24"/>
                <w:highlight w:val="none"/>
                <w:lang w:val="en-US" w:eastAsia="zh-CN" w:bidi="ar-SA"/>
              </w:rPr>
              <w:t>243</w:t>
            </w:r>
            <w:r>
              <w:rPr>
                <w:rFonts w:hint="eastAsia" w:ascii="Times New Roman" w:hAnsi="Times New Roman"/>
                <w:color w:val="000000"/>
                <w:kern w:val="0"/>
                <w:sz w:val="24"/>
                <w:highlight w:val="none"/>
                <w:lang w:val="en-US" w:eastAsia="zh-CN"/>
              </w:rPr>
              <w:t>立方米，产生废水排放系数以0.85计算，则生活污水产生量为</w:t>
            </w:r>
            <w:r>
              <w:rPr>
                <w:rFonts w:hint="eastAsia" w:ascii="Times New Roman" w:hAnsi="Times New Roman" w:eastAsia="宋体" w:cs="Times New Roman"/>
                <w:caps w:val="0"/>
                <w:snapToGrid w:val="0"/>
                <w:color w:val="000000"/>
                <w:kern w:val="2"/>
                <w:sz w:val="24"/>
                <w:szCs w:val="24"/>
                <w:highlight w:val="none"/>
                <w:lang w:val="en-US" w:eastAsia="zh-CN" w:bidi="ar-SA"/>
              </w:rPr>
              <w:t>206.55立方米</w:t>
            </w:r>
            <w:r>
              <w:rPr>
                <w:rFonts w:hint="eastAsia" w:ascii="Times New Roman" w:hAnsi="Times New Roman"/>
                <w:color w:val="000000"/>
                <w:kern w:val="0"/>
                <w:sz w:val="24"/>
                <w:highlight w:val="none"/>
                <w:lang w:val="en-US" w:eastAsia="zh-CN"/>
              </w:rPr>
              <w:t>/年，</w:t>
            </w:r>
            <w:r>
              <w:rPr>
                <w:rFonts w:hint="eastAsia"/>
                <w:color w:val="000000"/>
                <w:lang w:val="en-US" w:eastAsia="zh-CN"/>
              </w:rPr>
              <w:t>根据生活废水产生量及清运时间核定化粪池容积为12平方米，按照一般防渗区要求化粪池防渗要求，本项目选用化粪池，</w:t>
            </w:r>
            <w:r>
              <w:rPr>
                <w:rFonts w:hint="eastAsia" w:ascii="Times New Roman" w:hAnsi="Times New Roman"/>
                <w:color w:val="000000"/>
                <w:kern w:val="0"/>
                <w:sz w:val="24"/>
                <w:highlight w:val="none"/>
                <w:lang w:val="en-US" w:eastAsia="zh-CN"/>
              </w:rPr>
              <w:t>生</w:t>
            </w:r>
            <w:r>
              <w:rPr>
                <w:rFonts w:hint="default" w:ascii="Times New Roman" w:hAnsi="Times New Roman" w:eastAsia="宋体" w:cs="Times New Roman"/>
                <w:b w:val="0"/>
                <w:bCs w:val="0"/>
                <w:color w:val="000000"/>
                <w:sz w:val="24"/>
                <w:highlight w:val="none"/>
              </w:rPr>
              <w:t>活污水经管道收集后</w:t>
            </w:r>
            <w:r>
              <w:rPr>
                <w:rFonts w:hint="eastAsia" w:ascii="Times New Roman" w:hAnsi="Times New Roman" w:eastAsia="宋体" w:cs="Times New Roman"/>
                <w:b w:val="0"/>
                <w:bCs w:val="0"/>
                <w:color w:val="000000"/>
                <w:sz w:val="24"/>
                <w:highlight w:val="none"/>
                <w:lang w:val="en-US" w:eastAsia="zh-CN"/>
              </w:rPr>
              <w:t>排至</w:t>
            </w:r>
            <w:r>
              <w:rPr>
                <w:rFonts w:hint="default" w:ascii="Times New Roman" w:hAnsi="Times New Roman" w:eastAsia="宋体" w:cs="Times New Roman"/>
                <w:color w:val="000000"/>
                <w:szCs w:val="21"/>
                <w:lang w:val="en-US" w:eastAsia="zh-CN"/>
              </w:rPr>
              <w:t>化粪池由吸污车清运至</w:t>
            </w:r>
            <w:r>
              <w:rPr>
                <w:rFonts w:hint="eastAsia" w:ascii="Times New Roman" w:hAnsi="Times New Roman" w:eastAsia="宋体" w:cs="Times New Roman"/>
                <w:color w:val="000000"/>
                <w:szCs w:val="21"/>
                <w:lang w:val="en-US" w:eastAsia="zh-CN"/>
              </w:rPr>
              <w:t>塔城市</w:t>
            </w:r>
            <w:r>
              <w:rPr>
                <w:rFonts w:hint="default" w:ascii="Times New Roman" w:hAnsi="Times New Roman" w:eastAsia="宋体" w:cs="Times New Roman"/>
                <w:color w:val="000000"/>
                <w:szCs w:val="21"/>
                <w:lang w:val="en-US" w:eastAsia="zh-CN"/>
              </w:rPr>
              <w:t>污水处理厂处置</w:t>
            </w:r>
            <w:r>
              <w:rPr>
                <w:rFonts w:hint="eastAsia" w:ascii="Times New Roman" w:hAnsi="Times New Roman"/>
                <w:color w:val="000000"/>
                <w:kern w:val="0"/>
                <w:sz w:val="24"/>
                <w:highlight w:val="none"/>
                <w:lang w:val="en-US" w:eastAsia="zh-CN"/>
              </w:rPr>
              <w:t>。</w:t>
            </w:r>
          </w:p>
          <w:p w14:paraId="6508DA48">
            <w:pPr>
              <w:keepNext w:val="0"/>
              <w:keepLines w:val="0"/>
              <w:widowControl w:val="0"/>
              <w:numPr>
                <w:ilvl w:val="0"/>
                <w:numId w:val="0"/>
              </w:numPr>
              <w:suppressLineNumbers w:val="0"/>
              <w:spacing w:before="0" w:beforeAutospacing="0" w:after="0" w:afterAutospacing="0" w:line="360" w:lineRule="auto"/>
              <w:ind w:right="0" w:rightChars="0"/>
              <w:jc w:val="both"/>
              <w:textAlignment w:val="baseline"/>
              <w:rPr>
                <w:rFonts w:hint="default"/>
                <w:b/>
                <w:bCs/>
                <w:color w:val="000000"/>
                <w:highlight w:val="none"/>
                <w:lang w:val="en-US" w:eastAsia="zh-CN"/>
              </w:rPr>
            </w:pPr>
            <w:r>
              <w:rPr>
                <w:rFonts w:hint="default"/>
                <w:b/>
                <w:bCs/>
                <w:color w:val="000000"/>
                <w:highlight w:val="none"/>
                <w:lang w:val="en-US" w:eastAsia="zh-CN"/>
              </w:rPr>
              <w:t>4.2.3</w:t>
            </w:r>
            <w:r>
              <w:rPr>
                <w:rFonts w:hint="eastAsia"/>
                <w:b/>
                <w:bCs/>
                <w:color w:val="000000"/>
                <w:highlight w:val="none"/>
                <w:lang w:val="en-US" w:eastAsia="zh-CN"/>
              </w:rPr>
              <w:t xml:space="preserve"> </w:t>
            </w:r>
            <w:r>
              <w:rPr>
                <w:rFonts w:hint="default"/>
                <w:b/>
                <w:bCs/>
                <w:color w:val="000000"/>
                <w:highlight w:val="none"/>
                <w:lang w:val="en-US" w:eastAsia="zh-CN"/>
              </w:rPr>
              <w:t>运营期噪声环境影响和保护措施</w:t>
            </w:r>
          </w:p>
          <w:p w14:paraId="164AE828">
            <w:pPr>
              <w:keepNext w:val="0"/>
              <w:keepLines w:val="0"/>
              <w:widowControl w:val="0"/>
              <w:suppressLineNumbers w:val="0"/>
              <w:overflowPunct w:val="0"/>
              <w:spacing w:before="0" w:beforeAutospacing="0" w:after="0" w:afterAutospacing="0" w:line="360" w:lineRule="auto"/>
              <w:ind w:right="0"/>
              <w:jc w:val="both"/>
              <w:rPr>
                <w:rFonts w:hint="eastAsia"/>
                <w:b/>
                <w:bCs/>
                <w:color w:val="000000"/>
                <w:highlight w:val="none"/>
                <w:lang w:val="en-US" w:eastAsia="zh-CN"/>
              </w:rPr>
            </w:pPr>
            <w:r>
              <w:rPr>
                <w:rFonts w:hint="eastAsia"/>
                <w:b/>
                <w:bCs/>
                <w:color w:val="000000"/>
                <w:highlight w:val="none"/>
                <w:lang w:val="en-US" w:eastAsia="zh-CN"/>
              </w:rPr>
              <w:t>4.2.3.1</w:t>
            </w:r>
            <w:r>
              <w:rPr>
                <w:rFonts w:hint="eastAsia" w:ascii="Times New Roman" w:hAnsi="Times New Roman" w:cs="Times New Roman"/>
                <w:b/>
                <w:bCs/>
                <w:color w:val="000000"/>
                <w:sz w:val="24"/>
                <w:szCs w:val="24"/>
                <w:highlight w:val="none"/>
                <w:lang w:val="en-US" w:eastAsia="zh-CN"/>
              </w:rPr>
              <w:t>噪声声源</w:t>
            </w:r>
          </w:p>
          <w:p w14:paraId="153F7802">
            <w:pPr>
              <w:keepNext w:val="0"/>
              <w:keepLines w:val="0"/>
              <w:widowControl w:val="0"/>
              <w:suppressLineNumbers w:val="0"/>
              <w:overflowPunct w:val="0"/>
              <w:spacing w:before="0" w:beforeAutospacing="0" w:after="0" w:afterAutospacing="0" w:line="360" w:lineRule="auto"/>
              <w:ind w:left="0" w:right="0" w:firstLine="480" w:firstLineChars="200"/>
              <w:jc w:val="both"/>
              <w:rPr>
                <w:rFonts w:hint="eastAsia" w:ascii="Times New Roman" w:hAnsi="Times New Roman" w:cs="Times New Roman"/>
                <w:color w:val="000000"/>
                <w:szCs w:val="22"/>
                <w:highlight w:val="none"/>
                <w:lang w:val="en-US" w:eastAsia="zh-CN" w:bidi="ar-SA"/>
              </w:rPr>
            </w:pPr>
            <w:r>
              <w:rPr>
                <w:rFonts w:hint="default" w:ascii="Times New Roman" w:hAnsi="Times New Roman" w:cs="Times New Roman"/>
                <w:color w:val="000000"/>
                <w:sz w:val="24"/>
                <w:szCs w:val="24"/>
                <w:highlight w:val="none"/>
                <w:lang w:val="en-US" w:eastAsia="zh-CN"/>
              </w:rPr>
              <w:t>本项目噪声源主要为搅拌机、</w:t>
            </w:r>
            <w:r>
              <w:rPr>
                <w:rFonts w:hint="eastAsia" w:ascii="Times New Roman" w:hAnsi="Times New Roman" w:cs="Times New Roman"/>
                <w:color w:val="000000"/>
                <w:sz w:val="24"/>
                <w:szCs w:val="24"/>
                <w:highlight w:val="none"/>
                <w:lang w:val="en-US" w:eastAsia="zh-CN"/>
              </w:rPr>
              <w:t>弯曲机、切断机</w:t>
            </w:r>
            <w:r>
              <w:rPr>
                <w:rFonts w:hint="default" w:ascii="Times New Roman" w:hAnsi="Times New Roman" w:cs="Times New Roman"/>
                <w:color w:val="000000"/>
                <w:sz w:val="24"/>
                <w:szCs w:val="24"/>
                <w:highlight w:val="none"/>
                <w:lang w:val="en-US" w:eastAsia="zh-CN"/>
              </w:rPr>
              <w:t>等，其声源值大约为</w:t>
            </w:r>
            <w:r>
              <w:rPr>
                <w:rFonts w:hint="eastAsia" w:ascii="Times New Roman" w:hAnsi="Times New Roman" w:cs="Times New Roman"/>
                <w:color w:val="000000"/>
                <w:sz w:val="24"/>
                <w:szCs w:val="24"/>
                <w:highlight w:val="none"/>
                <w:lang w:val="en-US" w:eastAsia="zh-CN"/>
              </w:rPr>
              <w:t>6</w:t>
            </w:r>
            <w:r>
              <w:rPr>
                <w:rFonts w:hint="default" w:ascii="Times New Roman" w:hAnsi="Times New Roman" w:cs="Times New Roman"/>
                <w:color w:val="000000"/>
                <w:sz w:val="24"/>
                <w:szCs w:val="24"/>
                <w:highlight w:val="none"/>
                <w:lang w:val="en-US" w:eastAsia="zh-CN"/>
              </w:rPr>
              <w:t>0~90dB</w:t>
            </w:r>
            <w:r>
              <w:rPr>
                <w:rFonts w:hint="eastAsia" w:ascii="Times New Roman" w:hAnsi="Times New Roman" w:cs="Times New Roman"/>
                <w:color w:val="000000"/>
                <w:sz w:val="24"/>
                <w:szCs w:val="24"/>
                <w:highlight w:val="none"/>
                <w:lang w:val="en-US" w:eastAsia="zh-CN"/>
              </w:rPr>
              <w:t>（</w:t>
            </w:r>
            <w:r>
              <w:rPr>
                <w:rFonts w:hint="default" w:ascii="Times New Roman" w:hAnsi="Times New Roman" w:cs="Times New Roman"/>
                <w:color w:val="000000"/>
                <w:sz w:val="24"/>
                <w:szCs w:val="24"/>
                <w:highlight w:val="none"/>
                <w:lang w:val="en-US" w:eastAsia="zh-CN"/>
              </w:rPr>
              <w:t>A</w:t>
            </w:r>
            <w:r>
              <w:rPr>
                <w:rFonts w:hint="eastAsia" w:ascii="Times New Roman" w:hAnsi="Times New Roman" w:cs="Times New Roman"/>
                <w:color w:val="000000"/>
                <w:sz w:val="24"/>
                <w:szCs w:val="24"/>
                <w:highlight w:val="none"/>
                <w:lang w:val="en-US" w:eastAsia="zh-CN"/>
              </w:rPr>
              <w:t>）</w:t>
            </w:r>
            <w:r>
              <w:rPr>
                <w:rFonts w:hint="default" w:ascii="Times New Roman" w:hAnsi="Times New Roman" w:cs="Times New Roman"/>
                <w:color w:val="000000"/>
                <w:sz w:val="24"/>
                <w:szCs w:val="24"/>
                <w:highlight w:val="none"/>
                <w:lang w:val="en-US" w:eastAsia="zh-CN"/>
              </w:rPr>
              <w:t>，采取的噪声污染防治措施主要有</w:t>
            </w:r>
            <w:r>
              <w:rPr>
                <w:rFonts w:hint="eastAsia" w:ascii="Times New Roman" w:hAnsi="Times New Roman" w:cs="Times New Roman"/>
                <w:color w:val="000000"/>
                <w:sz w:val="24"/>
                <w:szCs w:val="24"/>
                <w:highlight w:val="none"/>
                <w:lang w:val="en-US" w:eastAsia="zh-CN"/>
              </w:rPr>
              <w:t>：</w:t>
            </w:r>
            <w:r>
              <w:rPr>
                <w:rFonts w:hint="default" w:ascii="Times New Roman" w:hAnsi="Times New Roman" w:cs="Times New Roman"/>
                <w:color w:val="000000"/>
                <w:sz w:val="24"/>
                <w:szCs w:val="24"/>
                <w:highlight w:val="none"/>
                <w:lang w:val="en-US" w:eastAsia="zh-CN"/>
              </w:rPr>
              <w:t>设计设备选型采用优质低噪设备</w:t>
            </w:r>
            <w:r>
              <w:rPr>
                <w:rFonts w:hint="eastAsia" w:ascii="Times New Roman" w:hAnsi="Times New Roman" w:cs="Times New Roman"/>
                <w:color w:val="000000"/>
                <w:sz w:val="24"/>
                <w:szCs w:val="24"/>
                <w:highlight w:val="none"/>
                <w:lang w:val="en-US" w:eastAsia="zh-CN"/>
              </w:rPr>
              <w:t>，</w:t>
            </w:r>
            <w:r>
              <w:rPr>
                <w:rFonts w:hint="default" w:ascii="Times New Roman" w:hAnsi="Times New Roman" w:cs="Times New Roman"/>
                <w:color w:val="000000"/>
                <w:sz w:val="24"/>
                <w:szCs w:val="24"/>
                <w:highlight w:val="none"/>
                <w:lang w:val="en-US" w:eastAsia="zh-CN"/>
              </w:rPr>
              <w:t>对产噪设备采用减震基础、隔声的降噪措施。本项目机械设备噪声源强情况见下表</w:t>
            </w:r>
            <w:r>
              <w:rPr>
                <w:rFonts w:hint="eastAsia"/>
                <w:color w:val="000000"/>
                <w:kern w:val="0"/>
                <w:sz w:val="24"/>
                <w:highlight w:val="none"/>
                <w:lang w:val="en-US" w:eastAsia="zh-CN"/>
              </w:rPr>
              <w:t>4-13。</w:t>
            </w:r>
          </w:p>
          <w:p w14:paraId="2B5562A7">
            <w:pPr>
              <w:pStyle w:val="57"/>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outlineLvl w:val="9"/>
              <w:rPr>
                <w:rFonts w:hint="default" w:ascii="Times New Roman" w:hAnsi="Times New Roman" w:cs="Times New Roman"/>
                <w:b/>
                <w:bCs/>
                <w:color w:val="000000"/>
                <w:sz w:val="24"/>
                <w:szCs w:val="24"/>
                <w:highlight w:val="none"/>
                <w:lang w:val="en-US" w:eastAsia="zh-CN"/>
              </w:rPr>
            </w:pPr>
            <w:r>
              <w:rPr>
                <w:rFonts w:hint="default" w:ascii="Times New Roman" w:hAnsi="Times New Roman" w:cs="Times New Roman"/>
                <w:b/>
                <w:bCs/>
                <w:color w:val="000000"/>
                <w:sz w:val="24"/>
                <w:szCs w:val="24"/>
                <w:highlight w:val="none"/>
                <w:lang w:val="en-US" w:eastAsia="zh-CN"/>
              </w:rPr>
              <w:t>4.2.3.2</w:t>
            </w:r>
            <w:r>
              <w:rPr>
                <w:rFonts w:hint="default" w:ascii="Times New Roman" w:hAnsi="Times New Roman" w:cs="Times New Roman"/>
                <w:b/>
                <w:color w:val="000000"/>
                <w:sz w:val="24"/>
                <w:szCs w:val="24"/>
                <w:highlight w:val="none"/>
              </w:rPr>
              <w:t>噪声影响预测模式</w:t>
            </w:r>
          </w:p>
          <w:p w14:paraId="27BDA5CB">
            <w:pPr>
              <w:keepNext w:val="0"/>
              <w:keepLines w:val="0"/>
              <w:pageBreakBefore w:val="0"/>
              <w:widowControl w:val="0"/>
              <w:tabs>
                <w:tab w:val="left" w:pos="7350"/>
              </w:tabs>
              <w:kinsoku/>
              <w:wordWrap w:val="0"/>
              <w:overflowPunct/>
              <w:topLinePunct w:val="0"/>
              <w:autoSpaceDE/>
              <w:autoSpaceDN/>
              <w:bidi w:val="0"/>
              <w:adjustRightInd/>
              <w:snapToGrid/>
              <w:spacing w:line="360" w:lineRule="auto"/>
              <w:ind w:firstLine="482"/>
              <w:jc w:val="left"/>
              <w:textAlignment w:val="auto"/>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lang w:val="en-US" w:eastAsia="zh-CN"/>
              </w:rPr>
              <w:t>1</w:t>
            </w: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lang w:val="en-US" w:eastAsia="zh-CN"/>
              </w:rPr>
              <w:t>预测内容</w:t>
            </w:r>
          </w:p>
          <w:p w14:paraId="335735AF">
            <w:pPr>
              <w:keepNext w:val="0"/>
              <w:keepLines w:val="0"/>
              <w:pageBreakBefore w:val="0"/>
              <w:widowControl w:val="0"/>
              <w:tabs>
                <w:tab w:val="left" w:pos="7350"/>
              </w:tabs>
              <w:kinsoku/>
              <w:wordWrap w:val="0"/>
              <w:overflowPunct/>
              <w:topLinePunct w:val="0"/>
              <w:autoSpaceDE/>
              <w:autoSpaceDN/>
              <w:bidi w:val="0"/>
              <w:adjustRightInd/>
              <w:snapToGrid/>
              <w:spacing w:line="360" w:lineRule="auto"/>
              <w:ind w:firstLine="482"/>
              <w:jc w:val="left"/>
              <w:textAlignment w:val="auto"/>
              <w:rPr>
                <w:rFonts w:hint="eastAsia"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rPr>
              <w:t>本项目预测项目运行</w:t>
            </w:r>
            <w:r>
              <w:rPr>
                <w:rFonts w:hint="eastAsia" w:eastAsia="宋体" w:cs="Times New Roman"/>
                <w:color w:val="000000"/>
                <w:sz w:val="24"/>
                <w:szCs w:val="24"/>
                <w:highlight w:val="none"/>
                <w:lang w:val="en-US" w:eastAsia="zh-CN"/>
              </w:rPr>
              <w:t>期间</w:t>
            </w:r>
            <w:r>
              <w:rPr>
                <w:rFonts w:hint="default" w:ascii="Times New Roman" w:hAnsi="Times New Roman" w:eastAsia="宋体" w:cs="Times New Roman"/>
                <w:color w:val="000000"/>
                <w:sz w:val="24"/>
                <w:szCs w:val="24"/>
                <w:highlight w:val="none"/>
              </w:rPr>
              <w:t>对周围环境的噪声贡献值的预测结果。</w:t>
            </w:r>
          </w:p>
          <w:p w14:paraId="0917E642">
            <w:pPr>
              <w:keepNext w:val="0"/>
              <w:keepLines w:val="0"/>
              <w:pageBreakBefore w:val="0"/>
              <w:widowControl w:val="0"/>
              <w:kinsoku/>
              <w:wordWrap w:val="0"/>
              <w:overflowPunct/>
              <w:topLinePunct w:val="0"/>
              <w:autoSpaceDE/>
              <w:autoSpaceDN/>
              <w:bidi w:val="0"/>
              <w:adjustRightInd/>
              <w:snapToGrid/>
              <w:spacing w:line="360" w:lineRule="auto"/>
              <w:ind w:firstLine="482"/>
              <w:jc w:val="left"/>
              <w:textAlignment w:val="auto"/>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lang w:val="en-US" w:eastAsia="zh-CN"/>
              </w:rPr>
              <w:t>2</w:t>
            </w: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lang w:val="en-US" w:eastAsia="zh-CN"/>
              </w:rPr>
              <w:t>预测模式</w:t>
            </w:r>
          </w:p>
          <w:p w14:paraId="7CED72F7">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根据《环境影响评价技术导则声环境》“在声环境影响评价中，声源中心到预测点之间的距离超过声源最大几何尺寸2倍时，可将该声源近似为点声源”，根据本项目平面布置图，本项目可按照点声源进行计算。</w:t>
            </w:r>
          </w:p>
          <w:p w14:paraId="2435EFDF">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w:t>
            </w:r>
            <w:r>
              <w:rPr>
                <w:rFonts w:hint="eastAsia" w:ascii="Times New Roman" w:hAnsi="Times New Roman" w:eastAsia="宋体" w:cs="Times New Roman"/>
                <w:color w:val="000000"/>
                <w:sz w:val="24"/>
                <w:szCs w:val="24"/>
                <w:highlight w:val="none"/>
                <w:lang w:val="en-US" w:eastAsia="zh-CN"/>
              </w:rPr>
              <w:t>3</w:t>
            </w:r>
            <w:r>
              <w:rPr>
                <w:rFonts w:hint="default" w:ascii="Times New Roman" w:hAnsi="Times New Roman" w:eastAsia="宋体" w:cs="Times New Roman"/>
                <w:color w:val="000000"/>
                <w:sz w:val="24"/>
                <w:szCs w:val="24"/>
                <w:highlight w:val="none"/>
                <w:lang w:val="en-US" w:eastAsia="zh-CN"/>
              </w:rPr>
              <w:t>）预测结果与评价</w:t>
            </w:r>
          </w:p>
          <w:p w14:paraId="35C8C369">
            <w:pPr>
              <w:keepNext w:val="0"/>
              <w:pageBreakBefore w:val="0"/>
              <w:kinsoku/>
              <w:wordWrap/>
              <w:overflowPunct/>
              <w:bidi w:val="0"/>
              <w:adjustRightInd/>
              <w:snapToGrid/>
              <w:spacing w:line="360" w:lineRule="auto"/>
              <w:ind w:firstLine="484" w:firstLineChars="202"/>
              <w:rPr>
                <w:rFonts w:hint="default" w:ascii="Times New Roman" w:hAnsi="Times New Roman" w:eastAsia="宋体" w:cs="Times New Roman"/>
                <w:color w:val="000000"/>
                <w:kern w:val="2"/>
                <w:sz w:val="24"/>
                <w:szCs w:val="24"/>
                <w:highlight w:val="none"/>
              </w:rPr>
            </w:pPr>
            <w:r>
              <w:rPr>
                <w:rFonts w:hint="default" w:ascii="Times New Roman" w:hAnsi="Times New Roman" w:eastAsia="宋体" w:cs="Times New Roman"/>
                <w:color w:val="000000"/>
                <w:sz w:val="24"/>
                <w:szCs w:val="24"/>
                <w:highlight w:val="none"/>
                <w:lang w:val="en-US" w:eastAsia="zh-CN"/>
              </w:rPr>
              <w:t>利用以上预测公式，应用过程中根据具体情况</w:t>
            </w:r>
            <w:r>
              <w:rPr>
                <w:rFonts w:hint="eastAsia" w:ascii="Times New Roman" w:hAnsi="Times New Roman" w:eastAsia="宋体" w:cs="Times New Roman"/>
                <w:color w:val="000000"/>
                <w:sz w:val="24"/>
                <w:szCs w:val="24"/>
                <w:highlight w:val="none"/>
                <w:lang w:val="en-US" w:eastAsia="zh-CN"/>
              </w:rPr>
              <w:t>做必要</w:t>
            </w:r>
            <w:r>
              <w:rPr>
                <w:rFonts w:hint="default" w:ascii="Times New Roman" w:hAnsi="Times New Roman" w:eastAsia="宋体" w:cs="Times New Roman"/>
                <w:color w:val="000000"/>
                <w:sz w:val="24"/>
                <w:szCs w:val="24"/>
                <w:highlight w:val="none"/>
                <w:lang w:val="en-US" w:eastAsia="zh-CN"/>
              </w:rPr>
              <w:t>简化，使室内噪声源通过等效变换成若干等效室外声源，计算过程噪声源取最大值，降噪效果取最小值，然后计算出与噪声源不同距离处的理论噪声值</w:t>
            </w:r>
            <w:r>
              <w:rPr>
                <w:rFonts w:hint="eastAsia" w:ascii="Times New Roman" w:hAnsi="Times New Roman" w:eastAsia="宋体"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得出本项目运行时对厂界噪声环境的影响状况。</w:t>
            </w:r>
            <w:r>
              <w:rPr>
                <w:rFonts w:hint="default" w:ascii="Times New Roman" w:hAnsi="Times New Roman" w:cs="Times New Roman"/>
                <w:color w:val="000000"/>
                <w:sz w:val="24"/>
                <w:szCs w:val="24"/>
                <w:highlight w:val="none"/>
                <w:lang w:val="en-US" w:eastAsia="zh-CN"/>
              </w:rPr>
              <w:t>本项目噪声源距离厂界的距离见</w:t>
            </w:r>
            <w:r>
              <w:rPr>
                <w:rFonts w:hint="default" w:ascii="Times New Roman" w:hAnsi="Times New Roman" w:cs="Times New Roman"/>
                <w:color w:val="000000"/>
                <w:sz w:val="24"/>
                <w:szCs w:val="24"/>
                <w:highlight w:val="none"/>
              </w:rPr>
              <w:t>表4</w:t>
            </w:r>
            <w:r>
              <w:rPr>
                <w:rFonts w:hint="default" w:ascii="Times New Roman" w:hAnsi="Times New Roman" w:cs="Times New Roman"/>
                <w:color w:val="000000"/>
                <w:sz w:val="24"/>
                <w:szCs w:val="24"/>
                <w:highlight w:val="none"/>
                <w:lang w:val="en-US" w:eastAsia="zh-CN"/>
              </w:rPr>
              <w:t>-1</w:t>
            </w:r>
            <w:r>
              <w:rPr>
                <w:rFonts w:hint="eastAsia" w:cs="Times New Roman"/>
                <w:color w:val="000000"/>
                <w:sz w:val="24"/>
                <w:szCs w:val="24"/>
                <w:highlight w:val="none"/>
                <w:lang w:val="en-US" w:eastAsia="zh-CN"/>
              </w:rPr>
              <w:t>4</w:t>
            </w:r>
            <w:r>
              <w:rPr>
                <w:rFonts w:hint="eastAsia" w:ascii="Times New Roman" w:hAnsi="Times New Roman" w:cs="Times New Roman"/>
                <w:color w:val="000000"/>
                <w:sz w:val="24"/>
                <w:szCs w:val="24"/>
                <w:highlight w:val="none"/>
                <w:lang w:val="en-US" w:eastAsia="zh-CN"/>
              </w:rPr>
              <w:t>。</w:t>
            </w:r>
          </w:p>
          <w:p w14:paraId="11159C5A">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0" w:firstLineChars="200"/>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lang w:eastAsia="zh-CN"/>
              </w:rPr>
              <w:t>本项目</w:t>
            </w:r>
            <w:r>
              <w:rPr>
                <w:rFonts w:hint="eastAsia" w:ascii="Times New Roman" w:hAnsi="Times New Roman" w:eastAsia="宋体" w:cs="Times New Roman"/>
                <w:color w:val="000000"/>
                <w:sz w:val="24"/>
                <w:szCs w:val="24"/>
                <w:highlight w:val="none"/>
                <w:lang w:val="en-US" w:eastAsia="zh-CN"/>
              </w:rPr>
              <w:t>仅昼间</w:t>
            </w:r>
            <w:r>
              <w:rPr>
                <w:rFonts w:hint="default" w:ascii="Times New Roman" w:hAnsi="Times New Roman" w:eastAsia="宋体" w:cs="Times New Roman"/>
                <w:color w:val="000000"/>
                <w:sz w:val="24"/>
                <w:szCs w:val="24"/>
                <w:highlight w:val="none"/>
                <w:lang w:eastAsia="zh-CN"/>
              </w:rPr>
              <w:t>生产，</w:t>
            </w:r>
            <w:r>
              <w:rPr>
                <w:rFonts w:hint="eastAsia" w:ascii="Times New Roman" w:hAnsi="Times New Roman" w:eastAsia="宋体" w:cs="Times New Roman"/>
                <w:color w:val="000000"/>
                <w:sz w:val="24"/>
                <w:szCs w:val="24"/>
                <w:highlight w:val="none"/>
                <w:lang w:val="en-US" w:eastAsia="zh-CN"/>
              </w:rPr>
              <w:t>夜间不进行作业。</w:t>
            </w:r>
            <w:r>
              <w:rPr>
                <w:rFonts w:hint="default" w:ascii="Times New Roman" w:hAnsi="Times New Roman" w:eastAsia="宋体" w:cs="Times New Roman"/>
                <w:color w:val="000000"/>
                <w:sz w:val="24"/>
                <w:szCs w:val="24"/>
                <w:highlight w:val="none"/>
                <w:lang w:eastAsia="zh-CN"/>
              </w:rPr>
              <w:t>通过上表厂界噪声预测值</w:t>
            </w:r>
            <w:r>
              <w:rPr>
                <w:rFonts w:hint="default" w:ascii="Times New Roman" w:hAnsi="Times New Roman" w:eastAsia="宋体" w:cs="Times New Roman"/>
                <w:color w:val="000000"/>
                <w:sz w:val="24"/>
                <w:szCs w:val="24"/>
                <w:highlight w:val="none"/>
              </w:rPr>
              <w:t>可知，本项目运行期噪声经距离衰减后到达厂界四周贡献值均满足《工业企业厂界环境噪声排放标准》中2类标准。敏感点</w:t>
            </w:r>
            <w:r>
              <w:rPr>
                <w:rFonts w:hint="eastAsia" w:ascii="Times New Roman" w:hAnsi="Times New Roman" w:eastAsia="宋体" w:cs="Times New Roman"/>
                <w:color w:val="000000"/>
                <w:sz w:val="24"/>
                <w:szCs w:val="24"/>
                <w:highlight w:val="none"/>
                <w:lang w:val="en-US" w:eastAsia="zh-CN"/>
              </w:rPr>
              <w:t>居民区</w:t>
            </w:r>
            <w:r>
              <w:rPr>
                <w:rFonts w:hint="default" w:ascii="Times New Roman" w:hAnsi="Times New Roman" w:eastAsia="宋体" w:cs="Times New Roman"/>
                <w:color w:val="000000"/>
                <w:sz w:val="24"/>
                <w:szCs w:val="24"/>
                <w:highlight w:val="none"/>
              </w:rPr>
              <w:t>叠加本底值后</w:t>
            </w:r>
            <w:r>
              <w:rPr>
                <w:rFonts w:hint="eastAsia" w:ascii="Times New Roman" w:hAnsi="Times New Roman" w:eastAsia="宋体" w:cs="Times New Roman"/>
                <w:color w:val="000000"/>
                <w:sz w:val="24"/>
                <w:szCs w:val="24"/>
                <w:highlight w:val="none"/>
                <w:lang w:eastAsia="zh-CN"/>
              </w:rPr>
              <w:t>的</w:t>
            </w:r>
            <w:r>
              <w:rPr>
                <w:rFonts w:hint="default" w:ascii="Times New Roman" w:hAnsi="Times New Roman" w:eastAsia="宋体" w:cs="Times New Roman"/>
                <w:color w:val="000000"/>
                <w:sz w:val="24"/>
                <w:szCs w:val="24"/>
                <w:highlight w:val="none"/>
              </w:rPr>
              <w:t>噪声值可以满足《声环境质量标准》中2类区标准。</w:t>
            </w:r>
          </w:p>
          <w:p w14:paraId="765BDB01">
            <w:pPr>
              <w:pStyle w:val="57"/>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outlineLvl w:val="9"/>
              <w:rPr>
                <w:rFonts w:hint="default" w:ascii="Times New Roman" w:hAnsi="Times New Roman" w:cs="Times New Roman"/>
                <w:b/>
                <w:bCs/>
                <w:color w:val="000000"/>
                <w:sz w:val="24"/>
                <w:szCs w:val="24"/>
                <w:highlight w:val="none"/>
                <w:lang w:val="en-US" w:eastAsia="zh-CN"/>
              </w:rPr>
            </w:pPr>
            <w:r>
              <w:rPr>
                <w:rFonts w:hint="eastAsia" w:ascii="Times New Roman" w:hAnsi="Times New Roman" w:cs="Times New Roman"/>
                <w:b/>
                <w:bCs/>
                <w:color w:val="000000"/>
                <w:sz w:val="24"/>
                <w:szCs w:val="24"/>
                <w:highlight w:val="none"/>
                <w:lang w:val="en-US" w:eastAsia="zh-CN"/>
              </w:rPr>
              <w:t>4.2.3.3污染防治措施</w:t>
            </w:r>
          </w:p>
          <w:p w14:paraId="51C2606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napToGrid w:val="0"/>
                <w:color w:val="000000"/>
                <w:sz w:val="24"/>
                <w:szCs w:val="24"/>
                <w:highlight w:val="none"/>
                <w:lang w:val="en-US" w:eastAsia="zh-CN"/>
              </w:rPr>
            </w:pPr>
            <w:r>
              <w:rPr>
                <w:rFonts w:hint="default" w:ascii="Times New Roman" w:hAnsi="Times New Roman" w:eastAsia="宋体" w:cs="Times New Roman"/>
                <w:snapToGrid w:val="0"/>
                <w:color w:val="000000"/>
                <w:sz w:val="24"/>
                <w:szCs w:val="24"/>
                <w:highlight w:val="none"/>
                <w:lang w:val="en-US" w:eastAsia="zh-CN"/>
              </w:rPr>
              <w:t>为有效降低噪声，建议企业采取以下减缓措施：</w:t>
            </w:r>
          </w:p>
          <w:p w14:paraId="2301281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napToGrid w:val="0"/>
                <w:color w:val="000000"/>
                <w:sz w:val="24"/>
                <w:szCs w:val="24"/>
                <w:highlight w:val="none"/>
                <w:lang w:val="en-US" w:eastAsia="zh-CN"/>
              </w:rPr>
            </w:pPr>
            <w:r>
              <w:rPr>
                <w:rFonts w:hint="default" w:ascii="Times New Roman" w:hAnsi="Times New Roman" w:eastAsia="宋体" w:cs="Times New Roman"/>
                <w:snapToGrid w:val="0"/>
                <w:color w:val="000000"/>
                <w:sz w:val="24"/>
                <w:szCs w:val="24"/>
                <w:highlight w:val="none"/>
                <w:lang w:val="en-US" w:eastAsia="zh-CN"/>
              </w:rPr>
              <w:t>①加强管理，建立设备定期维护，保养的管理制度，以防止设备故障形成的非正常生产噪声，同时确保环保措施发挥最佳有效的功能；加强职工环保意识教育，提倡文明生产，防止人为噪声；强化行车管理制度，设置降噪标准，严禁鸣号，进入厂区低速行驶，最大限度减少流动噪声源。</w:t>
            </w:r>
          </w:p>
          <w:p w14:paraId="5213F12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napToGrid w:val="0"/>
                <w:color w:val="000000"/>
                <w:sz w:val="24"/>
                <w:szCs w:val="24"/>
                <w:highlight w:val="none"/>
                <w:lang w:val="en-US" w:eastAsia="zh-CN"/>
              </w:rPr>
            </w:pPr>
            <w:r>
              <w:rPr>
                <w:rFonts w:hint="default" w:ascii="Times New Roman" w:hAnsi="Times New Roman" w:eastAsia="宋体" w:cs="Times New Roman"/>
                <w:snapToGrid w:val="0"/>
                <w:color w:val="000000"/>
                <w:sz w:val="24"/>
                <w:szCs w:val="24"/>
                <w:highlight w:val="none"/>
                <w:lang w:val="en-US" w:eastAsia="zh-CN"/>
              </w:rPr>
              <w:t>②选型上使用国内先进的低噪声设备，安装时采取台基减振、橡胶减震接头及减震垫等措施。</w:t>
            </w:r>
          </w:p>
          <w:p w14:paraId="5A490D4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napToGrid w:val="0"/>
                <w:color w:val="000000"/>
                <w:sz w:val="24"/>
                <w:szCs w:val="24"/>
                <w:highlight w:val="none"/>
                <w:lang w:eastAsia="zh-CN"/>
              </w:rPr>
            </w:pPr>
            <w:r>
              <w:rPr>
                <w:rFonts w:hint="default" w:ascii="Times New Roman" w:hAnsi="Times New Roman" w:eastAsia="宋体" w:cs="Times New Roman"/>
                <w:snapToGrid w:val="0"/>
                <w:color w:val="000000"/>
                <w:sz w:val="24"/>
                <w:szCs w:val="24"/>
                <w:highlight w:val="none"/>
                <w:lang w:val="en-US" w:eastAsia="zh-CN"/>
              </w:rPr>
              <w:t>综上所述，通过采取上述措施后运营期噪声能满足《工业企业厂界环境噪声排放标准》中的2类标准限值。</w:t>
            </w:r>
          </w:p>
          <w:p w14:paraId="06149125">
            <w:pPr>
              <w:pStyle w:val="57"/>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cs="Times New Roman"/>
                <w:b/>
                <w:bCs/>
                <w:color w:val="000000"/>
                <w:sz w:val="24"/>
                <w:szCs w:val="24"/>
                <w:lang w:val="en-US" w:eastAsia="zh-CN"/>
              </w:rPr>
            </w:pPr>
            <w:r>
              <w:rPr>
                <w:rFonts w:hint="eastAsia" w:ascii="Times New Roman" w:hAnsi="Times New Roman" w:cs="Times New Roman"/>
                <w:b/>
                <w:bCs/>
                <w:color w:val="000000"/>
                <w:sz w:val="24"/>
                <w:szCs w:val="24"/>
                <w:lang w:val="en-US" w:eastAsia="zh-CN"/>
              </w:rPr>
              <w:t>4.2.3.4监测要求</w:t>
            </w:r>
          </w:p>
          <w:p w14:paraId="2FFFAC8C">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000000"/>
                <w:kern w:val="2"/>
                <w:sz w:val="24"/>
                <w:szCs w:val="24"/>
                <w:lang w:val="en-US"/>
              </w:rPr>
            </w:pPr>
            <w:r>
              <w:rPr>
                <w:rFonts w:hint="default" w:ascii="Times New Roman" w:hAnsi="Times New Roman" w:eastAsia="宋体" w:cs="Times New Roman"/>
                <w:color w:val="000000"/>
                <w:kern w:val="2"/>
                <w:sz w:val="24"/>
                <w:szCs w:val="24"/>
                <w:lang w:val="en-US"/>
              </w:rPr>
              <w:t>根据《排污单位自行监测技术指南 总则》</w:t>
            </w:r>
            <w:r>
              <w:rPr>
                <w:rFonts w:hint="eastAsia" w:ascii="Times New Roman" w:hAnsi="Times New Roman" w:eastAsia="宋体" w:cs="Times New Roman"/>
                <w:color w:val="000000"/>
                <w:kern w:val="2"/>
                <w:sz w:val="24"/>
                <w:szCs w:val="24"/>
                <w:lang w:val="en-US" w:eastAsia="zh-CN"/>
              </w:rPr>
              <w:t>等</w:t>
            </w:r>
            <w:r>
              <w:rPr>
                <w:rFonts w:hint="default" w:ascii="Times New Roman" w:hAnsi="Times New Roman" w:eastAsia="宋体" w:cs="Times New Roman"/>
                <w:color w:val="000000"/>
                <w:kern w:val="2"/>
                <w:sz w:val="24"/>
                <w:szCs w:val="24"/>
                <w:lang w:val="en-US"/>
              </w:rPr>
              <w:t>相关要求，本项目噪声监测方案见表</w:t>
            </w:r>
            <w:r>
              <w:rPr>
                <w:rFonts w:hint="eastAsia" w:cs="Times New Roman"/>
                <w:color w:val="000000"/>
                <w:kern w:val="2"/>
                <w:sz w:val="24"/>
                <w:szCs w:val="24"/>
                <w:lang w:val="en-US" w:eastAsia="zh-CN"/>
              </w:rPr>
              <w:t>4-15</w:t>
            </w:r>
            <w:r>
              <w:rPr>
                <w:rFonts w:hint="default" w:ascii="Times New Roman" w:hAnsi="Times New Roman" w:eastAsia="宋体" w:cs="Times New Roman"/>
                <w:color w:val="000000"/>
                <w:kern w:val="2"/>
                <w:sz w:val="24"/>
                <w:szCs w:val="24"/>
                <w:lang w:val="en-US"/>
              </w:rPr>
              <w:t>。</w:t>
            </w:r>
          </w:p>
          <w:p w14:paraId="3CB13A9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cs="Times New Roman"/>
                <w:b/>
                <w:color w:val="000000"/>
                <w:sz w:val="24"/>
                <w:szCs w:val="24"/>
                <w:lang w:val="en-US" w:eastAsia="zh-CN"/>
              </w:rPr>
            </w:pPr>
            <w:r>
              <w:rPr>
                <w:rFonts w:hint="eastAsia" w:ascii="Times New Roman" w:hAnsi="Times New Roman" w:cs="Times New Roman"/>
                <w:b/>
                <w:color w:val="000000"/>
                <w:sz w:val="24"/>
                <w:szCs w:val="24"/>
                <w:lang w:val="en-US" w:eastAsia="zh-CN"/>
              </w:rPr>
              <w:t>4.2.4 运营期固体废物环境影响和保护措施</w:t>
            </w:r>
          </w:p>
          <w:p w14:paraId="0D5A9CCA">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60" w:lineRule="auto"/>
              <w:ind w:left="0" w:leftChars="0" w:right="0" w:rightChars="0" w:firstLine="480" w:firstLineChars="200"/>
              <w:jc w:val="both"/>
              <w:textAlignment w:val="baseline"/>
              <w:rPr>
                <w:rFonts w:hint="eastAsia"/>
                <w:color w:val="000000"/>
                <w:lang w:val="en-US" w:eastAsia="zh-CN"/>
              </w:rPr>
            </w:pPr>
            <w:r>
              <w:rPr>
                <w:rFonts w:hint="eastAsia"/>
                <w:color w:val="000000"/>
                <w:lang w:val="en-US" w:eastAsia="zh-CN"/>
              </w:rPr>
              <w:t>本项目固体废物主要为生产过程中产生的沉淀池底泥、除尘灰、废角料、不合格品</w:t>
            </w:r>
            <w:r>
              <w:rPr>
                <w:rFonts w:hint="eastAsia" w:ascii="Times New Roman" w:hAnsi="Times New Roman" w:eastAsia="宋体" w:cs="Times New Roman"/>
                <w:color w:val="000000"/>
                <w:sz w:val="24"/>
                <w:szCs w:val="24"/>
                <w:highlight w:val="none"/>
                <w:lang w:val="en-US" w:eastAsia="zh-CN"/>
              </w:rPr>
              <w:t>、危险废物</w:t>
            </w:r>
            <w:r>
              <w:rPr>
                <w:rFonts w:hint="eastAsia"/>
                <w:color w:val="000000"/>
                <w:lang w:val="en-US" w:eastAsia="zh-CN"/>
              </w:rPr>
              <w:t>以及职工生活垃圾。</w:t>
            </w:r>
          </w:p>
          <w:p w14:paraId="3A2E0607">
            <w:pPr>
              <w:pStyle w:val="25"/>
              <w:numPr>
                <w:ilvl w:val="0"/>
                <w:numId w:val="0"/>
              </w:numPr>
              <w:tabs>
                <w:tab w:val="left" w:pos="0"/>
              </w:tabs>
              <w:adjustRightInd w:val="0"/>
              <w:snapToGrid w:val="0"/>
              <w:spacing w:before="0" w:beforeAutospacing="0" w:after="0" w:afterAutospacing="0" w:line="360" w:lineRule="auto"/>
              <w:ind w:leftChars="0"/>
              <w:outlineLvl w:val="0"/>
              <w:rPr>
                <w:rFonts w:hint="default" w:ascii="Times New Roman" w:hAnsi="Times New Roman" w:eastAsia="宋体" w:cs="Times New Roman"/>
                <w:b/>
                <w:bCs/>
                <w:color w:val="000000"/>
                <w:szCs w:val="24"/>
                <w:highlight w:val="none"/>
                <w:lang w:val="en-US" w:eastAsia="zh-CN"/>
              </w:rPr>
            </w:pPr>
            <w:r>
              <w:rPr>
                <w:rFonts w:hint="eastAsia" w:ascii="Times New Roman" w:hAnsi="Times New Roman" w:eastAsia="宋体" w:cs="Times New Roman"/>
                <w:b/>
                <w:bCs/>
                <w:color w:val="000000"/>
                <w:szCs w:val="24"/>
                <w:highlight w:val="none"/>
                <w:lang w:val="en-US" w:eastAsia="zh-CN"/>
              </w:rPr>
              <w:t>4.2.4.</w:t>
            </w:r>
            <w:r>
              <w:rPr>
                <w:rFonts w:hint="eastAsia" w:ascii="Times New Roman" w:hAnsi="Times New Roman" w:cs="Times New Roman"/>
                <w:b/>
                <w:bCs/>
                <w:color w:val="000000"/>
                <w:szCs w:val="24"/>
                <w:highlight w:val="none"/>
                <w:lang w:val="en-US" w:eastAsia="zh-CN"/>
              </w:rPr>
              <w:t>2</w:t>
            </w:r>
            <w:r>
              <w:rPr>
                <w:rFonts w:hint="eastAsia" w:ascii="Times New Roman" w:hAnsi="Times New Roman" w:eastAsia="宋体" w:cs="Times New Roman"/>
                <w:b/>
                <w:bCs/>
                <w:color w:val="000000"/>
                <w:szCs w:val="24"/>
                <w:highlight w:val="none"/>
                <w:lang w:val="en-US" w:eastAsia="zh-CN"/>
              </w:rPr>
              <w:t>一般固废</w:t>
            </w:r>
            <w:r>
              <w:rPr>
                <w:rFonts w:hint="default" w:ascii="Times New Roman" w:hAnsi="Times New Roman" w:eastAsia="宋体" w:cs="Times New Roman"/>
                <w:b/>
                <w:bCs/>
                <w:color w:val="000000"/>
                <w:szCs w:val="24"/>
                <w:highlight w:val="none"/>
                <w:lang w:val="en-US" w:eastAsia="zh-CN"/>
              </w:rPr>
              <w:t>管理要求</w:t>
            </w:r>
          </w:p>
          <w:p w14:paraId="05D05867">
            <w:pPr>
              <w:pStyle w:val="1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right="0" w:firstLine="480" w:firstLineChars="200"/>
              <w:jc w:val="both"/>
              <w:textAlignment w:val="auto"/>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①建设单位应当采取措施，防止或者减少固体废物对环境的污染，对所造成的环境污染依法承担责任。</w:t>
            </w:r>
          </w:p>
          <w:p w14:paraId="2F4B44D4">
            <w:pPr>
              <w:pStyle w:val="1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right="0" w:firstLine="480" w:firstLineChars="200"/>
              <w:jc w:val="both"/>
              <w:textAlignment w:val="auto"/>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②建设单位应采取防扬散、防流失、防渗漏或者其他防止污染环境的措施，不得擅自倾倒、堆放、丢弃、遗撒固体废物。禁止向江河、湖泊、运河、渠道、水库及其最高水位线以下的滩地和岸坡以及法律法规规定的其他地点倾倒、堆放、贮存固体废物。</w:t>
            </w:r>
          </w:p>
          <w:p w14:paraId="500E7F6B">
            <w:pPr>
              <w:pStyle w:val="1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right="0" w:firstLine="480" w:firstLineChars="200"/>
              <w:jc w:val="both"/>
              <w:textAlignment w:val="auto"/>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③建设单位应当建立健全工业固体废物产生、收集、贮存、运输、利用、处置全过程的污染环境防治责任制度。</w:t>
            </w:r>
          </w:p>
          <w:p w14:paraId="1CF5B816">
            <w:pPr>
              <w:pStyle w:val="1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right="0" w:firstLine="480" w:firstLineChars="200"/>
              <w:jc w:val="both"/>
              <w:textAlignment w:val="auto"/>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④建设单位应当按照《一般工业固体废物管理台账制定指南（试行）》中的相关要求，建立工业固体废物管理台账，如实记录产生工业固体废物的种类、数量、流向、贮存、利用、处置等信息，实现工业固体废物可追溯、可查询，并采取防治工业固体废物污染环境的措施。禁止向生活垃圾收集设施中投放工业固体废物。</w:t>
            </w:r>
          </w:p>
          <w:p w14:paraId="213C5DAB">
            <w:pPr>
              <w:pStyle w:val="1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right="0" w:firstLine="480" w:firstLineChars="200"/>
              <w:jc w:val="both"/>
              <w:textAlignment w:val="auto"/>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⑤建设单位对一般固体废物台账记录信息的真实性、完整性和规范性负责。</w:t>
            </w:r>
          </w:p>
          <w:p w14:paraId="541056C1">
            <w:pPr>
              <w:pStyle w:val="1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right="0" w:firstLine="480" w:firstLineChars="200"/>
              <w:jc w:val="both"/>
              <w:textAlignment w:val="auto"/>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⑥建设单位应指定专人负责台账的管理与归档，一般工业固体废物管理台账保存期限不少于5年。</w:t>
            </w:r>
          </w:p>
          <w:p w14:paraId="3AF8ACFE">
            <w:pPr>
              <w:pStyle w:val="1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right="0" w:firstLine="480" w:firstLineChars="200"/>
              <w:jc w:val="both"/>
              <w:textAlignment w:val="auto"/>
              <w:rPr>
                <w:rFonts w:hint="default" w:ascii="Times New Roman" w:hAnsi="Times New Roman" w:eastAsia="宋体" w:cs="Times New Roman"/>
                <w:color w:val="000000"/>
                <w:sz w:val="24"/>
                <w:szCs w:val="24"/>
                <w:highlight w:val="none"/>
                <w:lang w:eastAsia="zh-CN"/>
              </w:rPr>
            </w:pPr>
            <w:r>
              <w:rPr>
                <w:rFonts w:hint="eastAsia" w:ascii="Times New Roman" w:hAnsi="Times New Roman" w:eastAsia="宋体" w:cs="Times New Roman"/>
                <w:b w:val="0"/>
                <w:bCs w:val="0"/>
                <w:color w:val="000000"/>
                <w:sz w:val="24"/>
                <w:szCs w:val="24"/>
                <w:highlight w:val="none"/>
                <w:lang w:val="en-US" w:eastAsia="zh-CN"/>
              </w:rPr>
              <w:t>⑦配套建设的固体废物污染环境防治设施，必须与主体工程同时设计、同时施工、同时投入使用。</w:t>
            </w:r>
          </w:p>
          <w:p w14:paraId="20C00F0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color w:val="000000"/>
                <w:sz w:val="24"/>
                <w:szCs w:val="24"/>
                <w:highlight w:val="none"/>
                <w:lang w:val="en-US" w:eastAsia="zh-CN"/>
              </w:rPr>
            </w:pPr>
            <w:r>
              <w:rPr>
                <w:rFonts w:hint="eastAsia" w:cs="Times New Roman"/>
                <w:b/>
                <w:bCs/>
                <w:color w:val="000000"/>
                <w:sz w:val="24"/>
                <w:szCs w:val="24"/>
                <w:highlight w:val="none"/>
                <w:lang w:val="en-US" w:eastAsia="zh-CN"/>
              </w:rPr>
              <w:t>4.2.5 运营期</w:t>
            </w:r>
            <w:r>
              <w:rPr>
                <w:rFonts w:hint="default" w:ascii="Times New Roman" w:hAnsi="Times New Roman" w:cs="Times New Roman"/>
                <w:b/>
                <w:bCs/>
                <w:color w:val="000000"/>
                <w:sz w:val="24"/>
                <w:szCs w:val="24"/>
                <w:highlight w:val="none"/>
                <w:lang w:val="en-US" w:eastAsia="zh-CN"/>
              </w:rPr>
              <w:t>地下水、土壤环境影响分析</w:t>
            </w:r>
          </w:p>
          <w:p w14:paraId="4773CB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sz w:val="24"/>
                <w:szCs w:val="24"/>
                <w:highlight w:val="none"/>
                <w:lang w:val="en-US" w:eastAsia="zh-CN"/>
              </w:rPr>
            </w:pPr>
            <w:bookmarkStart w:id="1" w:name="OLE_LINK7"/>
            <w:bookmarkStart w:id="2" w:name="OLE_LINK22"/>
            <w:bookmarkStart w:id="3" w:name="OLE_LINK8"/>
            <w:bookmarkStart w:id="4" w:name="OLE_LINK9"/>
            <w:bookmarkStart w:id="5" w:name="OLE_LINK31"/>
            <w:bookmarkStart w:id="6" w:name="OLE_LINK18"/>
            <w:bookmarkStart w:id="7" w:name="OLE_LINK10"/>
            <w:bookmarkStart w:id="8" w:name="OLE_LINK35"/>
            <w:bookmarkStart w:id="9" w:name="OLE_LINK21"/>
            <w:r>
              <w:rPr>
                <w:rFonts w:hint="default" w:ascii="Times New Roman" w:hAnsi="Times New Roman" w:eastAsia="宋体" w:cs="Times New Roman"/>
                <w:color w:val="000000"/>
                <w:sz w:val="24"/>
                <w:szCs w:val="24"/>
                <w:highlight w:val="none"/>
                <w:lang w:val="zh-CN" w:eastAsia="zh-CN"/>
              </w:rPr>
              <w:t>本项目运行</w:t>
            </w:r>
            <w:r>
              <w:rPr>
                <w:rFonts w:hint="eastAsia" w:ascii="Times New Roman" w:hAnsi="Times New Roman" w:eastAsia="宋体" w:cs="Times New Roman"/>
                <w:color w:val="000000"/>
                <w:sz w:val="24"/>
                <w:szCs w:val="24"/>
                <w:highlight w:val="none"/>
                <w:lang w:val="en-US" w:eastAsia="zh-CN"/>
              </w:rPr>
              <w:t>期间生产废水经</w:t>
            </w:r>
            <w:r>
              <w:rPr>
                <w:rFonts w:hint="eastAsia" w:cs="Times New Roman"/>
                <w:color w:val="000000"/>
                <w:sz w:val="24"/>
                <w:szCs w:val="24"/>
                <w:highlight w:val="none"/>
                <w:lang w:val="en-US" w:eastAsia="zh-CN"/>
              </w:rPr>
              <w:t>五</w:t>
            </w:r>
            <w:r>
              <w:rPr>
                <w:rFonts w:hint="eastAsia" w:ascii="Times New Roman" w:hAnsi="Times New Roman" w:eastAsia="宋体" w:cs="Times New Roman"/>
                <w:color w:val="000000"/>
                <w:sz w:val="24"/>
                <w:szCs w:val="24"/>
                <w:highlight w:val="none"/>
                <w:lang w:val="en-US" w:eastAsia="zh-CN"/>
              </w:rPr>
              <w:t>级沉淀池处理后用于原料喷淋</w:t>
            </w:r>
            <w:r>
              <w:rPr>
                <w:rFonts w:hint="eastAsia" w:cs="Times New Roman"/>
                <w:color w:val="000000"/>
                <w:kern w:val="0"/>
                <w:sz w:val="24"/>
                <w:szCs w:val="24"/>
                <w:highlight w:val="none"/>
                <w:lang w:val="en-US" w:eastAsia="zh-CN" w:bidi="ar"/>
              </w:rPr>
              <w:t>；</w:t>
            </w:r>
            <w:bookmarkEnd w:id="1"/>
            <w:bookmarkStart w:id="10" w:name="OLE_LINK6"/>
            <w:r>
              <w:rPr>
                <w:rFonts w:hint="eastAsia" w:cs="Times New Roman"/>
                <w:color w:val="000000"/>
                <w:kern w:val="0"/>
                <w:sz w:val="24"/>
                <w:szCs w:val="24"/>
                <w:highlight w:val="none"/>
                <w:lang w:val="en-US" w:eastAsia="zh-CN" w:bidi="ar"/>
              </w:rPr>
              <w:t>生活污水由化粪池收集；</w:t>
            </w:r>
            <w:r>
              <w:rPr>
                <w:rFonts w:hint="eastAsia" w:ascii="Times New Roman" w:hAnsi="Times New Roman" w:eastAsia="宋体" w:cs="Times New Roman"/>
                <w:color w:val="000000"/>
                <w:sz w:val="24"/>
                <w:szCs w:val="24"/>
                <w:highlight w:val="none"/>
                <w:lang w:val="en-US" w:eastAsia="zh-CN"/>
              </w:rPr>
              <w:t>废</w:t>
            </w:r>
            <w:r>
              <w:rPr>
                <w:rFonts w:hint="eastAsia" w:cs="Times New Roman"/>
                <w:color w:val="000000"/>
                <w:sz w:val="24"/>
                <w:szCs w:val="24"/>
                <w:highlight w:val="none"/>
                <w:lang w:val="en-US" w:eastAsia="zh-CN"/>
              </w:rPr>
              <w:t>润滑油、废油桶</w:t>
            </w:r>
            <w:r>
              <w:rPr>
                <w:rFonts w:hint="eastAsia" w:ascii="Times New Roman" w:hAnsi="Times New Roman" w:eastAsia="宋体" w:cs="Times New Roman"/>
                <w:color w:val="000000"/>
                <w:sz w:val="24"/>
                <w:szCs w:val="24"/>
                <w:highlight w:val="none"/>
                <w:lang w:val="zh-CN" w:eastAsia="zh-CN"/>
              </w:rPr>
              <w:t>暂存在</w:t>
            </w:r>
            <w:bookmarkEnd w:id="10"/>
            <w:r>
              <w:rPr>
                <w:rFonts w:hint="eastAsia" w:cs="Times New Roman"/>
                <w:color w:val="000000"/>
                <w:sz w:val="24"/>
                <w:szCs w:val="24"/>
                <w:highlight w:val="none"/>
                <w:lang w:val="en-US" w:eastAsia="zh-CN"/>
              </w:rPr>
              <w:t>危险废物贮存</w:t>
            </w:r>
            <w:bookmarkEnd w:id="2"/>
            <w:r>
              <w:rPr>
                <w:rFonts w:hint="eastAsia" w:cs="Times New Roman"/>
                <w:color w:val="000000"/>
                <w:sz w:val="24"/>
                <w:szCs w:val="24"/>
                <w:highlight w:val="none"/>
                <w:lang w:val="en-US" w:eastAsia="zh-CN"/>
              </w:rPr>
              <w:t>点，定期委托有资质的单位处置。</w:t>
            </w:r>
            <w:r>
              <w:rPr>
                <w:rFonts w:hint="default" w:ascii="Times New Roman" w:hAnsi="Times New Roman" w:eastAsia="宋体" w:cs="Times New Roman"/>
                <w:color w:val="000000"/>
                <w:sz w:val="24"/>
                <w:szCs w:val="24"/>
                <w:highlight w:val="none"/>
                <w:lang w:val="zh-CN" w:eastAsia="zh-CN"/>
              </w:rPr>
              <w:t>沉淀池进行一般防渗处理</w:t>
            </w:r>
            <w:r>
              <w:rPr>
                <w:rFonts w:hint="eastAsia" w:ascii="Times New Roman" w:hAnsi="Times New Roman" w:eastAsia="宋体" w:cs="Times New Roman"/>
                <w:color w:val="000000"/>
                <w:sz w:val="24"/>
                <w:szCs w:val="24"/>
                <w:highlight w:val="none"/>
                <w:lang w:val="zh-CN" w:eastAsia="zh-CN"/>
              </w:rPr>
              <w:t>，</w:t>
            </w:r>
            <w:r>
              <w:rPr>
                <w:rFonts w:hint="eastAsia" w:cs="Times New Roman"/>
                <w:color w:val="000000"/>
                <w:sz w:val="24"/>
                <w:szCs w:val="24"/>
                <w:highlight w:val="none"/>
                <w:lang w:val="en-US" w:eastAsia="zh-CN"/>
              </w:rPr>
              <w:t>危废贮存点均采取满足《</w:t>
            </w:r>
            <w:r>
              <w:rPr>
                <w:rFonts w:hint="eastAsia" w:ascii="Times New Roman" w:hAnsi="Times New Roman" w:eastAsia="宋体" w:cs="Times New Roman"/>
                <w:b w:val="0"/>
                <w:bCs w:val="0"/>
                <w:color w:val="000000"/>
                <w:kern w:val="2"/>
                <w:sz w:val="24"/>
                <w:szCs w:val="24"/>
                <w:highlight w:val="none"/>
                <w:lang w:val="en-US" w:eastAsia="zh-CN" w:bidi="ar-SA"/>
              </w:rPr>
              <w:t>危险废物贮存污染控制标准》要求的防渗工艺。</w:t>
            </w:r>
            <w:bookmarkEnd w:id="3"/>
            <w:bookmarkEnd w:id="4"/>
            <w:bookmarkEnd w:id="5"/>
            <w:bookmarkStart w:id="11" w:name="OLE_LINK19"/>
            <w:bookmarkStart w:id="12" w:name="OLE_LINK4"/>
            <w:r>
              <w:rPr>
                <w:rFonts w:hint="eastAsia" w:ascii="Times New Roman" w:hAnsi="Times New Roman" w:eastAsia="宋体" w:cs="Times New Roman"/>
                <w:color w:val="000000"/>
                <w:sz w:val="24"/>
                <w:szCs w:val="24"/>
                <w:highlight w:val="none"/>
                <w:lang w:val="en-US" w:eastAsia="zh-CN"/>
              </w:rPr>
              <w:t>项目正常生产情况下不会对土壤及地下水环境产生不利影响</w:t>
            </w:r>
            <w:r>
              <w:rPr>
                <w:rFonts w:hint="default" w:ascii="Times New Roman" w:hAnsi="Times New Roman" w:eastAsia="宋体" w:cs="Times New Roman"/>
                <w:color w:val="000000"/>
                <w:sz w:val="24"/>
                <w:szCs w:val="24"/>
                <w:highlight w:val="none"/>
                <w:lang w:val="en-US" w:eastAsia="zh-CN"/>
              </w:rPr>
              <w:t>。</w:t>
            </w:r>
          </w:p>
          <w:p w14:paraId="1DB000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运行期间</w:t>
            </w:r>
            <w:r>
              <w:rPr>
                <w:rFonts w:hint="default" w:ascii="Times New Roman" w:hAnsi="Times New Roman" w:eastAsia="宋体" w:cs="Times New Roman"/>
                <w:color w:val="000000"/>
                <w:sz w:val="24"/>
                <w:szCs w:val="24"/>
                <w:highlight w:val="none"/>
                <w:lang w:val="en-US" w:eastAsia="zh-CN"/>
              </w:rPr>
              <w:t>定期巡查生产设备的运行情况，</w:t>
            </w:r>
            <w:r>
              <w:rPr>
                <w:rFonts w:hint="eastAsia" w:ascii="Times New Roman" w:hAnsi="Times New Roman" w:eastAsia="宋体" w:cs="Times New Roman"/>
                <w:color w:val="000000"/>
                <w:sz w:val="24"/>
                <w:szCs w:val="24"/>
                <w:highlight w:val="none"/>
                <w:lang w:val="en-US" w:eastAsia="zh-CN"/>
              </w:rPr>
              <w:t>加强沉淀池、危险废物贮存</w:t>
            </w:r>
            <w:r>
              <w:rPr>
                <w:rFonts w:hint="eastAsia" w:cs="Times New Roman"/>
                <w:color w:val="000000"/>
                <w:sz w:val="24"/>
                <w:szCs w:val="24"/>
                <w:highlight w:val="none"/>
                <w:lang w:val="en-US" w:eastAsia="zh-CN"/>
              </w:rPr>
              <w:t>点</w:t>
            </w:r>
            <w:r>
              <w:rPr>
                <w:rFonts w:hint="eastAsia" w:ascii="Times New Roman" w:hAnsi="Times New Roman" w:eastAsia="宋体" w:cs="Times New Roman"/>
                <w:color w:val="000000"/>
                <w:sz w:val="24"/>
                <w:szCs w:val="24"/>
                <w:highlight w:val="none"/>
                <w:lang w:val="en-US" w:eastAsia="zh-CN"/>
              </w:rPr>
              <w:t>的巡检工作，及时发现可能存在的泄漏隐患，</w:t>
            </w:r>
            <w:r>
              <w:rPr>
                <w:rFonts w:hint="eastAsia" w:cs="Times New Roman"/>
                <w:color w:val="000000"/>
                <w:sz w:val="24"/>
                <w:szCs w:val="24"/>
                <w:highlight w:val="none"/>
                <w:lang w:val="en-US" w:eastAsia="zh-CN"/>
              </w:rPr>
              <w:t>防止</w:t>
            </w:r>
            <w:r>
              <w:rPr>
                <w:rFonts w:hint="eastAsia" w:ascii="Times New Roman" w:hAnsi="Times New Roman" w:eastAsia="宋体" w:cs="Times New Roman"/>
                <w:color w:val="000000"/>
                <w:sz w:val="24"/>
                <w:szCs w:val="24"/>
                <w:highlight w:val="none"/>
                <w:lang w:val="en-US" w:eastAsia="zh-CN"/>
              </w:rPr>
              <w:t>污染物下渗对土壤、地下水造成污染。</w:t>
            </w:r>
            <w:bookmarkEnd w:id="11"/>
            <w:bookmarkEnd w:id="12"/>
          </w:p>
          <w:bookmarkEnd w:id="6"/>
          <w:bookmarkEnd w:id="7"/>
          <w:bookmarkEnd w:id="8"/>
          <w:bookmarkEnd w:id="9"/>
          <w:p w14:paraId="6F0A8F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sz w:val="24"/>
                <w:szCs w:val="24"/>
                <w:highlight w:val="none"/>
                <w:lang w:val="zh-CN" w:eastAsia="zh-CN"/>
              </w:rPr>
            </w:pPr>
            <w:bookmarkStart w:id="13" w:name="OLE_LINK30"/>
            <w:r>
              <w:rPr>
                <w:rFonts w:hint="default" w:ascii="Times New Roman" w:hAnsi="Times New Roman" w:eastAsia="宋体" w:cs="Times New Roman"/>
                <w:color w:val="000000"/>
                <w:sz w:val="24"/>
                <w:szCs w:val="24"/>
                <w:highlight w:val="none"/>
                <w:lang w:val="zh-CN" w:eastAsia="zh-CN"/>
              </w:rPr>
              <w:t>综上所述，</w:t>
            </w:r>
            <w:r>
              <w:rPr>
                <w:rFonts w:hint="default" w:ascii="Times New Roman" w:hAnsi="Times New Roman" w:eastAsia="宋体" w:cs="Times New Roman"/>
                <w:color w:val="000000"/>
                <w:sz w:val="24"/>
                <w:szCs w:val="24"/>
                <w:highlight w:val="none"/>
                <w:lang w:val="en-US" w:eastAsia="zh-CN"/>
              </w:rPr>
              <w:t>本项目正常情况下不会对地下水、土壤造成污染影响</w:t>
            </w:r>
            <w:r>
              <w:rPr>
                <w:rFonts w:hint="default" w:ascii="Times New Roman" w:hAnsi="Times New Roman" w:eastAsia="宋体" w:cs="Times New Roman"/>
                <w:color w:val="000000"/>
                <w:sz w:val="24"/>
                <w:szCs w:val="24"/>
                <w:highlight w:val="none"/>
                <w:lang w:val="zh-CN" w:eastAsia="zh-CN"/>
              </w:rPr>
              <w:t>。</w:t>
            </w:r>
          </w:p>
          <w:bookmarkEnd w:id="13"/>
          <w:p w14:paraId="2253CCBC">
            <w:pPr>
              <w:bidi w:val="0"/>
              <w:spacing w:line="360" w:lineRule="auto"/>
              <w:rPr>
                <w:rFonts w:hint="eastAsia"/>
                <w:b/>
                <w:bCs/>
                <w:color w:val="000000"/>
                <w:sz w:val="24"/>
                <w:szCs w:val="24"/>
                <w:lang w:val="zh-CN" w:eastAsia="zh-CN"/>
              </w:rPr>
            </w:pPr>
            <w:r>
              <w:rPr>
                <w:rFonts w:hint="eastAsia"/>
                <w:b/>
                <w:bCs/>
                <w:color w:val="000000"/>
                <w:sz w:val="24"/>
                <w:szCs w:val="24"/>
                <w:lang w:val="en-US" w:eastAsia="zh-CN"/>
              </w:rPr>
              <w:t>4</w:t>
            </w:r>
            <w:r>
              <w:rPr>
                <w:rFonts w:hint="eastAsia"/>
                <w:b/>
                <w:bCs/>
                <w:color w:val="000000"/>
                <w:sz w:val="24"/>
                <w:szCs w:val="24"/>
                <w:lang w:val="zh-CN" w:eastAsia="zh-CN"/>
              </w:rPr>
              <w:t>.2.6</w:t>
            </w:r>
            <w:r>
              <w:rPr>
                <w:rFonts w:hint="eastAsia"/>
                <w:b/>
                <w:bCs/>
                <w:color w:val="000000"/>
                <w:sz w:val="24"/>
                <w:szCs w:val="24"/>
                <w:lang w:val="en-US" w:eastAsia="zh-CN"/>
              </w:rPr>
              <w:t xml:space="preserve"> </w:t>
            </w:r>
            <w:r>
              <w:rPr>
                <w:rFonts w:hint="eastAsia"/>
                <w:b/>
                <w:bCs/>
                <w:color w:val="000000"/>
                <w:sz w:val="24"/>
                <w:szCs w:val="24"/>
                <w:lang w:val="zh-CN" w:eastAsia="zh-CN"/>
              </w:rPr>
              <w:t>运营期生态环境影响和保护措施</w:t>
            </w:r>
          </w:p>
          <w:p w14:paraId="1C46D56F">
            <w:pPr>
              <w:pStyle w:val="81"/>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bCs/>
                <w:color w:val="000000"/>
                <w:sz w:val="24"/>
                <w:szCs w:val="24"/>
                <w:highlight w:val="none"/>
                <w:lang w:val="en-US" w:eastAsia="zh-CN"/>
              </w:rPr>
            </w:pPr>
            <w:r>
              <w:rPr>
                <w:rFonts w:hint="eastAsia" w:ascii="宋体" w:hAnsi="宋体" w:cs="宋体"/>
                <w:bCs/>
                <w:color w:val="000000"/>
                <w:spacing w:val="0"/>
                <w:sz w:val="24"/>
                <w:szCs w:val="24"/>
                <w:highlight w:val="none"/>
                <w:lang w:val="en-US" w:eastAsia="zh-CN"/>
              </w:rPr>
              <w:t>根据调查，</w:t>
            </w:r>
            <w:r>
              <w:rPr>
                <w:snapToGrid w:val="0"/>
                <w:color w:val="000000"/>
                <w:spacing w:val="0"/>
                <w:kern w:val="0"/>
                <w:sz w:val="24"/>
                <w:szCs w:val="24"/>
                <w:highlight w:val="none"/>
              </w:rPr>
              <w:t>项目所在地周边无珍稀动植物物种和自然保护区等环境敏感区。</w:t>
            </w:r>
            <w:r>
              <w:rPr>
                <w:rFonts w:hint="eastAsia" w:ascii="宋体" w:hAnsi="宋体" w:cs="宋体"/>
                <w:bCs/>
                <w:color w:val="000000"/>
                <w:spacing w:val="0"/>
                <w:sz w:val="24"/>
                <w:szCs w:val="24"/>
                <w:highlight w:val="none"/>
                <w:lang w:val="en-US" w:eastAsia="zh-CN"/>
              </w:rPr>
              <w:t>按照《建设项目环境影响报告表编制技术指南（污染影响类）（试行）》要求，无需分析生态影响和提出生态保护措施。</w:t>
            </w:r>
            <w:r>
              <w:rPr>
                <w:snapToGrid w:val="0"/>
                <w:color w:val="000000"/>
                <w:spacing w:val="0"/>
                <w:kern w:val="0"/>
                <w:sz w:val="24"/>
                <w:szCs w:val="24"/>
                <w:highlight w:val="none"/>
              </w:rPr>
              <w:t>在各项环保设施</w:t>
            </w:r>
            <w:r>
              <w:rPr>
                <w:rFonts w:hint="eastAsia"/>
                <w:snapToGrid w:val="0"/>
                <w:color w:val="000000"/>
                <w:spacing w:val="0"/>
                <w:kern w:val="0"/>
                <w:sz w:val="24"/>
                <w:szCs w:val="24"/>
                <w:highlight w:val="none"/>
                <w:lang w:val="en-US" w:eastAsia="zh-CN"/>
              </w:rPr>
              <w:t>及防治措施</w:t>
            </w:r>
            <w:r>
              <w:rPr>
                <w:snapToGrid w:val="0"/>
                <w:color w:val="000000"/>
                <w:spacing w:val="0"/>
                <w:kern w:val="0"/>
                <w:sz w:val="24"/>
                <w:szCs w:val="24"/>
                <w:highlight w:val="none"/>
              </w:rPr>
              <w:t>正常运行状态下，各种污染物能够做到达标排放，不会对周围生态产生影响。</w:t>
            </w:r>
            <w:r>
              <w:rPr>
                <w:rFonts w:hint="eastAsia"/>
                <w:snapToGrid w:val="0"/>
                <w:color w:val="000000"/>
                <w:spacing w:val="0"/>
                <w:kern w:val="0"/>
                <w:sz w:val="24"/>
                <w:szCs w:val="24"/>
                <w:highlight w:val="none"/>
                <w:lang w:val="en-US" w:eastAsia="zh-CN"/>
              </w:rPr>
              <w:t>因此，</w:t>
            </w:r>
            <w:r>
              <w:rPr>
                <w:snapToGrid w:val="0"/>
                <w:color w:val="000000"/>
                <w:spacing w:val="0"/>
                <w:kern w:val="0"/>
                <w:sz w:val="24"/>
                <w:szCs w:val="24"/>
                <w:highlight w:val="none"/>
              </w:rPr>
              <w:t>本项目不会对区域的生态环境造成不利影响。</w:t>
            </w:r>
          </w:p>
          <w:p w14:paraId="1C03974D">
            <w:pPr>
              <w:pStyle w:val="3"/>
              <w:pageBreakBefore w:val="0"/>
              <w:widowControl w:val="0"/>
              <w:kinsoku/>
              <w:wordWrap/>
              <w:overflowPunct/>
              <w:topLinePunct w:val="0"/>
              <w:autoSpaceDE/>
              <w:autoSpaceDN/>
              <w:bidi w:val="0"/>
              <w:adjustRightInd/>
              <w:snapToGrid/>
              <w:spacing w:beforeLines="0" w:afterLines="0" w:line="360" w:lineRule="auto"/>
              <w:textAlignment w:val="auto"/>
              <w:rPr>
                <w:rFonts w:hint="eastAsia"/>
                <w:color w:val="000000"/>
                <w:lang w:val="zh-CN" w:eastAsia="zh-CN"/>
              </w:rPr>
            </w:pPr>
            <w:r>
              <w:rPr>
                <w:rFonts w:hint="default" w:ascii="Times New Roman" w:hAnsi="Times New Roman" w:cs="Times New Roman"/>
                <w:color w:val="000000"/>
                <w:lang w:val="zh-CN" w:eastAsia="zh-CN"/>
              </w:rPr>
              <w:t>4.2.7</w:t>
            </w:r>
            <w:r>
              <w:rPr>
                <w:rFonts w:hint="eastAsia" w:ascii="Times New Roman" w:hAnsi="Times New Roman" w:cs="Times New Roman"/>
                <w:color w:val="000000"/>
                <w:lang w:val="en-US" w:eastAsia="zh-CN"/>
              </w:rPr>
              <w:t xml:space="preserve"> </w:t>
            </w:r>
            <w:r>
              <w:rPr>
                <w:rFonts w:hint="default" w:ascii="Times New Roman" w:hAnsi="Times New Roman" w:cs="Times New Roman"/>
                <w:color w:val="000000"/>
                <w:lang w:val="zh-CN" w:eastAsia="zh-CN"/>
              </w:rPr>
              <w:t>运营期环境风险影响和保护措施</w:t>
            </w:r>
          </w:p>
          <w:p w14:paraId="467E9380">
            <w:pPr>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Times New Roman" w:hAnsi="Times New Roman" w:eastAsia="宋体" w:cs="Times New Roman"/>
                <w:b/>
                <w:bCs/>
                <w:color w:val="000000"/>
                <w:sz w:val="24"/>
                <w:szCs w:val="24"/>
                <w:highlight w:val="none"/>
                <w:lang w:eastAsia="zh-CN"/>
              </w:rPr>
            </w:pPr>
            <w:r>
              <w:rPr>
                <w:rFonts w:hint="default" w:ascii="Times New Roman" w:hAnsi="Times New Roman" w:eastAsia="宋体" w:cs="Times New Roman"/>
                <w:b/>
                <w:bCs/>
                <w:color w:val="000000"/>
                <w:sz w:val="24"/>
                <w:szCs w:val="24"/>
                <w:highlight w:val="none"/>
                <w:lang w:val="en-US" w:eastAsia="zh-CN"/>
              </w:rPr>
              <w:t>4</w:t>
            </w:r>
            <w:r>
              <w:rPr>
                <w:rFonts w:hint="eastAsia" w:ascii="Times New Roman" w:hAnsi="Times New Roman" w:eastAsia="宋体" w:cs="Times New Roman"/>
                <w:b/>
                <w:bCs/>
                <w:color w:val="000000"/>
                <w:sz w:val="24"/>
                <w:szCs w:val="24"/>
                <w:highlight w:val="none"/>
                <w:lang w:val="en-US" w:eastAsia="zh-CN"/>
              </w:rPr>
              <w:t>.2.7</w:t>
            </w:r>
            <w:r>
              <w:rPr>
                <w:rFonts w:hint="default" w:ascii="Times New Roman" w:hAnsi="Times New Roman" w:eastAsia="宋体" w:cs="Times New Roman"/>
                <w:b/>
                <w:bCs/>
                <w:color w:val="000000"/>
                <w:sz w:val="24"/>
                <w:szCs w:val="24"/>
                <w:highlight w:val="none"/>
                <w:lang w:val="en-US" w:eastAsia="zh-CN"/>
              </w:rPr>
              <w:t>.</w:t>
            </w:r>
            <w:r>
              <w:rPr>
                <w:rFonts w:hint="eastAsia" w:ascii="Times New Roman" w:hAnsi="Times New Roman" w:eastAsia="宋体" w:cs="Times New Roman"/>
                <w:b/>
                <w:bCs/>
                <w:color w:val="000000"/>
                <w:sz w:val="24"/>
                <w:szCs w:val="24"/>
                <w:highlight w:val="none"/>
                <w:lang w:val="en-US" w:eastAsia="zh-CN"/>
              </w:rPr>
              <w:t>1</w:t>
            </w:r>
            <w:r>
              <w:rPr>
                <w:rFonts w:hint="default" w:ascii="Times New Roman" w:hAnsi="Times New Roman" w:eastAsia="宋体" w:cs="Times New Roman"/>
                <w:b/>
                <w:bCs/>
                <w:color w:val="000000"/>
                <w:sz w:val="24"/>
                <w:szCs w:val="24"/>
                <w:highlight w:val="none"/>
              </w:rPr>
              <w:t>环境风险</w:t>
            </w:r>
            <w:r>
              <w:rPr>
                <w:rFonts w:hint="eastAsia" w:ascii="Times New Roman" w:hAnsi="Times New Roman" w:eastAsia="宋体" w:cs="Times New Roman"/>
                <w:b/>
                <w:bCs/>
                <w:color w:val="000000"/>
                <w:sz w:val="24"/>
                <w:szCs w:val="24"/>
                <w:highlight w:val="none"/>
                <w:lang w:val="en-US" w:eastAsia="zh-CN"/>
              </w:rPr>
              <w:t>识别</w:t>
            </w:r>
          </w:p>
          <w:p w14:paraId="61F54908">
            <w:pPr>
              <w:pStyle w:val="80"/>
              <w:keepNext w:val="0"/>
              <w:keepLines w:val="0"/>
              <w:pageBreakBefore w:val="0"/>
              <w:widowControl w:val="0"/>
              <w:kinsoku/>
              <w:wordWrap/>
              <w:overflowPunct/>
              <w:topLinePunct w:val="0"/>
              <w:autoSpaceDE/>
              <w:autoSpaceDN/>
              <w:bidi w:val="0"/>
              <w:adjustRightInd/>
              <w:snapToGrid/>
              <w:spacing w:line="360" w:lineRule="auto"/>
              <w:ind w:left="0" w:right="0" w:firstLine="481"/>
              <w:jc w:val="both"/>
              <w:textAlignment w:val="auto"/>
              <w:rPr>
                <w:color w:val="000000"/>
                <w:spacing w:val="-2"/>
                <w:sz w:val="24"/>
                <w:szCs w:val="24"/>
              </w:rPr>
            </w:pPr>
            <w:r>
              <w:rPr>
                <w:color w:val="000000"/>
                <w:spacing w:val="1"/>
                <w:sz w:val="24"/>
                <w:szCs w:val="24"/>
              </w:rPr>
              <w:t>本项目是</w:t>
            </w:r>
            <w:r>
              <w:rPr>
                <w:rFonts w:hint="eastAsia"/>
                <w:color w:val="000000"/>
                <w:spacing w:val="1"/>
                <w:sz w:val="24"/>
                <w:szCs w:val="24"/>
                <w:lang w:val="en-US" w:eastAsia="zh-CN"/>
              </w:rPr>
              <w:t>检查井</w:t>
            </w:r>
            <w:r>
              <w:rPr>
                <w:color w:val="000000"/>
                <w:spacing w:val="1"/>
                <w:sz w:val="24"/>
                <w:szCs w:val="24"/>
              </w:rPr>
              <w:t>建设项目，生产过程中的主要风险物质为危险废物废矿物油。</w:t>
            </w:r>
          </w:p>
          <w:p w14:paraId="4E06E766">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jc w:val="left"/>
              <w:textAlignment w:val="auto"/>
              <w:rPr>
                <w:rFonts w:hint="eastAsia" w:cs="Times New Roman"/>
                <w:b w:val="0"/>
                <w:bCs w:val="0"/>
                <w:color w:val="000000"/>
                <w:sz w:val="24"/>
                <w:szCs w:val="24"/>
                <w:lang w:val="en-US" w:eastAsia="zh-CN"/>
              </w:rPr>
            </w:pPr>
            <w:r>
              <w:rPr>
                <w:rFonts w:hint="eastAsia" w:cs="Times New Roman"/>
                <w:b w:val="0"/>
                <w:bCs w:val="0"/>
                <w:color w:val="000000"/>
                <w:sz w:val="24"/>
                <w:szCs w:val="24"/>
                <w:lang w:val="en-US" w:eastAsia="zh-CN"/>
              </w:rPr>
              <w:t>根据《建设项目环境风险评价技术导则》，计算所涉及的每种危险物质在厂界内的最大存在总量与其在附录B中对应临界量的比值Q。当只涉及一种危险物质时，计算该物质的总量与其临界量比值，即为Q；当存在多种危险物质时，则按下式计算物质总量与其临界量比值（Q）：</w:t>
            </w:r>
          </w:p>
          <w:p w14:paraId="53CCE956">
            <w:pPr>
              <w:numPr>
                <w:ilvl w:val="0"/>
                <w:numId w:val="0"/>
              </w:numPr>
              <w:tabs>
                <w:tab w:val="left" w:pos="0"/>
              </w:tabs>
              <w:spacing w:line="360" w:lineRule="auto"/>
              <w:ind w:leftChars="0" w:firstLine="480" w:firstLineChars="200"/>
              <w:jc w:val="both"/>
              <w:rPr>
                <w:rFonts w:hint="eastAsia"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根据《建设项目环境风险评价技术导则》附录B、《危险化学品重大危险源辨识》以及建设单位提供的原辅材料清单、产品清单等，本项目涉及危险物质主要为油类物质</w:t>
            </w:r>
            <w:r>
              <w:rPr>
                <w:rFonts w:hint="eastAsia" w:ascii="Times New Roman" w:hAnsi="Times New Roman" w:cs="Times New Roman"/>
                <w:b w:val="0"/>
                <w:bCs w:val="0"/>
                <w:color w:val="000000"/>
                <w:sz w:val="24"/>
                <w:szCs w:val="24"/>
                <w:lang w:val="en-US" w:eastAsia="zh-CN"/>
              </w:rPr>
              <w:t>、易燃、易腐蚀类物质</w:t>
            </w:r>
            <w:r>
              <w:rPr>
                <w:rFonts w:hint="default" w:ascii="Times New Roman" w:hAnsi="Times New Roman" w:cs="Times New Roman"/>
                <w:b w:val="0"/>
                <w:bCs w:val="0"/>
                <w:color w:val="000000"/>
                <w:sz w:val="24"/>
                <w:szCs w:val="24"/>
                <w:lang w:val="en-US" w:eastAsia="zh-CN"/>
              </w:rPr>
              <w:t>。本项目危险物质情况见下表</w:t>
            </w:r>
            <w:r>
              <w:rPr>
                <w:rFonts w:hint="eastAsia" w:ascii="Times New Roman" w:hAnsi="Times New Roman" w:cs="Times New Roman"/>
                <w:b w:val="0"/>
                <w:bCs w:val="0"/>
                <w:color w:val="000000"/>
                <w:sz w:val="24"/>
                <w:szCs w:val="24"/>
                <w:lang w:val="en-US" w:eastAsia="zh-CN"/>
              </w:rPr>
              <w:t>：</w:t>
            </w:r>
          </w:p>
          <w:p w14:paraId="0FDD69A8">
            <w:pPr>
              <w:pStyle w:val="2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color w:val="000000"/>
                <w:sz w:val="24"/>
                <w:szCs w:val="24"/>
                <w:highlight w:val="none"/>
              </w:rPr>
            </w:pPr>
            <w:r>
              <w:rPr>
                <w:rFonts w:hint="default" w:ascii="Times New Roman" w:hAnsi="Times New Roman" w:cs="Times New Roman"/>
                <w:b w:val="0"/>
                <w:bCs w:val="0"/>
                <w:color w:val="000000"/>
                <w:sz w:val="24"/>
                <w:szCs w:val="24"/>
                <w:lang w:val="en-US" w:eastAsia="zh-CN"/>
              </w:rPr>
              <w:t>根据上表计算，本项目Q=0.</w:t>
            </w:r>
            <w:r>
              <w:rPr>
                <w:rFonts w:hint="eastAsia" w:cs="Times New Roman"/>
                <w:b w:val="0"/>
                <w:bCs w:val="0"/>
                <w:color w:val="000000"/>
                <w:sz w:val="24"/>
                <w:szCs w:val="24"/>
                <w:lang w:val="en-US" w:eastAsia="zh-CN"/>
              </w:rPr>
              <w:t>00004</w:t>
            </w:r>
            <w:r>
              <w:rPr>
                <w:rFonts w:hint="default" w:ascii="Times New Roman" w:hAnsi="Times New Roman" w:cs="Times New Roman"/>
                <w:b w:val="0"/>
                <w:bCs w:val="0"/>
                <w:color w:val="000000"/>
                <w:sz w:val="24"/>
                <w:szCs w:val="24"/>
                <w:lang w:val="en-US" w:eastAsia="zh-CN"/>
              </w:rPr>
              <w:t>小于1，根据《建设项目环境风险评价技术导则》，本项目不构成重大风险源，判定本项目环境风险评价</w:t>
            </w:r>
            <w:r>
              <w:rPr>
                <w:rFonts w:hint="eastAsia" w:cs="Times New Roman"/>
                <w:b w:val="0"/>
                <w:bCs w:val="0"/>
                <w:color w:val="000000"/>
                <w:sz w:val="24"/>
                <w:szCs w:val="24"/>
                <w:lang w:val="en-US" w:eastAsia="zh-CN"/>
              </w:rPr>
              <w:t>做</w:t>
            </w:r>
            <w:r>
              <w:rPr>
                <w:rFonts w:hint="default" w:ascii="Times New Roman" w:hAnsi="Times New Roman" w:cs="Times New Roman"/>
                <w:b w:val="0"/>
                <w:bCs w:val="0"/>
                <w:color w:val="000000"/>
                <w:sz w:val="24"/>
                <w:szCs w:val="24"/>
                <w:lang w:val="en-US" w:eastAsia="zh-CN"/>
              </w:rPr>
              <w:t>简要分析。</w:t>
            </w:r>
          </w:p>
          <w:p w14:paraId="103FC16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rPr>
                <w:rFonts w:hint="eastAsia" w:cs="Times New Roman"/>
                <w:b/>
                <w:bCs/>
                <w:color w:val="000000"/>
                <w:sz w:val="24"/>
                <w:szCs w:val="24"/>
                <w:highlight w:val="none"/>
                <w:lang w:val="en-US" w:eastAsia="zh-CN"/>
              </w:rPr>
            </w:pPr>
            <w:r>
              <w:rPr>
                <w:rFonts w:hint="eastAsia" w:cs="Times New Roman"/>
                <w:b/>
                <w:bCs/>
                <w:color w:val="000000"/>
                <w:sz w:val="24"/>
                <w:szCs w:val="24"/>
                <w:highlight w:val="none"/>
                <w:lang w:val="en-US" w:eastAsia="zh-CN"/>
              </w:rPr>
              <w:t>4.4.2风险识别</w:t>
            </w:r>
          </w:p>
          <w:p w14:paraId="1897780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snapToGrid w:val="0"/>
                <w:color w:val="000000"/>
                <w:kern w:val="0"/>
                <w:sz w:val="24"/>
                <w:lang w:eastAsia="zh-CN"/>
              </w:rPr>
            </w:pPr>
            <w:r>
              <w:rPr>
                <w:rFonts w:hint="eastAsia" w:ascii="宋体" w:hAnsi="宋体" w:eastAsia="宋体" w:cs="宋体"/>
                <w:snapToGrid w:val="0"/>
                <w:color w:val="000000"/>
                <w:kern w:val="0"/>
                <w:sz w:val="24"/>
                <w:lang w:val="en-US" w:eastAsia="zh-CN"/>
              </w:rPr>
              <w:t>①</w:t>
            </w:r>
            <w:r>
              <w:rPr>
                <w:rFonts w:hint="eastAsia" w:ascii="Times New Roman" w:hAnsi="Times New Roman" w:eastAsia="宋体" w:cs="Times New Roman"/>
                <w:snapToGrid w:val="0"/>
                <w:color w:val="000000"/>
                <w:kern w:val="0"/>
                <w:sz w:val="24"/>
                <w:lang w:val="en-US" w:eastAsia="zh-CN"/>
              </w:rPr>
              <w:t>废矿物质</w:t>
            </w:r>
            <w:r>
              <w:rPr>
                <w:rFonts w:hint="default" w:ascii="Times New Roman" w:hAnsi="Times New Roman" w:eastAsia="宋体" w:cs="Times New Roman"/>
                <w:snapToGrid w:val="0"/>
                <w:color w:val="000000"/>
                <w:kern w:val="0"/>
                <w:sz w:val="24"/>
              </w:rPr>
              <w:t>油</w:t>
            </w:r>
            <w:r>
              <w:rPr>
                <w:rFonts w:hint="eastAsia" w:cs="Times New Roman"/>
                <w:snapToGrid w:val="0"/>
                <w:color w:val="000000"/>
                <w:kern w:val="0"/>
                <w:sz w:val="24"/>
                <w:lang w:eastAsia="zh-CN"/>
              </w:rPr>
              <w:t>：</w:t>
            </w:r>
            <w:r>
              <w:rPr>
                <w:rFonts w:hint="default" w:ascii="Times New Roman" w:hAnsi="Times New Roman" w:eastAsia="宋体" w:cs="Times New Roman"/>
                <w:snapToGrid w:val="0"/>
                <w:color w:val="000000"/>
                <w:kern w:val="0"/>
                <w:sz w:val="24"/>
              </w:rPr>
              <w:t>泄漏造成周围地表水、地下水及土壤环境污染</w:t>
            </w:r>
            <w:r>
              <w:rPr>
                <w:rFonts w:hint="eastAsia" w:cs="Times New Roman"/>
                <w:snapToGrid w:val="0"/>
                <w:color w:val="000000"/>
                <w:kern w:val="0"/>
                <w:sz w:val="24"/>
                <w:lang w:eastAsia="zh-CN"/>
              </w:rPr>
              <w:t>；</w:t>
            </w:r>
            <w:r>
              <w:rPr>
                <w:rFonts w:hint="default" w:ascii="Times New Roman" w:hAnsi="Times New Roman" w:eastAsia="宋体" w:cs="Times New Roman"/>
                <w:snapToGrid w:val="0"/>
                <w:color w:val="000000"/>
                <w:kern w:val="0"/>
                <w:sz w:val="24"/>
              </w:rPr>
              <w:t>遇明火、高热可燃，燃烧产生有毒气体</w:t>
            </w:r>
            <w:r>
              <w:rPr>
                <w:rFonts w:hint="eastAsia" w:cs="Times New Roman"/>
                <w:snapToGrid w:val="0"/>
                <w:color w:val="000000"/>
                <w:kern w:val="0"/>
                <w:sz w:val="24"/>
                <w:lang w:eastAsia="zh-CN"/>
              </w:rPr>
              <w:t>。</w:t>
            </w:r>
            <w:r>
              <w:rPr>
                <w:rFonts w:hint="default" w:ascii="Times New Roman" w:hAnsi="Times New Roman" w:eastAsia="宋体" w:cs="Times New Roman"/>
                <w:snapToGrid w:val="0"/>
                <w:color w:val="000000"/>
                <w:kern w:val="0"/>
                <w:sz w:val="24"/>
              </w:rPr>
              <w:t>项目所涉及的燃料</w:t>
            </w:r>
            <w:r>
              <w:rPr>
                <w:rFonts w:hint="default" w:ascii="Times New Roman" w:hAnsi="Times New Roman" w:eastAsia="宋体" w:cs="Times New Roman"/>
                <w:snapToGrid w:val="0"/>
                <w:color w:val="000000"/>
                <w:kern w:val="0"/>
                <w:sz w:val="24"/>
                <w:lang w:val="en-US" w:eastAsia="zh-CN"/>
              </w:rPr>
              <w:t>危险物质</w:t>
            </w:r>
            <w:r>
              <w:rPr>
                <w:rFonts w:hint="eastAsia" w:ascii="Times New Roman" w:hAnsi="Times New Roman" w:eastAsia="宋体" w:cs="Times New Roman"/>
                <w:snapToGrid w:val="0"/>
                <w:color w:val="000000"/>
                <w:kern w:val="0"/>
                <w:sz w:val="24"/>
                <w:lang w:val="en-US" w:eastAsia="zh-CN"/>
              </w:rPr>
              <w:t>柴油</w:t>
            </w:r>
            <w:r>
              <w:rPr>
                <w:rFonts w:hint="eastAsia" w:cs="Times New Roman"/>
                <w:snapToGrid w:val="0"/>
                <w:color w:val="000000"/>
                <w:kern w:val="0"/>
                <w:sz w:val="24"/>
                <w:lang w:val="en-US" w:eastAsia="zh-CN"/>
              </w:rPr>
              <w:t>理化性质如下表</w:t>
            </w:r>
            <w:r>
              <w:rPr>
                <w:rFonts w:hint="eastAsia" w:cs="Times New Roman"/>
                <w:snapToGrid w:val="0"/>
                <w:color w:val="000000"/>
                <w:kern w:val="0"/>
                <w:sz w:val="24"/>
                <w:lang w:eastAsia="zh-CN"/>
              </w:rPr>
              <w:t>：</w:t>
            </w:r>
          </w:p>
          <w:p w14:paraId="5D47598D">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val="zh-CN"/>
              </w:rPr>
              <w:t>②</w:t>
            </w:r>
            <w:r>
              <w:rPr>
                <w:rFonts w:hint="default" w:ascii="Times New Roman" w:hAnsi="Times New Roman" w:eastAsia="宋体" w:cs="Times New Roman"/>
                <w:color w:val="000000"/>
                <w:sz w:val="24"/>
              </w:rPr>
              <w:t>生产系统危险性识别</w:t>
            </w:r>
          </w:p>
          <w:p w14:paraId="4FAEF9D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val="zh-CN"/>
              </w:rPr>
              <w:t>本项目生产设施风险识别范围主要包括</w:t>
            </w:r>
            <w:r>
              <w:rPr>
                <w:rFonts w:hint="eastAsia" w:cs="Times New Roman"/>
                <w:color w:val="000000"/>
                <w:sz w:val="24"/>
                <w:lang w:val="en-US" w:eastAsia="zh-CN"/>
              </w:rPr>
              <w:t>废矿物油贮存点</w:t>
            </w:r>
            <w:r>
              <w:rPr>
                <w:rFonts w:hint="default" w:ascii="Times New Roman" w:hAnsi="Times New Roman" w:eastAsia="宋体" w:cs="Times New Roman"/>
                <w:color w:val="000000"/>
                <w:sz w:val="24"/>
              </w:rPr>
              <w:t>。</w:t>
            </w:r>
          </w:p>
          <w:p w14:paraId="23C2D46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lang w:val="en-US" w:eastAsia="zh-CN"/>
              </w:rPr>
              <w:t>4.2.7.2</w:t>
            </w:r>
            <w:r>
              <w:rPr>
                <w:rFonts w:hint="default" w:ascii="Times New Roman" w:hAnsi="Times New Roman" w:eastAsia="宋体" w:cs="Times New Roman"/>
                <w:b/>
                <w:bCs/>
                <w:color w:val="000000"/>
                <w:sz w:val="24"/>
                <w:szCs w:val="24"/>
              </w:rPr>
              <w:t>环境风险分析</w:t>
            </w:r>
          </w:p>
          <w:p w14:paraId="4DADC7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kern w:val="0"/>
                <w:sz w:val="24"/>
                <w:szCs w:val="24"/>
                <w:highlight w:val="none"/>
                <w:lang w:val="en-US" w:eastAsia="zh-CN"/>
              </w:rPr>
            </w:pPr>
            <w:r>
              <w:rPr>
                <w:rFonts w:hint="eastAsia" w:cs="Times New Roman"/>
                <w:color w:val="000000"/>
                <w:kern w:val="0"/>
                <w:sz w:val="24"/>
                <w:szCs w:val="24"/>
                <w:highlight w:val="none"/>
                <w:lang w:val="en-US" w:eastAsia="zh-CN"/>
              </w:rPr>
              <w:t>本</w:t>
            </w:r>
            <w:r>
              <w:rPr>
                <w:rFonts w:hint="eastAsia" w:ascii="Times New Roman" w:hAnsi="Times New Roman" w:eastAsia="宋体" w:cs="Times New Roman"/>
                <w:color w:val="000000"/>
                <w:kern w:val="0"/>
                <w:sz w:val="24"/>
                <w:szCs w:val="24"/>
                <w:highlight w:val="none"/>
                <w:lang w:val="en-US" w:eastAsia="zh-CN"/>
              </w:rPr>
              <w:t>项目涉及的废润滑油属于有毒有害、易燃易爆物质，其发生</w:t>
            </w:r>
            <w:r>
              <w:rPr>
                <w:rFonts w:hint="eastAsia" w:cs="Times New Roman"/>
                <w:color w:val="000000"/>
                <w:kern w:val="0"/>
                <w:sz w:val="24"/>
                <w:szCs w:val="24"/>
                <w:highlight w:val="none"/>
                <w:lang w:val="en-US" w:eastAsia="zh-CN"/>
              </w:rPr>
              <w:t>泄漏和火灾</w:t>
            </w:r>
            <w:r>
              <w:rPr>
                <w:rFonts w:hint="eastAsia" w:ascii="Times New Roman" w:hAnsi="Times New Roman" w:eastAsia="宋体" w:cs="Times New Roman"/>
                <w:color w:val="000000"/>
                <w:kern w:val="0"/>
                <w:sz w:val="24"/>
                <w:szCs w:val="24"/>
                <w:highlight w:val="none"/>
                <w:lang w:val="en-US" w:eastAsia="zh-CN"/>
              </w:rPr>
              <w:t>、爆炸会对大气环境、土壤和水环境产生影响。</w:t>
            </w:r>
          </w:p>
          <w:p w14:paraId="348432C4">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default" w:ascii="Times New Roman" w:hAnsi="Times New Roman" w:eastAsia="宋体" w:cs="Times New Roman"/>
                <w:b w:val="0"/>
                <w:bCs w:val="0"/>
                <w:color w:val="000000"/>
                <w:sz w:val="24"/>
                <w:szCs w:val="24"/>
                <w:highlight w:val="none"/>
                <w:lang w:val="en-US" w:eastAsia="zh-CN"/>
              </w:rPr>
            </w:pPr>
            <w:r>
              <w:rPr>
                <w:rFonts w:hint="default" w:ascii="Times New Roman" w:hAnsi="Times New Roman" w:eastAsia="宋体" w:cs="Times New Roman"/>
                <w:b w:val="0"/>
                <w:bCs w:val="0"/>
                <w:color w:val="000000"/>
                <w:sz w:val="24"/>
                <w:szCs w:val="24"/>
                <w:highlight w:val="none"/>
                <w:lang w:val="en-US" w:eastAsia="zh-CN"/>
              </w:rPr>
              <w:t>（1）大气环境影响分析</w:t>
            </w:r>
          </w:p>
          <w:p w14:paraId="7895AD4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Style w:val="63"/>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lang w:eastAsia="zh-CN"/>
              </w:rPr>
              <w:t>本项目事故情况下，</w:t>
            </w:r>
            <w:r>
              <w:rPr>
                <w:rFonts w:hint="default" w:ascii="Times New Roman" w:hAnsi="Times New Roman" w:cs="Times New Roman"/>
                <w:color w:val="000000"/>
                <w:sz w:val="24"/>
                <w:highlight w:val="none"/>
              </w:rPr>
              <w:t>运营期风险主要来自</w:t>
            </w:r>
            <w:r>
              <w:rPr>
                <w:rFonts w:hint="eastAsia" w:ascii="Times New Roman" w:hAnsi="Times New Roman" w:cs="Times New Roman"/>
                <w:color w:val="000000"/>
                <w:sz w:val="24"/>
                <w:highlight w:val="none"/>
                <w:lang w:val="en-US" w:eastAsia="zh-CN"/>
              </w:rPr>
              <w:t>废润滑油</w:t>
            </w:r>
            <w:r>
              <w:rPr>
                <w:rFonts w:hint="default" w:ascii="Times New Roman" w:hAnsi="Times New Roman" w:cs="Times New Roman"/>
                <w:color w:val="000000"/>
                <w:sz w:val="24"/>
                <w:highlight w:val="none"/>
              </w:rPr>
              <w:t>遇到明火发生火灾或爆炸等恶性事故，造成人员伤亡及经济损失</w:t>
            </w:r>
            <w:r>
              <w:rPr>
                <w:rFonts w:hint="eastAsia" w:ascii="Times New Roman" w:hAnsi="Times New Roman" w:cs="Times New Roman"/>
                <w:color w:val="000000"/>
                <w:sz w:val="24"/>
                <w:highlight w:val="none"/>
                <w:lang w:val="en-US" w:eastAsia="zh-CN"/>
              </w:rPr>
              <w:t>以及</w:t>
            </w:r>
            <w:r>
              <w:rPr>
                <w:rFonts w:hint="eastAsia" w:ascii="Times New Roman" w:hAnsi="Times New Roman" w:cs="Times New Roman"/>
                <w:color w:val="000000"/>
                <w:sz w:val="24"/>
                <w:szCs w:val="24"/>
                <w:highlight w:val="none"/>
                <w:lang w:eastAsia="zh-CN"/>
              </w:rPr>
              <w:t>火灾及爆炸产生的伴生</w:t>
            </w:r>
            <w:r>
              <w:rPr>
                <w:rFonts w:hint="eastAsia" w:ascii="Times New Roman" w:hAnsi="Times New Roman" w:cs="Times New Roman"/>
                <w:color w:val="000000"/>
                <w:sz w:val="24"/>
                <w:szCs w:val="24"/>
                <w:highlight w:val="none"/>
                <w:lang w:val="en-US" w:eastAsia="zh-CN"/>
              </w:rPr>
              <w:t>/次生污染物，会</w:t>
            </w:r>
            <w:r>
              <w:rPr>
                <w:rFonts w:hint="eastAsia" w:ascii="Times New Roman" w:hAnsi="Times New Roman" w:cs="Times New Roman"/>
                <w:color w:val="000000"/>
                <w:sz w:val="24"/>
                <w:szCs w:val="24"/>
                <w:highlight w:val="none"/>
                <w:lang w:eastAsia="zh-CN"/>
              </w:rPr>
              <w:t>随空气流动会对项目区</w:t>
            </w:r>
            <w:r>
              <w:rPr>
                <w:rFonts w:hint="eastAsia" w:ascii="Times New Roman" w:hAnsi="Times New Roman" w:cs="Times New Roman"/>
                <w:color w:val="000000"/>
                <w:sz w:val="24"/>
                <w:szCs w:val="24"/>
                <w:highlight w:val="none"/>
                <w:lang w:val="en-US" w:eastAsia="zh-CN"/>
              </w:rPr>
              <w:t>周边的</w:t>
            </w:r>
            <w:r>
              <w:rPr>
                <w:rFonts w:hint="eastAsia" w:ascii="Times New Roman" w:hAnsi="Times New Roman" w:cs="Times New Roman"/>
                <w:color w:val="000000"/>
                <w:sz w:val="24"/>
                <w:szCs w:val="24"/>
                <w:highlight w:val="none"/>
                <w:lang w:eastAsia="zh-CN"/>
              </w:rPr>
              <w:t>大气环境质量造成一定影响</w:t>
            </w:r>
            <w:r>
              <w:rPr>
                <w:rFonts w:hint="default" w:ascii="Times New Roman" w:hAnsi="Times New Roman" w:cs="Times New Roman"/>
                <w:color w:val="000000"/>
                <w:sz w:val="24"/>
                <w:highlight w:val="none"/>
              </w:rPr>
              <w:t>。</w:t>
            </w:r>
          </w:p>
          <w:p w14:paraId="441C58F3">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default" w:ascii="Times New Roman" w:hAnsi="Times New Roman" w:eastAsia="宋体" w:cs="Times New Roman"/>
                <w:color w:val="000000"/>
                <w:sz w:val="24"/>
                <w:szCs w:val="24"/>
                <w:highlight w:val="none"/>
                <w:lang w:eastAsia="zh-CN"/>
              </w:rPr>
            </w:pPr>
            <w:r>
              <w:rPr>
                <w:rFonts w:hint="default"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lang w:val="en-US" w:eastAsia="zh-CN"/>
              </w:rPr>
              <w:t>2</w:t>
            </w:r>
            <w:r>
              <w:rPr>
                <w:rFonts w:hint="default" w:ascii="Times New Roman" w:hAnsi="Times New Roman" w:eastAsia="宋体" w:cs="Times New Roman"/>
                <w:color w:val="000000"/>
                <w:sz w:val="24"/>
                <w:szCs w:val="24"/>
                <w:highlight w:val="none"/>
                <w:lang w:eastAsia="zh-CN"/>
              </w:rPr>
              <w:t>）对土壤、水环境的影响</w:t>
            </w:r>
          </w:p>
          <w:p w14:paraId="66E9E78C">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default" w:ascii="Times New Roman" w:hAnsi="Times New Roman" w:eastAsia="宋体" w:cs="Times New Roman"/>
                <w:color w:val="000000"/>
                <w:sz w:val="24"/>
                <w:szCs w:val="24"/>
                <w:highlight w:val="none"/>
                <w:lang w:eastAsia="zh-CN"/>
              </w:rPr>
            </w:pPr>
            <w:r>
              <w:rPr>
                <w:rFonts w:hint="default" w:ascii="Times New Roman" w:hAnsi="Times New Roman" w:eastAsia="宋体" w:cs="Times New Roman"/>
                <w:color w:val="000000"/>
                <w:sz w:val="24"/>
                <w:szCs w:val="24"/>
                <w:highlight w:val="none"/>
                <w:lang w:eastAsia="zh-CN"/>
              </w:rPr>
              <w:t>对土壤、水环境的影响主要是</w:t>
            </w:r>
            <w:r>
              <w:rPr>
                <w:rFonts w:hint="eastAsia" w:ascii="Times New Roman" w:hAnsi="Times New Roman" w:eastAsia="宋体" w:cs="Times New Roman"/>
                <w:color w:val="000000"/>
                <w:kern w:val="0"/>
                <w:sz w:val="24"/>
                <w:szCs w:val="24"/>
                <w:highlight w:val="none"/>
                <w:lang w:val="en-US" w:eastAsia="zh-CN"/>
              </w:rPr>
              <w:t>废润滑油</w:t>
            </w:r>
            <w:r>
              <w:rPr>
                <w:rFonts w:hint="default" w:ascii="Times New Roman" w:hAnsi="Times New Roman" w:eastAsia="宋体" w:cs="Times New Roman"/>
                <w:color w:val="000000"/>
                <w:sz w:val="24"/>
                <w:szCs w:val="24"/>
                <w:highlight w:val="none"/>
                <w:lang w:eastAsia="zh-CN"/>
              </w:rPr>
              <w:t>漏后通过破损处或裸露的土壤处渗入地下，污染土壤和地下水。本项目</w:t>
            </w:r>
            <w:r>
              <w:rPr>
                <w:rFonts w:hint="default" w:ascii="Times New Roman" w:hAnsi="Times New Roman" w:eastAsia="宋体" w:cs="Times New Roman"/>
                <w:color w:val="000000"/>
                <w:sz w:val="24"/>
                <w:szCs w:val="24"/>
                <w:highlight w:val="none"/>
              </w:rPr>
              <w:t>危险废物</w:t>
            </w:r>
            <w:r>
              <w:rPr>
                <w:rFonts w:hint="eastAsia" w:cs="Times New Roman"/>
                <w:color w:val="000000"/>
                <w:sz w:val="24"/>
                <w:szCs w:val="24"/>
                <w:highlight w:val="none"/>
                <w:lang w:eastAsia="zh-CN"/>
              </w:rPr>
              <w:t>贮存</w:t>
            </w:r>
            <w:r>
              <w:rPr>
                <w:rFonts w:hint="eastAsia" w:cs="Times New Roman"/>
                <w:color w:val="000000"/>
                <w:sz w:val="24"/>
                <w:szCs w:val="24"/>
                <w:highlight w:val="none"/>
                <w:lang w:val="en-US" w:eastAsia="zh-CN"/>
              </w:rPr>
              <w:t>点</w:t>
            </w:r>
            <w:r>
              <w:rPr>
                <w:rFonts w:hint="eastAsia" w:ascii="Times New Roman" w:hAnsi="Times New Roman" w:eastAsia="宋体" w:cs="Times New Roman"/>
                <w:color w:val="000000"/>
                <w:sz w:val="24"/>
                <w:szCs w:val="24"/>
                <w:highlight w:val="none"/>
                <w:lang w:val="en-US" w:eastAsia="zh-CN"/>
              </w:rPr>
              <w:t>按照</w:t>
            </w:r>
            <w:r>
              <w:rPr>
                <w:rFonts w:hint="default"/>
                <w:color w:val="000000"/>
                <w:sz w:val="24"/>
                <w:szCs w:val="24"/>
                <w:highlight w:val="none"/>
                <w:lang w:val="en-US" w:eastAsia="zh-CN"/>
              </w:rPr>
              <w:t>《危险废物贮存污染控制标准》</w:t>
            </w:r>
            <w:r>
              <w:rPr>
                <w:rFonts w:hint="default" w:ascii="Times New Roman" w:hAnsi="Times New Roman" w:eastAsia="宋体" w:cs="Times New Roman"/>
                <w:color w:val="000000"/>
                <w:sz w:val="24"/>
                <w:szCs w:val="24"/>
                <w:highlight w:val="none"/>
                <w:lang w:eastAsia="zh-CN"/>
              </w:rPr>
              <w:t>进行</w:t>
            </w:r>
            <w:r>
              <w:rPr>
                <w:rFonts w:hint="eastAsia" w:ascii="Times New Roman" w:hAnsi="Times New Roman" w:eastAsia="宋体" w:cs="Times New Roman"/>
                <w:color w:val="000000"/>
                <w:sz w:val="24"/>
                <w:szCs w:val="24"/>
                <w:highlight w:val="none"/>
                <w:lang w:val="en-US" w:eastAsia="zh-CN"/>
              </w:rPr>
              <w:t>重点防渗</w:t>
            </w:r>
            <w:r>
              <w:rPr>
                <w:rFonts w:hint="default" w:ascii="Times New Roman" w:hAnsi="Times New Roman" w:eastAsia="宋体" w:cs="Times New Roman"/>
                <w:color w:val="000000"/>
                <w:sz w:val="24"/>
                <w:szCs w:val="24"/>
                <w:highlight w:val="none"/>
                <w:lang w:eastAsia="zh-CN"/>
              </w:rPr>
              <w:t>，从而防止污染介质下渗，避免对地下水、土壤环境造成环境污染。</w:t>
            </w:r>
          </w:p>
          <w:p w14:paraId="375E62AF">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lang w:val="en-US" w:eastAsia="zh-CN"/>
              </w:rPr>
              <w:t>4.2.7.3</w:t>
            </w:r>
            <w:r>
              <w:rPr>
                <w:rFonts w:hint="default" w:ascii="Times New Roman" w:hAnsi="Times New Roman" w:eastAsia="宋体" w:cs="Times New Roman"/>
                <w:b/>
                <w:bCs/>
                <w:color w:val="000000"/>
                <w:sz w:val="24"/>
                <w:szCs w:val="24"/>
                <w:highlight w:val="none"/>
              </w:rPr>
              <w:t>环境风险防范措施</w:t>
            </w:r>
          </w:p>
          <w:p w14:paraId="342AF4B8">
            <w:pPr>
              <w:keepNext w:val="0"/>
              <w:keepLines/>
              <w:pageBreakBefore w:val="0"/>
              <w:widowControl w:val="0"/>
              <w:numPr>
                <w:ilvl w:val="0"/>
                <w:numId w:val="0"/>
              </w:numPr>
              <w:tabs>
                <w:tab w:val="left" w:pos="851"/>
              </w:tabs>
              <w:kinsoku/>
              <w:wordWrap/>
              <w:overflowPunct/>
              <w:topLinePunct w:val="0"/>
              <w:autoSpaceDE/>
              <w:autoSpaceDN/>
              <w:bidi w:val="0"/>
              <w:adjustRightInd w:val="0"/>
              <w:snapToGrid w:val="0"/>
              <w:spacing w:line="360" w:lineRule="auto"/>
              <w:ind w:leftChars="0" w:right="0" w:rightChars="0" w:firstLine="480" w:firstLineChars="200"/>
              <w:textAlignment w:val="bottom"/>
              <w:outlineLvl w:val="9"/>
              <w:rPr>
                <w:rFonts w:hint="default" w:ascii="Times New Roman" w:hAnsi="Times New Roman" w:eastAsia="宋体" w:cs="Times New Roman"/>
                <w:color w:val="000000"/>
                <w:kern w:val="2"/>
                <w:sz w:val="24"/>
                <w:szCs w:val="24"/>
                <w:highlight w:val="none"/>
                <w:lang w:val="en-US" w:eastAsia="zh-CN"/>
              </w:rPr>
            </w:pPr>
            <w:r>
              <w:rPr>
                <w:rFonts w:hint="eastAsia" w:ascii="Times New Roman" w:hAnsi="Times New Roman" w:eastAsia="宋体" w:cs="Times New Roman"/>
                <w:color w:val="000000"/>
                <w:kern w:val="2"/>
                <w:sz w:val="24"/>
                <w:szCs w:val="24"/>
                <w:highlight w:val="none"/>
                <w:lang w:val="en-US" w:eastAsia="zh-CN"/>
              </w:rPr>
              <w:t>结合</w:t>
            </w:r>
            <w:r>
              <w:rPr>
                <w:rFonts w:hint="default" w:ascii="Times New Roman" w:hAnsi="Times New Roman" w:eastAsia="宋体" w:cs="Times New Roman"/>
                <w:color w:val="000000"/>
                <w:sz w:val="24"/>
                <w:szCs w:val="24"/>
                <w:highlight w:val="none"/>
              </w:rPr>
              <w:t>本项目的建设特点</w:t>
            </w:r>
            <w:r>
              <w:rPr>
                <w:rFonts w:hint="eastAsia"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为进一步降低</w:t>
            </w:r>
            <w:r>
              <w:rPr>
                <w:rFonts w:hint="eastAsia" w:ascii="Times New Roman" w:hAnsi="Times New Roman" w:eastAsia="宋体" w:cs="Times New Roman"/>
                <w:color w:val="000000"/>
                <w:sz w:val="24"/>
                <w:szCs w:val="24"/>
                <w:highlight w:val="none"/>
                <w:lang w:val="en-US" w:eastAsia="zh-CN"/>
              </w:rPr>
              <w:t>本项目潜在的环境风险</w:t>
            </w:r>
            <w:r>
              <w:rPr>
                <w:rFonts w:hint="default" w:ascii="Times New Roman" w:hAnsi="Times New Roman" w:eastAsia="宋体" w:cs="Times New Roman"/>
                <w:color w:val="000000"/>
                <w:sz w:val="24"/>
                <w:szCs w:val="24"/>
                <w:highlight w:val="none"/>
              </w:rPr>
              <w:t>，</w:t>
            </w:r>
            <w:r>
              <w:rPr>
                <w:rFonts w:hint="eastAsia" w:ascii="Times New Roman" w:hAnsi="Times New Roman" w:eastAsia="宋体" w:cs="Times New Roman"/>
                <w:color w:val="000000"/>
                <w:sz w:val="24"/>
                <w:szCs w:val="24"/>
                <w:highlight w:val="none"/>
                <w:lang w:val="en-US" w:eastAsia="zh-CN"/>
              </w:rPr>
              <w:t>建设单位应</w:t>
            </w:r>
            <w:r>
              <w:rPr>
                <w:rFonts w:hint="default" w:ascii="Times New Roman" w:hAnsi="Times New Roman" w:eastAsia="宋体" w:cs="Times New Roman"/>
                <w:color w:val="000000"/>
                <w:sz w:val="24"/>
                <w:szCs w:val="24"/>
                <w:highlight w:val="none"/>
              </w:rPr>
              <w:t>做好</w:t>
            </w:r>
            <w:r>
              <w:rPr>
                <w:rFonts w:hint="eastAsia" w:ascii="Times New Roman" w:hAnsi="Times New Roman" w:eastAsia="宋体" w:cs="Times New Roman"/>
                <w:color w:val="000000"/>
                <w:sz w:val="24"/>
                <w:szCs w:val="24"/>
                <w:highlight w:val="none"/>
                <w:lang w:val="en-US" w:eastAsia="zh-CN"/>
              </w:rPr>
              <w:t>以下</w:t>
            </w:r>
            <w:r>
              <w:rPr>
                <w:rFonts w:hint="eastAsia" w:ascii="Times New Roman" w:hAnsi="Times New Roman" w:eastAsia="宋体" w:cs="Times New Roman"/>
                <w:color w:val="000000"/>
                <w:kern w:val="2"/>
                <w:sz w:val="24"/>
                <w:szCs w:val="24"/>
                <w:highlight w:val="none"/>
                <w:lang w:val="en-US" w:eastAsia="zh-CN"/>
              </w:rPr>
              <w:t>防范措施，</w:t>
            </w:r>
            <w:r>
              <w:rPr>
                <w:rFonts w:hint="default" w:ascii="Times New Roman" w:hAnsi="Times New Roman" w:eastAsia="宋体" w:cs="Times New Roman"/>
                <w:color w:val="000000"/>
                <w:kern w:val="2"/>
                <w:sz w:val="24"/>
                <w:szCs w:val="24"/>
                <w:highlight w:val="none"/>
                <w:lang w:val="en-US" w:eastAsia="zh-CN"/>
              </w:rPr>
              <w:t>具体如下：</w:t>
            </w:r>
          </w:p>
          <w:p w14:paraId="7B8068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一）危险废物收集过程中采用的容器应与盛装的危险废物相容，且收集容器应防渗、防漏、防腐，采用硬质容器暂存时，应确保容器无明显的变动及破损泄漏情况，采用柔性容器时应封口严密及破损泄漏情况。同时容器内部应预留适当的空间，以适应温度的变化等可能引发的收缩和膨胀，防止其导致容器渗漏或永久变形。</w:t>
            </w:r>
          </w:p>
          <w:p w14:paraId="150BEA52">
            <w:pPr>
              <w:keepNext w:val="0"/>
              <w:keepLines/>
              <w:pageBreakBefore w:val="0"/>
              <w:widowControl w:val="0"/>
              <w:numPr>
                <w:ilvl w:val="0"/>
                <w:numId w:val="0"/>
              </w:numPr>
              <w:tabs>
                <w:tab w:val="left" w:pos="720"/>
                <w:tab w:val="left" w:pos="851"/>
              </w:tabs>
              <w:kinsoku/>
              <w:wordWrap/>
              <w:overflowPunct/>
              <w:topLinePunct w:val="0"/>
              <w:autoSpaceDE/>
              <w:autoSpaceDN/>
              <w:bidi w:val="0"/>
              <w:adjustRightInd/>
              <w:snapToGrid/>
              <w:spacing w:line="360" w:lineRule="auto"/>
              <w:ind w:leftChars="0" w:right="0" w:rightChars="0" w:firstLine="480" w:firstLineChars="200"/>
              <w:textAlignment w:val="bottom"/>
              <w:outlineLvl w:val="9"/>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（2）对收储操作的员工进行培训，规范化操作，杜绝人为因素导致风险事故的发生。</w:t>
            </w:r>
          </w:p>
          <w:p w14:paraId="0D04E384">
            <w:pPr>
              <w:keepNext w:val="0"/>
              <w:keepLines/>
              <w:pageBreakBefore w:val="0"/>
              <w:widowControl w:val="0"/>
              <w:numPr>
                <w:ilvl w:val="0"/>
                <w:numId w:val="0"/>
              </w:numPr>
              <w:tabs>
                <w:tab w:val="left" w:pos="720"/>
                <w:tab w:val="left" w:pos="851"/>
              </w:tabs>
              <w:kinsoku/>
              <w:wordWrap/>
              <w:overflowPunct/>
              <w:topLinePunct w:val="0"/>
              <w:autoSpaceDE/>
              <w:autoSpaceDN/>
              <w:bidi w:val="0"/>
              <w:adjustRightInd/>
              <w:snapToGrid/>
              <w:spacing w:line="360" w:lineRule="auto"/>
              <w:ind w:right="0" w:rightChars="0" w:firstLine="480" w:firstLineChars="200"/>
              <w:textAlignment w:val="bottom"/>
              <w:outlineLvl w:val="9"/>
              <w:rPr>
                <w:rFonts w:hint="default"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eastAsia="zh-CN"/>
              </w:rPr>
              <w:t>（</w:t>
            </w:r>
            <w:r>
              <w:rPr>
                <w:rFonts w:hint="eastAsia" w:ascii="Times New Roman" w:hAnsi="Times New Roman" w:eastAsia="宋体" w:cs="Times New Roman"/>
                <w:b w:val="0"/>
                <w:bCs w:val="0"/>
                <w:color w:val="000000"/>
                <w:sz w:val="24"/>
                <w:szCs w:val="24"/>
                <w:highlight w:val="none"/>
                <w:lang w:val="en-US" w:eastAsia="zh-CN"/>
              </w:rPr>
              <w:t>3</w:t>
            </w:r>
            <w:r>
              <w:rPr>
                <w:rFonts w:hint="eastAsia" w:ascii="Times New Roman" w:hAnsi="Times New Roman" w:eastAsia="宋体" w:cs="Times New Roman"/>
                <w:b w:val="0"/>
                <w:bCs w:val="0"/>
                <w:color w:val="000000"/>
                <w:sz w:val="24"/>
                <w:szCs w:val="24"/>
                <w:highlight w:val="none"/>
                <w:lang w:eastAsia="zh-CN"/>
              </w:rPr>
              <w:t>）</w:t>
            </w:r>
            <w:r>
              <w:rPr>
                <w:rFonts w:hint="default" w:ascii="Times New Roman" w:hAnsi="Times New Roman" w:eastAsia="宋体" w:cs="Times New Roman"/>
                <w:b w:val="0"/>
                <w:bCs w:val="0"/>
                <w:color w:val="000000"/>
                <w:sz w:val="24"/>
                <w:szCs w:val="24"/>
                <w:highlight w:val="none"/>
                <w:lang w:eastAsia="zh-CN"/>
              </w:rPr>
              <w:t>运行期间，应按照</w:t>
            </w:r>
            <w:r>
              <w:rPr>
                <w:rFonts w:hint="default" w:ascii="Times New Roman" w:hAnsi="Times New Roman" w:eastAsia="宋体" w:cs="Times New Roman"/>
                <w:b w:val="0"/>
                <w:bCs w:val="0"/>
                <w:color w:val="000000"/>
                <w:sz w:val="24"/>
                <w:szCs w:val="24"/>
                <w:highlight w:val="none"/>
                <w:lang w:val="en-US" w:eastAsia="zh-CN"/>
              </w:rPr>
              <w:t>《危险废物管理计划和管理台账制定技术导则》等</w:t>
            </w:r>
            <w:r>
              <w:rPr>
                <w:rFonts w:hint="default" w:ascii="Times New Roman" w:hAnsi="Times New Roman" w:eastAsia="宋体" w:cs="Times New Roman"/>
                <w:b w:val="0"/>
                <w:bCs w:val="0"/>
                <w:color w:val="000000"/>
                <w:sz w:val="24"/>
                <w:szCs w:val="24"/>
                <w:highlight w:val="none"/>
                <w:lang w:eastAsia="zh-CN"/>
              </w:rPr>
              <w:t>相关要求，制定危险废物管理计划，建立规范化的危险废物</w:t>
            </w:r>
            <w:r>
              <w:rPr>
                <w:rFonts w:hint="default" w:ascii="Times New Roman" w:hAnsi="Times New Roman" w:eastAsia="宋体" w:cs="Times New Roman"/>
                <w:b w:val="0"/>
                <w:bCs w:val="0"/>
                <w:color w:val="000000"/>
                <w:sz w:val="24"/>
                <w:szCs w:val="24"/>
                <w:highlight w:val="none"/>
                <w:lang w:val="en-US" w:eastAsia="zh-CN"/>
              </w:rPr>
              <w:t>管理</w:t>
            </w:r>
            <w:r>
              <w:rPr>
                <w:rFonts w:hint="default" w:ascii="Times New Roman" w:hAnsi="Times New Roman" w:eastAsia="宋体" w:cs="Times New Roman"/>
                <w:b w:val="0"/>
                <w:bCs w:val="0"/>
                <w:color w:val="000000"/>
                <w:sz w:val="24"/>
                <w:szCs w:val="24"/>
                <w:highlight w:val="none"/>
                <w:lang w:eastAsia="zh-CN"/>
              </w:rPr>
              <w:t>台账，严格</w:t>
            </w:r>
            <w:r>
              <w:rPr>
                <w:rFonts w:hint="default" w:ascii="Times New Roman" w:hAnsi="Times New Roman" w:eastAsia="宋体" w:cs="Times New Roman"/>
                <w:b w:val="0"/>
                <w:bCs w:val="0"/>
                <w:color w:val="000000"/>
                <w:sz w:val="24"/>
                <w:szCs w:val="24"/>
                <w:highlight w:val="none"/>
                <w:lang w:val="en-US" w:eastAsia="zh-CN"/>
              </w:rPr>
              <w:t>按照《危险废物转移</w:t>
            </w:r>
            <w:r>
              <w:rPr>
                <w:rFonts w:hint="eastAsia" w:ascii="Times New Roman" w:hAnsi="Times New Roman" w:eastAsia="宋体" w:cs="Times New Roman"/>
                <w:b w:val="0"/>
                <w:bCs w:val="0"/>
                <w:color w:val="000000"/>
                <w:sz w:val="24"/>
                <w:szCs w:val="24"/>
                <w:highlight w:val="none"/>
                <w:lang w:val="en-US" w:eastAsia="zh-CN"/>
              </w:rPr>
              <w:t>管理办法》</w:t>
            </w:r>
            <w:r>
              <w:rPr>
                <w:rFonts w:hint="default" w:ascii="Times New Roman" w:hAnsi="Times New Roman" w:eastAsia="宋体" w:cs="Times New Roman"/>
                <w:b w:val="0"/>
                <w:bCs w:val="0"/>
                <w:color w:val="000000"/>
                <w:sz w:val="24"/>
                <w:szCs w:val="24"/>
                <w:highlight w:val="none"/>
                <w:lang w:val="en-US" w:eastAsia="zh-CN"/>
              </w:rPr>
              <w:t>相关要求，遵循就近转移原则，落实危险废物转移联单制度，应当通过国家危险废物信息管理系统填写、运行危险废物电子转移联单，并依照国家有关规定公开危险废物转移相关污染环境防治信息。</w:t>
            </w:r>
          </w:p>
          <w:p w14:paraId="2773F823">
            <w:pPr>
              <w:keepNext w:val="0"/>
              <w:keepLines w:val="0"/>
              <w:pageBreakBefore w:val="0"/>
              <w:widowControl w:val="0"/>
              <w:kinsoku/>
              <w:wordWrap/>
              <w:overflowPunct/>
              <w:topLinePunct w:val="0"/>
              <w:autoSpaceDE/>
              <w:autoSpaceDN/>
              <w:bidi w:val="0"/>
              <w:spacing w:line="360" w:lineRule="auto"/>
              <w:textAlignment w:val="auto"/>
              <w:rPr>
                <w:rFonts w:hint="eastAsia"/>
                <w:b/>
                <w:bCs/>
                <w:color w:val="000000"/>
                <w:sz w:val="24"/>
                <w:szCs w:val="24"/>
                <w:lang w:val="en-US" w:eastAsia="zh-CN"/>
              </w:rPr>
            </w:pPr>
            <w:r>
              <w:rPr>
                <w:rFonts w:hint="eastAsia"/>
                <w:b/>
                <w:bCs/>
                <w:color w:val="000000"/>
                <w:sz w:val="24"/>
                <w:szCs w:val="24"/>
                <w:lang w:val="en-US" w:eastAsia="zh-CN"/>
              </w:rPr>
              <w:t>4.3 环境管理</w:t>
            </w:r>
          </w:p>
          <w:p w14:paraId="32B07B33">
            <w:pPr>
              <w:keepNext w:val="0"/>
              <w:keepLines w:val="0"/>
              <w:pageBreakBefore w:val="0"/>
              <w:widowControl w:val="0"/>
              <w:kinsoku/>
              <w:wordWrap/>
              <w:overflowPunct/>
              <w:topLinePunct w:val="0"/>
              <w:autoSpaceDE/>
              <w:autoSpaceDN/>
              <w:bidi w:val="0"/>
              <w:spacing w:line="360" w:lineRule="auto"/>
              <w:ind w:firstLine="480" w:firstLineChars="200"/>
              <w:textAlignment w:val="auto"/>
              <w:rPr>
                <w:color w:val="000000"/>
                <w:sz w:val="24"/>
                <w:szCs w:val="24"/>
              </w:rPr>
            </w:pPr>
            <w:r>
              <w:rPr>
                <w:color w:val="000000"/>
                <w:sz w:val="24"/>
                <w:szCs w:val="24"/>
              </w:rPr>
              <w:t>本项目生产运营的环境管理是企业环境管理的重点，主要应做到以下方面的工作：</w:t>
            </w:r>
          </w:p>
          <w:p w14:paraId="1DA5FEB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color w:val="000000"/>
                <w:sz w:val="24"/>
                <w:szCs w:val="24"/>
              </w:rPr>
            </w:pPr>
            <w:r>
              <w:rPr>
                <w:color w:val="000000"/>
                <w:sz w:val="24"/>
                <w:szCs w:val="24"/>
              </w:rPr>
              <w:t>（1）把环境管理和污染治理纳入企业日常经营管理中，从生产管理、技术管理、设备管理到经济成本核算都要控制污染的内容和指标；</w:t>
            </w:r>
          </w:p>
          <w:p w14:paraId="63FB840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color w:val="000000"/>
                <w:sz w:val="24"/>
                <w:szCs w:val="24"/>
              </w:rPr>
            </w:pPr>
            <w:r>
              <w:rPr>
                <w:color w:val="000000"/>
                <w:sz w:val="24"/>
                <w:szCs w:val="24"/>
              </w:rPr>
              <w:t>（2）实行环保责任制，由厂长作为环保管理责任负责人；</w:t>
            </w:r>
          </w:p>
          <w:p w14:paraId="1F87EBE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color w:val="000000"/>
                <w:sz w:val="24"/>
                <w:szCs w:val="24"/>
              </w:rPr>
            </w:pPr>
            <w:r>
              <w:rPr>
                <w:color w:val="000000"/>
                <w:sz w:val="24"/>
                <w:szCs w:val="24"/>
              </w:rPr>
              <w:t>（3）建立环境保护监督岗，检查企业生产和管理活动中违背环保法规和制度的行为；</w:t>
            </w:r>
          </w:p>
          <w:p w14:paraId="6E12AA1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color w:val="000000"/>
                <w:sz w:val="24"/>
                <w:szCs w:val="24"/>
                <w:shd w:val="clear" w:color="auto" w:fill="FFFFFF"/>
              </w:rPr>
            </w:pPr>
            <w:r>
              <w:rPr>
                <w:color w:val="000000"/>
                <w:sz w:val="24"/>
                <w:szCs w:val="24"/>
              </w:rPr>
              <w:t>（4）</w:t>
            </w:r>
            <w:r>
              <w:rPr>
                <w:rFonts w:hint="eastAsia"/>
                <w:color w:val="000000"/>
                <w:sz w:val="24"/>
                <w:szCs w:val="24"/>
                <w:lang w:val="en-US" w:eastAsia="zh-CN"/>
              </w:rPr>
              <w:t>建立</w:t>
            </w:r>
            <w:r>
              <w:rPr>
                <w:color w:val="000000"/>
                <w:sz w:val="24"/>
                <w:szCs w:val="24"/>
              </w:rPr>
              <w:t>、健全各项环保设施的运行操作规范和企业管理制度，并监督实施。</w:t>
            </w:r>
          </w:p>
          <w:p w14:paraId="3BF3A8B2">
            <w:pPr>
              <w:keepNext w:val="0"/>
              <w:keepLines w:val="0"/>
              <w:pageBreakBefore w:val="0"/>
              <w:widowControl w:val="0"/>
              <w:numPr>
                <w:ilvl w:val="0"/>
                <w:numId w:val="0"/>
              </w:numPr>
              <w:suppressLineNumbers w:val="0"/>
              <w:kinsoku/>
              <w:wordWrap/>
              <w:overflowPunct/>
              <w:topLinePunct w:val="0"/>
              <w:autoSpaceDE w:val="0"/>
              <w:autoSpaceDN w:val="0"/>
              <w:bidi w:val="0"/>
              <w:adjustRightInd/>
              <w:spacing w:before="0" w:beforeAutospacing="0" w:after="0" w:afterAutospacing="0" w:line="360" w:lineRule="auto"/>
              <w:ind w:right="0" w:rightChars="0"/>
              <w:jc w:val="left"/>
              <w:textAlignment w:val="baseline"/>
              <w:rPr>
                <w:rFonts w:hint="eastAsia" w:cs="Times New Roman"/>
                <w:b/>
                <w:bCs/>
                <w:color w:val="000000"/>
                <w:kern w:val="0"/>
                <w:sz w:val="24"/>
                <w:szCs w:val="24"/>
                <w:lang w:val="en-US" w:eastAsia="zh-CN" w:bidi="ar"/>
              </w:rPr>
            </w:pPr>
            <w:r>
              <w:rPr>
                <w:rFonts w:hint="eastAsia" w:cs="Times New Roman"/>
                <w:b/>
                <w:bCs/>
                <w:color w:val="000000"/>
                <w:kern w:val="0"/>
                <w:sz w:val="24"/>
                <w:szCs w:val="24"/>
                <w:lang w:val="en-US" w:eastAsia="zh-CN" w:bidi="ar"/>
              </w:rPr>
              <w:t>4.4 环保投资</w:t>
            </w:r>
          </w:p>
          <w:p w14:paraId="3233913E">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60" w:lineRule="auto"/>
              <w:ind w:right="0" w:rightChars="0" w:firstLine="480" w:firstLineChars="200"/>
              <w:jc w:val="both"/>
              <w:textAlignment w:val="baseline"/>
              <w:rPr>
                <w:rFonts w:hint="default" w:ascii="Times New Roman" w:hAnsi="Times New Roman" w:cs="Times New Roman"/>
                <w:b w:val="0"/>
                <w:bCs w:val="0"/>
                <w:color w:val="000000"/>
                <w:kern w:val="0"/>
                <w:sz w:val="24"/>
                <w:szCs w:val="24"/>
                <w:lang w:val="en-US" w:eastAsia="zh-CN" w:bidi="ar"/>
              </w:rPr>
            </w:pPr>
            <w:r>
              <w:rPr>
                <w:rFonts w:hint="eastAsia" w:ascii="宋体" w:hAnsi="宋体" w:eastAsia="宋体" w:cs="宋体"/>
                <w:color w:val="000000"/>
                <w:kern w:val="2"/>
                <w:sz w:val="24"/>
                <w:szCs w:val="24"/>
                <w:vertAlign w:val="baseline"/>
                <w:lang w:val="en-US" w:eastAsia="zh-CN" w:bidi="ar"/>
              </w:rPr>
              <w:t>本项目总投资</w:t>
            </w:r>
            <w:r>
              <w:rPr>
                <w:rFonts w:hint="eastAsia" w:cs="Times New Roman"/>
                <w:color w:val="000000"/>
                <w:kern w:val="2"/>
                <w:sz w:val="24"/>
                <w:szCs w:val="24"/>
                <w:vertAlign w:val="baseline"/>
                <w:lang w:val="en-US" w:eastAsia="zh-CN" w:bidi="ar"/>
              </w:rPr>
              <w:t>80万元</w:t>
            </w:r>
            <w:r>
              <w:rPr>
                <w:rFonts w:hint="eastAsia" w:ascii="宋体" w:hAnsi="宋体" w:eastAsia="宋体" w:cs="宋体"/>
                <w:color w:val="000000"/>
                <w:kern w:val="2"/>
                <w:sz w:val="24"/>
                <w:szCs w:val="24"/>
                <w:vertAlign w:val="baseline"/>
                <w:lang w:val="en-US" w:eastAsia="zh-CN" w:bidi="ar"/>
              </w:rPr>
              <w:t>，其中</w:t>
            </w:r>
            <w:r>
              <w:rPr>
                <w:rFonts w:hint="eastAsia" w:ascii="宋体" w:hAnsi="宋体" w:eastAsia="宋体" w:cs="宋体"/>
                <w:color w:val="000000"/>
                <w:kern w:val="2"/>
                <w:sz w:val="24"/>
                <w:szCs w:val="24"/>
                <w:highlight w:val="none"/>
                <w:vertAlign w:val="baseline"/>
                <w:lang w:val="en-US" w:eastAsia="zh-CN" w:bidi="ar"/>
              </w:rPr>
              <w:t>环保投资</w:t>
            </w:r>
            <w:r>
              <w:rPr>
                <w:rFonts w:hint="eastAsia" w:cs="Times New Roman"/>
                <w:color w:val="000000"/>
                <w:kern w:val="2"/>
                <w:sz w:val="24"/>
                <w:szCs w:val="24"/>
                <w:highlight w:val="none"/>
                <w:vertAlign w:val="baseline"/>
                <w:lang w:val="en-US" w:eastAsia="zh-CN" w:bidi="ar"/>
              </w:rPr>
              <w:t>7.3</w:t>
            </w:r>
            <w:r>
              <w:rPr>
                <w:rFonts w:hint="eastAsia" w:ascii="宋体" w:hAnsi="宋体" w:eastAsia="宋体" w:cs="宋体"/>
                <w:color w:val="000000"/>
                <w:kern w:val="2"/>
                <w:sz w:val="24"/>
                <w:szCs w:val="24"/>
                <w:highlight w:val="none"/>
                <w:vertAlign w:val="baseline"/>
                <w:lang w:val="en-US" w:eastAsia="zh-CN" w:bidi="ar"/>
              </w:rPr>
              <w:t>万元，占总投资约</w:t>
            </w:r>
            <w:r>
              <w:rPr>
                <w:rFonts w:hint="eastAsia" w:cs="Times New Roman"/>
                <w:color w:val="000000"/>
                <w:kern w:val="2"/>
                <w:sz w:val="24"/>
                <w:szCs w:val="24"/>
                <w:highlight w:val="none"/>
                <w:vertAlign w:val="baseline"/>
                <w:lang w:val="en-US" w:eastAsia="zh-CN" w:bidi="ar"/>
              </w:rPr>
              <w:t>9.13</w:t>
            </w:r>
            <w:r>
              <w:rPr>
                <w:rFonts w:hint="default" w:ascii="Times New Roman" w:hAnsi="Times New Roman" w:eastAsia="宋体" w:cs="Times New Roman"/>
                <w:color w:val="000000"/>
                <w:kern w:val="2"/>
                <w:sz w:val="24"/>
                <w:szCs w:val="24"/>
                <w:highlight w:val="none"/>
                <w:vertAlign w:val="baseline"/>
                <w:lang w:val="en-US" w:eastAsia="zh-CN" w:bidi="ar"/>
              </w:rPr>
              <w:t>%</w:t>
            </w:r>
            <w:r>
              <w:rPr>
                <w:rFonts w:hint="eastAsia" w:ascii="宋体" w:hAnsi="宋体" w:eastAsia="宋体" w:cs="宋体"/>
                <w:color w:val="000000"/>
                <w:kern w:val="2"/>
                <w:sz w:val="21"/>
                <w:szCs w:val="21"/>
                <w:highlight w:val="none"/>
                <w:vertAlign w:val="baseline"/>
                <w:lang w:val="en-US" w:eastAsia="zh-CN" w:bidi="ar"/>
              </w:rPr>
              <w:t>。</w:t>
            </w:r>
          </w:p>
        </w:tc>
      </w:tr>
    </w:tbl>
    <w:p w14:paraId="38177B7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bCs/>
          <w:color w:val="000000"/>
          <w:szCs w:val="21"/>
        </w:rPr>
        <w:sectPr>
          <w:pgSz w:w="11907" w:h="16840"/>
          <w:pgMar w:top="1417" w:right="1134" w:bottom="1134" w:left="1417" w:header="851" w:footer="851" w:gutter="0"/>
          <w:pgBorders>
            <w:top w:val="none" w:sz="0" w:space="0"/>
            <w:left w:val="none" w:sz="0" w:space="0"/>
            <w:bottom w:val="none" w:sz="0" w:space="0"/>
            <w:right w:val="none" w:sz="0" w:space="0"/>
          </w:pgBorders>
          <w:pgNumType w:fmt="numberInDash"/>
          <w:cols w:space="720" w:num="1"/>
          <w:docGrid w:linePitch="312" w:charSpace="0"/>
        </w:sectPr>
      </w:pPr>
    </w:p>
    <w:p w14:paraId="414407F5">
      <w:pPr>
        <w:adjustRightInd w:val="0"/>
        <w:snapToGrid w:val="0"/>
        <w:spacing w:before="192" w:beforeLines="80" w:after="24" w:afterLines="10" w:line="259" w:lineRule="auto"/>
        <w:jc w:val="left"/>
        <w:rPr>
          <w:rFonts w:hint="default" w:ascii="黑体" w:hAnsi="黑体" w:eastAsia="黑体" w:cs="黑体"/>
          <w:color w:val="000000"/>
          <w:sz w:val="32"/>
          <w:szCs w:val="28"/>
          <w:lang w:val="en-US" w:eastAsia="zh-CN"/>
        </w:rPr>
      </w:pPr>
    </w:p>
    <w:sectPr>
      <w:footerReference r:id="rId5" w:type="default"/>
      <w:pgSz w:w="16838" w:h="11906" w:orient="landscape"/>
      <w:pgMar w:top="1417" w:right="1417" w:bottom="1134" w:left="1134" w:header="851" w:footer="851" w:gutter="0"/>
      <w:pgBorders>
        <w:top w:val="none" w:sz="0" w:space="0"/>
        <w:left w:val="none" w:sz="0" w:space="0"/>
        <w:bottom w:val="none" w:sz="0" w:space="0"/>
        <w:right w:val="none" w:sz="0" w:space="0"/>
      </w:pgBorders>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8767628-DD72-4AA3-BB41-3C7E02424D9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embedRegular r:id="rId2" w:fontKey="{1D3C5065-2939-499E-9330-557381AF9B6A}"/>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3" w:fontKey="{330C4D34-A03F-4809-8804-CAEF81773C0F}"/>
  </w:font>
  <w:font w:name="方正小标宋_GBK">
    <w:panose1 w:val="02000000000000000000"/>
    <w:charset w:val="86"/>
    <w:family w:val="script"/>
    <w:pitch w:val="default"/>
    <w:sig w:usb0="A00002BF" w:usb1="38CF7CFA" w:usb2="00082016" w:usb3="00000000" w:csb0="00040001" w:csb1="00000000"/>
    <w:embedRegular r:id="rId4" w:fontKey="{F73A8ADB-6C06-4ABC-8366-1F1721638EE4}"/>
  </w:font>
  <w:font w:name="楷体_GB2312">
    <w:panose1 w:val="02010609030101010101"/>
    <w:charset w:val="86"/>
    <w:family w:val="modern"/>
    <w:pitch w:val="default"/>
    <w:sig w:usb0="00000001" w:usb1="080E0000" w:usb2="00000000" w:usb3="00000000" w:csb0="00040000" w:csb1="00000000"/>
    <w:embedRegular r:id="rId5" w:fontKey="{D0979298-DA36-4ECB-8966-86C4BCD0F5C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47D59">
    <w:pPr>
      <w:pStyle w:val="19"/>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76885">
    <w:pPr>
      <w:pStyle w:val="19"/>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CDC7DDB">
                          <w:pPr>
                            <w:pStyle w:val="19"/>
                            <w:rPr>
                              <w:rStyle w:val="32"/>
                              <w:rFonts w:ascii="宋体" w:hAnsi="宋体"/>
                              <w:sz w:val="28"/>
                              <w:szCs w:val="28"/>
                            </w:rPr>
                          </w:pPr>
                          <w:r>
                            <w:rPr>
                              <w:rStyle w:val="32"/>
                              <w:rFonts w:hint="eastAsia" w:ascii="宋体" w:hAnsi="宋体"/>
                              <w:sz w:val="20"/>
                            </w:rPr>
                            <w:t xml:space="preserve"> </w:t>
                          </w:r>
                          <w:r>
                            <w:rPr>
                              <w:rStyle w:val="32"/>
                              <w:rFonts w:ascii="宋体" w:hAnsi="宋体"/>
                              <w:sz w:val="26"/>
                              <w:szCs w:val="26"/>
                            </w:rPr>
                            <w:fldChar w:fldCharType="begin"/>
                          </w:r>
                          <w:r>
                            <w:rPr>
                              <w:rStyle w:val="32"/>
                              <w:rFonts w:ascii="宋体" w:hAnsi="宋体"/>
                              <w:sz w:val="26"/>
                              <w:szCs w:val="26"/>
                            </w:rPr>
                            <w:instrText xml:space="preserve">PAGE  </w:instrText>
                          </w:r>
                          <w:r>
                            <w:rPr>
                              <w:rStyle w:val="32"/>
                              <w:rFonts w:ascii="宋体" w:hAnsi="宋体"/>
                              <w:sz w:val="26"/>
                              <w:szCs w:val="26"/>
                            </w:rPr>
                            <w:fldChar w:fldCharType="separate"/>
                          </w:r>
                          <w:r>
                            <w:rPr>
                              <w:rStyle w:val="32"/>
                              <w:rFonts w:ascii="宋体" w:hAnsi="宋体"/>
                              <w:sz w:val="26"/>
                              <w:szCs w:val="26"/>
                            </w:rPr>
                            <w:t>4</w:t>
                          </w:r>
                          <w:r>
                            <w:rPr>
                              <w:rStyle w:val="32"/>
                              <w:rFonts w:ascii="宋体" w:hAnsi="宋体"/>
                              <w:sz w:val="26"/>
                              <w:szCs w:val="26"/>
                            </w:rPr>
                            <w:fldChar w:fldCharType="end"/>
                          </w:r>
                          <w:r>
                            <w:rPr>
                              <w:rStyle w:val="32"/>
                              <w:rFonts w:hint="eastAsia" w:ascii="宋体" w:hAnsi="宋体"/>
                              <w:sz w:val="20"/>
                            </w:rPr>
                            <w:t xml:space="preserve">  </w:t>
                          </w:r>
                        </w:p>
                      </w:txbxContent>
                    </wps:txbx>
                    <wps:bodyPr vert="horz" wrap="none" lIns="0" tIns="0" rIns="0" bIns="0" anchor="t" anchorCtr="0" upright="0">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SVju0AAAAAUBAAAP&#10;AAAAAAAAAAEAIAAAACIAAABkcnMvZG93bnJldi54bWxQSwECFAAUAAAACACHTuJAXEdPDOcBAADI&#10;AwAADgAAAAAAAAABACAAAAAfAQAAZHJzL2Uyb0RvYy54bWxQSwUGAAAAAAYABgBZAQAAeAUAAAAA&#10;">
              <v:fill on="f" focussize="0,0"/>
              <v:stroke on="f" weight="0.5pt"/>
              <v:imagedata o:title=""/>
              <o:lock v:ext="edit" aspectratio="f"/>
              <v:textbox inset="0mm,0mm,0mm,0mm" style="mso-fit-shape-to-text:t;">
                <w:txbxContent>
                  <w:p w14:paraId="5CDC7DDB">
                    <w:pPr>
                      <w:pStyle w:val="19"/>
                      <w:rPr>
                        <w:rStyle w:val="32"/>
                        <w:rFonts w:ascii="宋体" w:hAnsi="宋体"/>
                        <w:sz w:val="28"/>
                        <w:szCs w:val="28"/>
                      </w:rPr>
                    </w:pPr>
                    <w:r>
                      <w:rPr>
                        <w:rStyle w:val="32"/>
                        <w:rFonts w:hint="eastAsia" w:ascii="宋体" w:hAnsi="宋体"/>
                        <w:sz w:val="20"/>
                      </w:rPr>
                      <w:t xml:space="preserve"> </w:t>
                    </w:r>
                    <w:r>
                      <w:rPr>
                        <w:rStyle w:val="32"/>
                        <w:rFonts w:ascii="宋体" w:hAnsi="宋体"/>
                        <w:sz w:val="26"/>
                        <w:szCs w:val="26"/>
                      </w:rPr>
                      <w:fldChar w:fldCharType="begin"/>
                    </w:r>
                    <w:r>
                      <w:rPr>
                        <w:rStyle w:val="32"/>
                        <w:rFonts w:ascii="宋体" w:hAnsi="宋体"/>
                        <w:sz w:val="26"/>
                        <w:szCs w:val="26"/>
                      </w:rPr>
                      <w:instrText xml:space="preserve">PAGE  </w:instrText>
                    </w:r>
                    <w:r>
                      <w:rPr>
                        <w:rStyle w:val="32"/>
                        <w:rFonts w:ascii="宋体" w:hAnsi="宋体"/>
                        <w:sz w:val="26"/>
                        <w:szCs w:val="26"/>
                      </w:rPr>
                      <w:fldChar w:fldCharType="separate"/>
                    </w:r>
                    <w:r>
                      <w:rPr>
                        <w:rStyle w:val="32"/>
                        <w:rFonts w:ascii="宋体" w:hAnsi="宋体"/>
                        <w:sz w:val="26"/>
                        <w:szCs w:val="26"/>
                      </w:rPr>
                      <w:t>4</w:t>
                    </w:r>
                    <w:r>
                      <w:rPr>
                        <w:rStyle w:val="32"/>
                        <w:rFonts w:ascii="宋体" w:hAnsi="宋体"/>
                        <w:sz w:val="26"/>
                        <w:szCs w:val="26"/>
                      </w:rPr>
                      <w:fldChar w:fldCharType="end"/>
                    </w:r>
                    <w:r>
                      <w:rPr>
                        <w:rStyle w:val="32"/>
                        <w:rFonts w:hint="eastAsia" w:ascii="宋体" w:hAnsi="宋体"/>
                        <w:sz w:val="20"/>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59059">
    <w:pPr>
      <w:pStyle w:val="19"/>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FB60A3E">
                          <w:pPr>
                            <w:pStyle w:val="19"/>
                            <w:rPr>
                              <w:rStyle w:val="32"/>
                              <w:rFonts w:ascii="宋体" w:hAnsi="宋体"/>
                              <w:sz w:val="28"/>
                              <w:szCs w:val="28"/>
                            </w:rPr>
                          </w:pPr>
                          <w:r>
                            <w:rPr>
                              <w:rStyle w:val="32"/>
                              <w:rFonts w:hint="eastAsia" w:ascii="宋体" w:hAnsi="宋体"/>
                              <w:sz w:val="28"/>
                              <w:szCs w:val="28"/>
                            </w:rPr>
                            <w:t>—</w:t>
                          </w:r>
                          <w:r>
                            <w:rPr>
                              <w:rStyle w:val="32"/>
                              <w:rFonts w:hint="eastAsia" w:ascii="宋体" w:hAnsi="宋体"/>
                              <w:sz w:val="20"/>
                            </w:rPr>
                            <w:t xml:space="preserve">  </w:t>
                          </w:r>
                          <w:r>
                            <w:rPr>
                              <w:rStyle w:val="32"/>
                              <w:rFonts w:ascii="宋体" w:hAnsi="宋体"/>
                              <w:sz w:val="26"/>
                              <w:szCs w:val="26"/>
                            </w:rPr>
                            <w:fldChar w:fldCharType="begin"/>
                          </w:r>
                          <w:r>
                            <w:rPr>
                              <w:rStyle w:val="32"/>
                              <w:rFonts w:ascii="宋体" w:hAnsi="宋体"/>
                              <w:sz w:val="26"/>
                              <w:szCs w:val="26"/>
                            </w:rPr>
                            <w:instrText xml:space="preserve">PAGE  </w:instrText>
                          </w:r>
                          <w:r>
                            <w:rPr>
                              <w:rStyle w:val="32"/>
                              <w:rFonts w:ascii="宋体" w:hAnsi="宋体"/>
                              <w:sz w:val="26"/>
                              <w:szCs w:val="26"/>
                            </w:rPr>
                            <w:fldChar w:fldCharType="separate"/>
                          </w:r>
                          <w:r>
                            <w:rPr>
                              <w:rStyle w:val="32"/>
                              <w:rFonts w:ascii="宋体" w:hAnsi="宋体"/>
                              <w:sz w:val="26"/>
                              <w:szCs w:val="26"/>
                            </w:rPr>
                            <w:t>11</w:t>
                          </w:r>
                          <w:r>
                            <w:rPr>
                              <w:rStyle w:val="32"/>
                              <w:rFonts w:ascii="宋体" w:hAnsi="宋体"/>
                              <w:sz w:val="26"/>
                              <w:szCs w:val="26"/>
                            </w:rPr>
                            <w:fldChar w:fldCharType="end"/>
                          </w:r>
                          <w:r>
                            <w:rPr>
                              <w:rStyle w:val="32"/>
                              <w:rFonts w:hint="eastAsia" w:ascii="宋体" w:hAnsi="宋体"/>
                              <w:sz w:val="20"/>
                            </w:rPr>
                            <w:t xml:space="preserve">  </w:t>
                          </w:r>
                          <w:r>
                            <w:rPr>
                              <w:rStyle w:val="32"/>
                              <w:rFonts w:hint="eastAsia" w:ascii="宋体" w:hAnsi="宋体"/>
                              <w:sz w:val="28"/>
                              <w:szCs w:val="28"/>
                            </w:rPr>
                            <w:t>—</w:t>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AsaqAv5gEAAMcD&#10;AAAOAAAAAAAAAAEAIAAAAB8BAABkcnMvZTJvRG9jLnhtbFBLBQYAAAAABgAGAFkBAAB3BQAAAAA=&#10;">
              <v:fill on="f" focussize="0,0"/>
              <v:stroke on="f" weight="0.5pt"/>
              <v:imagedata o:title=""/>
              <o:lock v:ext="edit" aspectratio="f"/>
              <v:textbox inset="0mm,0mm,0mm,0mm" style="mso-fit-shape-to-text:t;">
                <w:txbxContent>
                  <w:p w14:paraId="7FB60A3E">
                    <w:pPr>
                      <w:pStyle w:val="19"/>
                      <w:rPr>
                        <w:rStyle w:val="32"/>
                        <w:rFonts w:ascii="宋体" w:hAnsi="宋体"/>
                        <w:sz w:val="28"/>
                        <w:szCs w:val="28"/>
                      </w:rPr>
                    </w:pPr>
                    <w:r>
                      <w:rPr>
                        <w:rStyle w:val="32"/>
                        <w:rFonts w:hint="eastAsia" w:ascii="宋体" w:hAnsi="宋体"/>
                        <w:sz w:val="28"/>
                        <w:szCs w:val="28"/>
                      </w:rPr>
                      <w:t>—</w:t>
                    </w:r>
                    <w:r>
                      <w:rPr>
                        <w:rStyle w:val="32"/>
                        <w:rFonts w:hint="eastAsia" w:ascii="宋体" w:hAnsi="宋体"/>
                        <w:sz w:val="20"/>
                      </w:rPr>
                      <w:t xml:space="preserve">  </w:t>
                    </w:r>
                    <w:r>
                      <w:rPr>
                        <w:rStyle w:val="32"/>
                        <w:rFonts w:ascii="宋体" w:hAnsi="宋体"/>
                        <w:sz w:val="26"/>
                        <w:szCs w:val="26"/>
                      </w:rPr>
                      <w:fldChar w:fldCharType="begin"/>
                    </w:r>
                    <w:r>
                      <w:rPr>
                        <w:rStyle w:val="32"/>
                        <w:rFonts w:ascii="宋体" w:hAnsi="宋体"/>
                        <w:sz w:val="26"/>
                        <w:szCs w:val="26"/>
                      </w:rPr>
                      <w:instrText xml:space="preserve">PAGE  </w:instrText>
                    </w:r>
                    <w:r>
                      <w:rPr>
                        <w:rStyle w:val="32"/>
                        <w:rFonts w:ascii="宋体" w:hAnsi="宋体"/>
                        <w:sz w:val="26"/>
                        <w:szCs w:val="26"/>
                      </w:rPr>
                      <w:fldChar w:fldCharType="separate"/>
                    </w:r>
                    <w:r>
                      <w:rPr>
                        <w:rStyle w:val="32"/>
                        <w:rFonts w:ascii="宋体" w:hAnsi="宋体"/>
                        <w:sz w:val="26"/>
                        <w:szCs w:val="26"/>
                      </w:rPr>
                      <w:t>11</w:t>
                    </w:r>
                    <w:r>
                      <w:rPr>
                        <w:rStyle w:val="32"/>
                        <w:rFonts w:ascii="宋体" w:hAnsi="宋体"/>
                        <w:sz w:val="26"/>
                        <w:szCs w:val="26"/>
                      </w:rPr>
                      <w:fldChar w:fldCharType="end"/>
                    </w:r>
                    <w:r>
                      <w:rPr>
                        <w:rStyle w:val="32"/>
                        <w:rFonts w:hint="eastAsia" w:ascii="宋体" w:hAnsi="宋体"/>
                        <w:sz w:val="20"/>
                      </w:rPr>
                      <w:t xml:space="preserve">  </w:t>
                    </w:r>
                    <w:r>
                      <w:rPr>
                        <w:rStyle w:val="32"/>
                        <w:rFonts w:hint="eastAsia" w:ascii="宋体" w:hAnsi="宋体"/>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2A8FED"/>
    <w:multiLevelType w:val="singleLevel"/>
    <w:tmpl w:val="B42A8FED"/>
    <w:lvl w:ilvl="0" w:tentative="0">
      <w:start w:val="4"/>
      <w:numFmt w:val="chineseCounting"/>
      <w:suff w:val="nothing"/>
      <w:lvlText w:val="%1、"/>
      <w:lvlJc w:val="left"/>
      <w:rPr>
        <w:rFonts w:hint="eastAsia"/>
      </w:rPr>
    </w:lvl>
  </w:abstractNum>
  <w:abstractNum w:abstractNumId="1">
    <w:nsid w:val="24E97377"/>
    <w:multiLevelType w:val="singleLevel"/>
    <w:tmpl w:val="24E97377"/>
    <w:lvl w:ilvl="0" w:tentative="0">
      <w:start w:val="1"/>
      <w:numFmt w:val="decimal"/>
      <w:pStyle w:val="56"/>
      <w:suff w:val="space"/>
      <w:lvlText w:val="图%1"/>
      <w:lvlJc w:val="left"/>
      <w:pPr>
        <w:tabs>
          <w:tab w:val="left" w:pos="397"/>
        </w:tabs>
        <w:ind w:left="454" w:hanging="454"/>
      </w:pPr>
      <w:rPr>
        <w:rFonts w:hint="default"/>
      </w:rPr>
    </w:lvl>
  </w:abstractNum>
  <w:abstractNum w:abstractNumId="2">
    <w:nsid w:val="3BB378F3"/>
    <w:multiLevelType w:val="multilevel"/>
    <w:tmpl w:val="3BB378F3"/>
    <w:lvl w:ilvl="0" w:tentative="0">
      <w:start w:val="1"/>
      <w:numFmt w:val="bullet"/>
      <w:pStyle w:val="65"/>
      <w:lvlText w:val=""/>
      <w:lvlJc w:val="left"/>
      <w:pPr>
        <w:tabs>
          <w:tab w:val="left" w:pos="2040"/>
        </w:tabs>
        <w:ind w:left="2040" w:hanging="360"/>
      </w:pPr>
      <w:rPr>
        <w:rFonts w:ascii="Wingdings" w:hAnsi="Wingdings"/>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412CD78E"/>
    <w:multiLevelType w:val="singleLevel"/>
    <w:tmpl w:val="412CD78E"/>
    <w:lvl w:ilvl="0" w:tentative="0">
      <w:start w:val="1"/>
      <w:numFmt w:val="decimal"/>
      <w:suff w:val="nothing"/>
      <w:lvlText w:val="（%1）"/>
      <w:lvlJc w:val="left"/>
      <w:pPr>
        <w:ind w:left="-2"/>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yNjRiOGVjNGQ4OGM0YzEzYzQ1MWZkNTM4MWNiNmEifQ=="/>
  </w:docVars>
  <w:rsids>
    <w:rsidRoot w:val="000F6F2A"/>
    <w:rsid w:val="00017154"/>
    <w:rsid w:val="00070CB8"/>
    <w:rsid w:val="000F6F2A"/>
    <w:rsid w:val="00140D81"/>
    <w:rsid w:val="0019725E"/>
    <w:rsid w:val="001C19C9"/>
    <w:rsid w:val="002032BD"/>
    <w:rsid w:val="0023368B"/>
    <w:rsid w:val="00254B53"/>
    <w:rsid w:val="00295DA8"/>
    <w:rsid w:val="002C6859"/>
    <w:rsid w:val="0035278F"/>
    <w:rsid w:val="00463BAD"/>
    <w:rsid w:val="00566A5B"/>
    <w:rsid w:val="00635652"/>
    <w:rsid w:val="00653507"/>
    <w:rsid w:val="006F53A7"/>
    <w:rsid w:val="0077078C"/>
    <w:rsid w:val="00780895"/>
    <w:rsid w:val="0078707D"/>
    <w:rsid w:val="007C2772"/>
    <w:rsid w:val="007D6D3B"/>
    <w:rsid w:val="007E2FB2"/>
    <w:rsid w:val="00864FBC"/>
    <w:rsid w:val="008813A9"/>
    <w:rsid w:val="008C15DA"/>
    <w:rsid w:val="00904DE3"/>
    <w:rsid w:val="00AC33D1"/>
    <w:rsid w:val="00BB4F4B"/>
    <w:rsid w:val="00BF092A"/>
    <w:rsid w:val="00C96498"/>
    <w:rsid w:val="00D05A3C"/>
    <w:rsid w:val="00F96726"/>
    <w:rsid w:val="00FA4BCD"/>
    <w:rsid w:val="01004BF7"/>
    <w:rsid w:val="01015F82"/>
    <w:rsid w:val="010A289D"/>
    <w:rsid w:val="010A6F3B"/>
    <w:rsid w:val="01180952"/>
    <w:rsid w:val="011C0A07"/>
    <w:rsid w:val="01263A42"/>
    <w:rsid w:val="012E780F"/>
    <w:rsid w:val="01334D46"/>
    <w:rsid w:val="013C0A7B"/>
    <w:rsid w:val="013C2104"/>
    <w:rsid w:val="014129B9"/>
    <w:rsid w:val="014746DC"/>
    <w:rsid w:val="014C20AC"/>
    <w:rsid w:val="014E002C"/>
    <w:rsid w:val="014E5AB0"/>
    <w:rsid w:val="01574536"/>
    <w:rsid w:val="015B3024"/>
    <w:rsid w:val="01612373"/>
    <w:rsid w:val="01622E9B"/>
    <w:rsid w:val="0183076B"/>
    <w:rsid w:val="019344D1"/>
    <w:rsid w:val="01944D8E"/>
    <w:rsid w:val="01967A54"/>
    <w:rsid w:val="01A7319E"/>
    <w:rsid w:val="01AB5DF6"/>
    <w:rsid w:val="01AF2A9C"/>
    <w:rsid w:val="01BD0A00"/>
    <w:rsid w:val="01C012ED"/>
    <w:rsid w:val="01CB4CF8"/>
    <w:rsid w:val="01DF5DBC"/>
    <w:rsid w:val="01E26CC8"/>
    <w:rsid w:val="01E7492A"/>
    <w:rsid w:val="01E8233A"/>
    <w:rsid w:val="01E966F8"/>
    <w:rsid w:val="01EA2B39"/>
    <w:rsid w:val="01F549D1"/>
    <w:rsid w:val="02120849"/>
    <w:rsid w:val="02135755"/>
    <w:rsid w:val="02151639"/>
    <w:rsid w:val="02156330"/>
    <w:rsid w:val="021B6577"/>
    <w:rsid w:val="022D4D59"/>
    <w:rsid w:val="022F1C3B"/>
    <w:rsid w:val="02320606"/>
    <w:rsid w:val="02401C4B"/>
    <w:rsid w:val="024424EC"/>
    <w:rsid w:val="02542B2B"/>
    <w:rsid w:val="025F40D1"/>
    <w:rsid w:val="02664ECD"/>
    <w:rsid w:val="026F58FB"/>
    <w:rsid w:val="02723007"/>
    <w:rsid w:val="02760449"/>
    <w:rsid w:val="0281338E"/>
    <w:rsid w:val="02813F73"/>
    <w:rsid w:val="02846B38"/>
    <w:rsid w:val="028579FF"/>
    <w:rsid w:val="02875344"/>
    <w:rsid w:val="029717AE"/>
    <w:rsid w:val="029B50CC"/>
    <w:rsid w:val="029E4E2E"/>
    <w:rsid w:val="02AA2C22"/>
    <w:rsid w:val="02AD5F5B"/>
    <w:rsid w:val="02B45ECA"/>
    <w:rsid w:val="02BF3353"/>
    <w:rsid w:val="02C87BC9"/>
    <w:rsid w:val="02D0730E"/>
    <w:rsid w:val="02DA5FC0"/>
    <w:rsid w:val="02FF629B"/>
    <w:rsid w:val="0318292F"/>
    <w:rsid w:val="031D6CE5"/>
    <w:rsid w:val="032C2AEA"/>
    <w:rsid w:val="032D1D37"/>
    <w:rsid w:val="034C7D15"/>
    <w:rsid w:val="034F600C"/>
    <w:rsid w:val="035501C7"/>
    <w:rsid w:val="035B7D05"/>
    <w:rsid w:val="036156A5"/>
    <w:rsid w:val="03642F48"/>
    <w:rsid w:val="03687735"/>
    <w:rsid w:val="03693635"/>
    <w:rsid w:val="036C1BE8"/>
    <w:rsid w:val="03853507"/>
    <w:rsid w:val="03894585"/>
    <w:rsid w:val="03AB7EBD"/>
    <w:rsid w:val="03AE7266"/>
    <w:rsid w:val="03B72588"/>
    <w:rsid w:val="03C46D2C"/>
    <w:rsid w:val="03D90CD2"/>
    <w:rsid w:val="03E418FA"/>
    <w:rsid w:val="04051239"/>
    <w:rsid w:val="040F749D"/>
    <w:rsid w:val="041006D9"/>
    <w:rsid w:val="04186149"/>
    <w:rsid w:val="041904CC"/>
    <w:rsid w:val="04257A45"/>
    <w:rsid w:val="043833BC"/>
    <w:rsid w:val="04497235"/>
    <w:rsid w:val="044B4791"/>
    <w:rsid w:val="047C0A04"/>
    <w:rsid w:val="048145FF"/>
    <w:rsid w:val="049F343C"/>
    <w:rsid w:val="04A173D8"/>
    <w:rsid w:val="04A942BA"/>
    <w:rsid w:val="04AC1AE2"/>
    <w:rsid w:val="04AF4D12"/>
    <w:rsid w:val="04B86F57"/>
    <w:rsid w:val="04C5438A"/>
    <w:rsid w:val="04C605BB"/>
    <w:rsid w:val="04C709B3"/>
    <w:rsid w:val="04CF2FFE"/>
    <w:rsid w:val="04DB6B1B"/>
    <w:rsid w:val="04DC36F6"/>
    <w:rsid w:val="04E920DE"/>
    <w:rsid w:val="0501370B"/>
    <w:rsid w:val="050414F1"/>
    <w:rsid w:val="05184F9C"/>
    <w:rsid w:val="053042DA"/>
    <w:rsid w:val="05410602"/>
    <w:rsid w:val="054316D0"/>
    <w:rsid w:val="05451AA1"/>
    <w:rsid w:val="055847A1"/>
    <w:rsid w:val="05597008"/>
    <w:rsid w:val="056D36AE"/>
    <w:rsid w:val="05707368"/>
    <w:rsid w:val="058F1823"/>
    <w:rsid w:val="059172E0"/>
    <w:rsid w:val="059352E4"/>
    <w:rsid w:val="05A668B7"/>
    <w:rsid w:val="05AA152E"/>
    <w:rsid w:val="05C75567"/>
    <w:rsid w:val="05CF1B54"/>
    <w:rsid w:val="05D23E74"/>
    <w:rsid w:val="05D32D22"/>
    <w:rsid w:val="05D40D31"/>
    <w:rsid w:val="05D42760"/>
    <w:rsid w:val="05E07C9C"/>
    <w:rsid w:val="05E71EC9"/>
    <w:rsid w:val="05F128CA"/>
    <w:rsid w:val="05F135C2"/>
    <w:rsid w:val="06062955"/>
    <w:rsid w:val="060E5A7B"/>
    <w:rsid w:val="06243C09"/>
    <w:rsid w:val="06293905"/>
    <w:rsid w:val="06302D6F"/>
    <w:rsid w:val="06336614"/>
    <w:rsid w:val="063B4759"/>
    <w:rsid w:val="064213C9"/>
    <w:rsid w:val="064535DA"/>
    <w:rsid w:val="06470295"/>
    <w:rsid w:val="064F46A6"/>
    <w:rsid w:val="065176CE"/>
    <w:rsid w:val="06520CD2"/>
    <w:rsid w:val="067805AD"/>
    <w:rsid w:val="067C71FB"/>
    <w:rsid w:val="068627CC"/>
    <w:rsid w:val="06892B8E"/>
    <w:rsid w:val="069A2B12"/>
    <w:rsid w:val="06A72A4C"/>
    <w:rsid w:val="06B05295"/>
    <w:rsid w:val="06C70A28"/>
    <w:rsid w:val="06CC1006"/>
    <w:rsid w:val="06D91EF9"/>
    <w:rsid w:val="06DE5A7E"/>
    <w:rsid w:val="06DF45A9"/>
    <w:rsid w:val="06E415DA"/>
    <w:rsid w:val="06E76A98"/>
    <w:rsid w:val="070A5991"/>
    <w:rsid w:val="07151BFD"/>
    <w:rsid w:val="07152DEC"/>
    <w:rsid w:val="07252776"/>
    <w:rsid w:val="07263761"/>
    <w:rsid w:val="072D190C"/>
    <w:rsid w:val="07342561"/>
    <w:rsid w:val="07384CE2"/>
    <w:rsid w:val="07441979"/>
    <w:rsid w:val="074A0E57"/>
    <w:rsid w:val="07550C9D"/>
    <w:rsid w:val="075B2310"/>
    <w:rsid w:val="075F4E5F"/>
    <w:rsid w:val="07723E90"/>
    <w:rsid w:val="078D5AD2"/>
    <w:rsid w:val="07950900"/>
    <w:rsid w:val="07A50D69"/>
    <w:rsid w:val="07BD3947"/>
    <w:rsid w:val="07C12BA0"/>
    <w:rsid w:val="07E6135B"/>
    <w:rsid w:val="07F503D2"/>
    <w:rsid w:val="080A71B9"/>
    <w:rsid w:val="080D155E"/>
    <w:rsid w:val="08190C02"/>
    <w:rsid w:val="08234E4B"/>
    <w:rsid w:val="082C51CA"/>
    <w:rsid w:val="08316F5E"/>
    <w:rsid w:val="08396BE4"/>
    <w:rsid w:val="08402C12"/>
    <w:rsid w:val="084B4545"/>
    <w:rsid w:val="085D3DBE"/>
    <w:rsid w:val="085E5E2D"/>
    <w:rsid w:val="085F360E"/>
    <w:rsid w:val="08637569"/>
    <w:rsid w:val="0865674A"/>
    <w:rsid w:val="08664BDA"/>
    <w:rsid w:val="087A0AD4"/>
    <w:rsid w:val="087D3341"/>
    <w:rsid w:val="087F1B03"/>
    <w:rsid w:val="0880730A"/>
    <w:rsid w:val="089B07C6"/>
    <w:rsid w:val="08AB4E8F"/>
    <w:rsid w:val="08C02226"/>
    <w:rsid w:val="08C02303"/>
    <w:rsid w:val="08C52BB4"/>
    <w:rsid w:val="08D8481D"/>
    <w:rsid w:val="08E049BC"/>
    <w:rsid w:val="08E5635C"/>
    <w:rsid w:val="08EA7B6A"/>
    <w:rsid w:val="08F04266"/>
    <w:rsid w:val="09012917"/>
    <w:rsid w:val="090C7C68"/>
    <w:rsid w:val="09241D51"/>
    <w:rsid w:val="09242E7F"/>
    <w:rsid w:val="09291192"/>
    <w:rsid w:val="09322AD0"/>
    <w:rsid w:val="09340C35"/>
    <w:rsid w:val="09351ECD"/>
    <w:rsid w:val="093945EF"/>
    <w:rsid w:val="093C1CCC"/>
    <w:rsid w:val="09401A8A"/>
    <w:rsid w:val="094F160D"/>
    <w:rsid w:val="098D5289"/>
    <w:rsid w:val="09987F8F"/>
    <w:rsid w:val="09A924E1"/>
    <w:rsid w:val="09B26D88"/>
    <w:rsid w:val="09BA727E"/>
    <w:rsid w:val="09BB563C"/>
    <w:rsid w:val="09BF5617"/>
    <w:rsid w:val="09E872BA"/>
    <w:rsid w:val="09EB5753"/>
    <w:rsid w:val="09EE0E0A"/>
    <w:rsid w:val="09F918AD"/>
    <w:rsid w:val="09FC05B3"/>
    <w:rsid w:val="0A011026"/>
    <w:rsid w:val="0A035E23"/>
    <w:rsid w:val="0A1D422B"/>
    <w:rsid w:val="0A1F17C0"/>
    <w:rsid w:val="0A215FB4"/>
    <w:rsid w:val="0A2B04B6"/>
    <w:rsid w:val="0A2F62BD"/>
    <w:rsid w:val="0A343A76"/>
    <w:rsid w:val="0A3A206B"/>
    <w:rsid w:val="0A3C401C"/>
    <w:rsid w:val="0A442EB4"/>
    <w:rsid w:val="0A475442"/>
    <w:rsid w:val="0A483800"/>
    <w:rsid w:val="0A56459C"/>
    <w:rsid w:val="0A59056C"/>
    <w:rsid w:val="0A633505"/>
    <w:rsid w:val="0A64550F"/>
    <w:rsid w:val="0A66588D"/>
    <w:rsid w:val="0A7231AD"/>
    <w:rsid w:val="0A724C9E"/>
    <w:rsid w:val="0A763679"/>
    <w:rsid w:val="0A825391"/>
    <w:rsid w:val="0A861300"/>
    <w:rsid w:val="0A917F37"/>
    <w:rsid w:val="0A951944"/>
    <w:rsid w:val="0AA931AD"/>
    <w:rsid w:val="0AD86097"/>
    <w:rsid w:val="0AE001AB"/>
    <w:rsid w:val="0AE438C8"/>
    <w:rsid w:val="0B0A243E"/>
    <w:rsid w:val="0B0B59F4"/>
    <w:rsid w:val="0B11073A"/>
    <w:rsid w:val="0B137616"/>
    <w:rsid w:val="0B1E52B3"/>
    <w:rsid w:val="0B316DB7"/>
    <w:rsid w:val="0B3348DE"/>
    <w:rsid w:val="0B3422AF"/>
    <w:rsid w:val="0B3C693A"/>
    <w:rsid w:val="0B3D1290"/>
    <w:rsid w:val="0B422B5A"/>
    <w:rsid w:val="0B425CBD"/>
    <w:rsid w:val="0B4516D4"/>
    <w:rsid w:val="0B4746EA"/>
    <w:rsid w:val="0B521208"/>
    <w:rsid w:val="0B530962"/>
    <w:rsid w:val="0B54038B"/>
    <w:rsid w:val="0B5B1D1D"/>
    <w:rsid w:val="0B5D78EA"/>
    <w:rsid w:val="0B5F2B35"/>
    <w:rsid w:val="0B607488"/>
    <w:rsid w:val="0B6D2539"/>
    <w:rsid w:val="0B77149A"/>
    <w:rsid w:val="0B791C5D"/>
    <w:rsid w:val="0B8557A2"/>
    <w:rsid w:val="0B863866"/>
    <w:rsid w:val="0B8B39B6"/>
    <w:rsid w:val="0B9A622A"/>
    <w:rsid w:val="0BB418D1"/>
    <w:rsid w:val="0BB91659"/>
    <w:rsid w:val="0BBE3F02"/>
    <w:rsid w:val="0BC5122A"/>
    <w:rsid w:val="0BC61CF3"/>
    <w:rsid w:val="0BCE57AB"/>
    <w:rsid w:val="0BD17FEE"/>
    <w:rsid w:val="0BDC31C7"/>
    <w:rsid w:val="0BDE1E72"/>
    <w:rsid w:val="0BEC6A02"/>
    <w:rsid w:val="0C0B76D3"/>
    <w:rsid w:val="0C230FE2"/>
    <w:rsid w:val="0C312A50"/>
    <w:rsid w:val="0C375DCE"/>
    <w:rsid w:val="0C3C1E2B"/>
    <w:rsid w:val="0C4161CA"/>
    <w:rsid w:val="0C457830"/>
    <w:rsid w:val="0C487A8C"/>
    <w:rsid w:val="0C4D0AD7"/>
    <w:rsid w:val="0C546833"/>
    <w:rsid w:val="0C5A071A"/>
    <w:rsid w:val="0C5E7DEC"/>
    <w:rsid w:val="0C7064DB"/>
    <w:rsid w:val="0C7134EE"/>
    <w:rsid w:val="0C747926"/>
    <w:rsid w:val="0C84316F"/>
    <w:rsid w:val="0C865140"/>
    <w:rsid w:val="0C8C5AC1"/>
    <w:rsid w:val="0C8D3D3F"/>
    <w:rsid w:val="0C900F5B"/>
    <w:rsid w:val="0C914FD2"/>
    <w:rsid w:val="0C945850"/>
    <w:rsid w:val="0C9B357F"/>
    <w:rsid w:val="0CA00C51"/>
    <w:rsid w:val="0CAC7762"/>
    <w:rsid w:val="0CAF5E28"/>
    <w:rsid w:val="0CC5580B"/>
    <w:rsid w:val="0CC90426"/>
    <w:rsid w:val="0CC92C18"/>
    <w:rsid w:val="0CDC6905"/>
    <w:rsid w:val="0CE2008C"/>
    <w:rsid w:val="0CF65806"/>
    <w:rsid w:val="0CF67B32"/>
    <w:rsid w:val="0D086DBF"/>
    <w:rsid w:val="0D186537"/>
    <w:rsid w:val="0D1C2278"/>
    <w:rsid w:val="0D241359"/>
    <w:rsid w:val="0D275ED4"/>
    <w:rsid w:val="0D2B0923"/>
    <w:rsid w:val="0D3966E8"/>
    <w:rsid w:val="0D3A33A8"/>
    <w:rsid w:val="0D465D02"/>
    <w:rsid w:val="0D50320F"/>
    <w:rsid w:val="0D506F24"/>
    <w:rsid w:val="0D5648B3"/>
    <w:rsid w:val="0D5C5137"/>
    <w:rsid w:val="0D5E517C"/>
    <w:rsid w:val="0D6A70DA"/>
    <w:rsid w:val="0D6C5074"/>
    <w:rsid w:val="0D7015C7"/>
    <w:rsid w:val="0D87338A"/>
    <w:rsid w:val="0D90770E"/>
    <w:rsid w:val="0D9A4783"/>
    <w:rsid w:val="0DA144C4"/>
    <w:rsid w:val="0DA43B23"/>
    <w:rsid w:val="0DB52CFA"/>
    <w:rsid w:val="0DBB799B"/>
    <w:rsid w:val="0DC02F61"/>
    <w:rsid w:val="0DDD4DF0"/>
    <w:rsid w:val="0DED255B"/>
    <w:rsid w:val="0E02232D"/>
    <w:rsid w:val="0E02478A"/>
    <w:rsid w:val="0E107357"/>
    <w:rsid w:val="0E122BBA"/>
    <w:rsid w:val="0E246D3C"/>
    <w:rsid w:val="0E2844A2"/>
    <w:rsid w:val="0E3A5F83"/>
    <w:rsid w:val="0E462D22"/>
    <w:rsid w:val="0E4B594E"/>
    <w:rsid w:val="0E5860DF"/>
    <w:rsid w:val="0E6A4C89"/>
    <w:rsid w:val="0E7B6811"/>
    <w:rsid w:val="0E823A65"/>
    <w:rsid w:val="0E8C696F"/>
    <w:rsid w:val="0EBB030B"/>
    <w:rsid w:val="0EC04430"/>
    <w:rsid w:val="0EC65FE7"/>
    <w:rsid w:val="0EC71355"/>
    <w:rsid w:val="0ECF0E28"/>
    <w:rsid w:val="0ED42358"/>
    <w:rsid w:val="0ED81790"/>
    <w:rsid w:val="0ED83989"/>
    <w:rsid w:val="0ED84352"/>
    <w:rsid w:val="0EDF6860"/>
    <w:rsid w:val="0EFC3481"/>
    <w:rsid w:val="0F037444"/>
    <w:rsid w:val="0F063A42"/>
    <w:rsid w:val="0F157230"/>
    <w:rsid w:val="0F175A24"/>
    <w:rsid w:val="0F3E6F3A"/>
    <w:rsid w:val="0F403B46"/>
    <w:rsid w:val="0F416B92"/>
    <w:rsid w:val="0F5C12D9"/>
    <w:rsid w:val="0F6610B5"/>
    <w:rsid w:val="0F7D0337"/>
    <w:rsid w:val="0F8120BC"/>
    <w:rsid w:val="0F865924"/>
    <w:rsid w:val="0F8C7FF9"/>
    <w:rsid w:val="0F945E94"/>
    <w:rsid w:val="0FAB5291"/>
    <w:rsid w:val="0FB73E45"/>
    <w:rsid w:val="0FB826C1"/>
    <w:rsid w:val="0FBB7F2A"/>
    <w:rsid w:val="0FC368FA"/>
    <w:rsid w:val="0FC40731"/>
    <w:rsid w:val="0FCC3CE8"/>
    <w:rsid w:val="0FCF2728"/>
    <w:rsid w:val="0FD12E88"/>
    <w:rsid w:val="0FDE5837"/>
    <w:rsid w:val="0FDE637C"/>
    <w:rsid w:val="0FE22872"/>
    <w:rsid w:val="0FEA0A61"/>
    <w:rsid w:val="0FEB14E5"/>
    <w:rsid w:val="0FED368F"/>
    <w:rsid w:val="0FEE454B"/>
    <w:rsid w:val="0FF30ADF"/>
    <w:rsid w:val="0FF3585D"/>
    <w:rsid w:val="0FFF301A"/>
    <w:rsid w:val="10022510"/>
    <w:rsid w:val="10077E2A"/>
    <w:rsid w:val="100C11C3"/>
    <w:rsid w:val="10112621"/>
    <w:rsid w:val="10487A69"/>
    <w:rsid w:val="104A2741"/>
    <w:rsid w:val="10675C8C"/>
    <w:rsid w:val="106D69D0"/>
    <w:rsid w:val="107A43CA"/>
    <w:rsid w:val="107C7CB1"/>
    <w:rsid w:val="10833DB8"/>
    <w:rsid w:val="10A97802"/>
    <w:rsid w:val="10B4296F"/>
    <w:rsid w:val="10B77F8C"/>
    <w:rsid w:val="10B864F8"/>
    <w:rsid w:val="10C10E11"/>
    <w:rsid w:val="10CA377A"/>
    <w:rsid w:val="10DE07BF"/>
    <w:rsid w:val="10EC79A8"/>
    <w:rsid w:val="10FD5C06"/>
    <w:rsid w:val="11000115"/>
    <w:rsid w:val="11037827"/>
    <w:rsid w:val="11134F3E"/>
    <w:rsid w:val="11135565"/>
    <w:rsid w:val="1117591A"/>
    <w:rsid w:val="112121FD"/>
    <w:rsid w:val="11222784"/>
    <w:rsid w:val="11247A7C"/>
    <w:rsid w:val="112963E1"/>
    <w:rsid w:val="11301FEB"/>
    <w:rsid w:val="114572BF"/>
    <w:rsid w:val="114F39FF"/>
    <w:rsid w:val="11545714"/>
    <w:rsid w:val="11673533"/>
    <w:rsid w:val="117A4246"/>
    <w:rsid w:val="118063A3"/>
    <w:rsid w:val="118235AB"/>
    <w:rsid w:val="118366A4"/>
    <w:rsid w:val="11920818"/>
    <w:rsid w:val="11A44E27"/>
    <w:rsid w:val="11AC0633"/>
    <w:rsid w:val="11B322D4"/>
    <w:rsid w:val="11B3657E"/>
    <w:rsid w:val="11B521D7"/>
    <w:rsid w:val="11BB6893"/>
    <w:rsid w:val="11C12C43"/>
    <w:rsid w:val="11CE6DCD"/>
    <w:rsid w:val="11D1142E"/>
    <w:rsid w:val="11D60867"/>
    <w:rsid w:val="11D61139"/>
    <w:rsid w:val="11E55744"/>
    <w:rsid w:val="11E60F87"/>
    <w:rsid w:val="11EB4164"/>
    <w:rsid w:val="11F34AE3"/>
    <w:rsid w:val="11F502DC"/>
    <w:rsid w:val="11F97A8B"/>
    <w:rsid w:val="120B0362"/>
    <w:rsid w:val="12184A3D"/>
    <w:rsid w:val="121D4215"/>
    <w:rsid w:val="1242712A"/>
    <w:rsid w:val="12465F4C"/>
    <w:rsid w:val="12480853"/>
    <w:rsid w:val="124B41FD"/>
    <w:rsid w:val="125A48E8"/>
    <w:rsid w:val="127376BB"/>
    <w:rsid w:val="127719A1"/>
    <w:rsid w:val="12A46371"/>
    <w:rsid w:val="12A55267"/>
    <w:rsid w:val="12AE35AD"/>
    <w:rsid w:val="12B9693D"/>
    <w:rsid w:val="12BA5D36"/>
    <w:rsid w:val="12C1506F"/>
    <w:rsid w:val="12CA002C"/>
    <w:rsid w:val="12E1363D"/>
    <w:rsid w:val="13012BF9"/>
    <w:rsid w:val="130672B3"/>
    <w:rsid w:val="130C2B10"/>
    <w:rsid w:val="131330B4"/>
    <w:rsid w:val="13165F1A"/>
    <w:rsid w:val="131D3A4C"/>
    <w:rsid w:val="131F1585"/>
    <w:rsid w:val="13216BA6"/>
    <w:rsid w:val="13386F35"/>
    <w:rsid w:val="133E5D49"/>
    <w:rsid w:val="134E41D4"/>
    <w:rsid w:val="1351449B"/>
    <w:rsid w:val="13596F3D"/>
    <w:rsid w:val="13670928"/>
    <w:rsid w:val="13687831"/>
    <w:rsid w:val="136B52FF"/>
    <w:rsid w:val="136C7BC0"/>
    <w:rsid w:val="13875988"/>
    <w:rsid w:val="13985DC4"/>
    <w:rsid w:val="13BD1425"/>
    <w:rsid w:val="13C95DDF"/>
    <w:rsid w:val="13CD04D8"/>
    <w:rsid w:val="13CE2D7B"/>
    <w:rsid w:val="13D36C5E"/>
    <w:rsid w:val="13E20CF7"/>
    <w:rsid w:val="13E2735A"/>
    <w:rsid w:val="141B7A40"/>
    <w:rsid w:val="141D6281"/>
    <w:rsid w:val="142132F3"/>
    <w:rsid w:val="14236C2A"/>
    <w:rsid w:val="1429304B"/>
    <w:rsid w:val="14556AF5"/>
    <w:rsid w:val="14566824"/>
    <w:rsid w:val="145819BB"/>
    <w:rsid w:val="145B14A6"/>
    <w:rsid w:val="145E2D3A"/>
    <w:rsid w:val="14756407"/>
    <w:rsid w:val="14836220"/>
    <w:rsid w:val="14843780"/>
    <w:rsid w:val="148C3697"/>
    <w:rsid w:val="149518E6"/>
    <w:rsid w:val="14970BA9"/>
    <w:rsid w:val="14A82215"/>
    <w:rsid w:val="14BC3D93"/>
    <w:rsid w:val="14CB02CD"/>
    <w:rsid w:val="14CB2F10"/>
    <w:rsid w:val="14CB44CC"/>
    <w:rsid w:val="14CC6DE0"/>
    <w:rsid w:val="14E52410"/>
    <w:rsid w:val="14E94105"/>
    <w:rsid w:val="14EB1E97"/>
    <w:rsid w:val="14F24D7C"/>
    <w:rsid w:val="150115A9"/>
    <w:rsid w:val="15032370"/>
    <w:rsid w:val="151816BC"/>
    <w:rsid w:val="151F421E"/>
    <w:rsid w:val="15336A26"/>
    <w:rsid w:val="15351C4B"/>
    <w:rsid w:val="15362D53"/>
    <w:rsid w:val="154F0792"/>
    <w:rsid w:val="15523240"/>
    <w:rsid w:val="15581728"/>
    <w:rsid w:val="155E39AB"/>
    <w:rsid w:val="159137EF"/>
    <w:rsid w:val="15A34E52"/>
    <w:rsid w:val="15AF54A3"/>
    <w:rsid w:val="15C66011"/>
    <w:rsid w:val="15D05B4B"/>
    <w:rsid w:val="15D53DCC"/>
    <w:rsid w:val="15D9373F"/>
    <w:rsid w:val="15DA6281"/>
    <w:rsid w:val="15DC1DBE"/>
    <w:rsid w:val="15E01171"/>
    <w:rsid w:val="15E15E5D"/>
    <w:rsid w:val="15EA29F1"/>
    <w:rsid w:val="15FA407B"/>
    <w:rsid w:val="16063DC3"/>
    <w:rsid w:val="160C46A9"/>
    <w:rsid w:val="160F31D6"/>
    <w:rsid w:val="161B7B46"/>
    <w:rsid w:val="16290087"/>
    <w:rsid w:val="162B5D51"/>
    <w:rsid w:val="162F55EC"/>
    <w:rsid w:val="163C2824"/>
    <w:rsid w:val="1641740F"/>
    <w:rsid w:val="164711B3"/>
    <w:rsid w:val="16524561"/>
    <w:rsid w:val="166F3BBB"/>
    <w:rsid w:val="168626AD"/>
    <w:rsid w:val="16895989"/>
    <w:rsid w:val="16960C30"/>
    <w:rsid w:val="16B20DAC"/>
    <w:rsid w:val="16C07C51"/>
    <w:rsid w:val="16CA7867"/>
    <w:rsid w:val="16D5374C"/>
    <w:rsid w:val="16E71884"/>
    <w:rsid w:val="16EA1EE9"/>
    <w:rsid w:val="16FA43FC"/>
    <w:rsid w:val="1705022E"/>
    <w:rsid w:val="170F1484"/>
    <w:rsid w:val="170F6011"/>
    <w:rsid w:val="173E7603"/>
    <w:rsid w:val="17457431"/>
    <w:rsid w:val="17482EAB"/>
    <w:rsid w:val="174C07AF"/>
    <w:rsid w:val="174F17F2"/>
    <w:rsid w:val="174F3B50"/>
    <w:rsid w:val="175439A9"/>
    <w:rsid w:val="175B4026"/>
    <w:rsid w:val="175F5519"/>
    <w:rsid w:val="175F787A"/>
    <w:rsid w:val="17625748"/>
    <w:rsid w:val="178270E2"/>
    <w:rsid w:val="17872609"/>
    <w:rsid w:val="17A71B9F"/>
    <w:rsid w:val="17A872AF"/>
    <w:rsid w:val="17B65B9C"/>
    <w:rsid w:val="17BB6387"/>
    <w:rsid w:val="17CE4ACE"/>
    <w:rsid w:val="17E90D5E"/>
    <w:rsid w:val="17E91EE8"/>
    <w:rsid w:val="17F2660C"/>
    <w:rsid w:val="17F85901"/>
    <w:rsid w:val="17F968AC"/>
    <w:rsid w:val="180022AB"/>
    <w:rsid w:val="180151CF"/>
    <w:rsid w:val="18046EEA"/>
    <w:rsid w:val="18073B3C"/>
    <w:rsid w:val="18107F8E"/>
    <w:rsid w:val="18145AF9"/>
    <w:rsid w:val="18203321"/>
    <w:rsid w:val="183114D0"/>
    <w:rsid w:val="18443A34"/>
    <w:rsid w:val="184D1CA8"/>
    <w:rsid w:val="18567EC7"/>
    <w:rsid w:val="18662AB3"/>
    <w:rsid w:val="18690EB4"/>
    <w:rsid w:val="187C6966"/>
    <w:rsid w:val="1889406B"/>
    <w:rsid w:val="18A40613"/>
    <w:rsid w:val="18A47BCB"/>
    <w:rsid w:val="18AC3A9F"/>
    <w:rsid w:val="18B810D0"/>
    <w:rsid w:val="18BE688C"/>
    <w:rsid w:val="18C34265"/>
    <w:rsid w:val="18CA6286"/>
    <w:rsid w:val="18DF7EEE"/>
    <w:rsid w:val="18E45FED"/>
    <w:rsid w:val="18EC0073"/>
    <w:rsid w:val="18EE232A"/>
    <w:rsid w:val="18F83AA4"/>
    <w:rsid w:val="190C1A57"/>
    <w:rsid w:val="190C5B2F"/>
    <w:rsid w:val="190E05D2"/>
    <w:rsid w:val="19125B93"/>
    <w:rsid w:val="191610A1"/>
    <w:rsid w:val="191722C9"/>
    <w:rsid w:val="19182027"/>
    <w:rsid w:val="1922362F"/>
    <w:rsid w:val="192835BB"/>
    <w:rsid w:val="193A1EF5"/>
    <w:rsid w:val="193E3ACD"/>
    <w:rsid w:val="19410703"/>
    <w:rsid w:val="1942238C"/>
    <w:rsid w:val="1944745B"/>
    <w:rsid w:val="19503E06"/>
    <w:rsid w:val="195B50A8"/>
    <w:rsid w:val="195D612B"/>
    <w:rsid w:val="195F4BB1"/>
    <w:rsid w:val="196E18C6"/>
    <w:rsid w:val="196E2933"/>
    <w:rsid w:val="19805192"/>
    <w:rsid w:val="198A4F27"/>
    <w:rsid w:val="199417B6"/>
    <w:rsid w:val="19975822"/>
    <w:rsid w:val="19975F52"/>
    <w:rsid w:val="199D682B"/>
    <w:rsid w:val="19A757E8"/>
    <w:rsid w:val="19A87B3A"/>
    <w:rsid w:val="19AA310A"/>
    <w:rsid w:val="19CF4088"/>
    <w:rsid w:val="19D75CED"/>
    <w:rsid w:val="19D952B7"/>
    <w:rsid w:val="19EE1843"/>
    <w:rsid w:val="1A177D58"/>
    <w:rsid w:val="1A2A4FAE"/>
    <w:rsid w:val="1A3277AB"/>
    <w:rsid w:val="1A333FA7"/>
    <w:rsid w:val="1A3A7E18"/>
    <w:rsid w:val="1A3D42C8"/>
    <w:rsid w:val="1A494123"/>
    <w:rsid w:val="1A581575"/>
    <w:rsid w:val="1A585866"/>
    <w:rsid w:val="1A5A1E87"/>
    <w:rsid w:val="1A6F4D26"/>
    <w:rsid w:val="1A77520B"/>
    <w:rsid w:val="1A780E51"/>
    <w:rsid w:val="1A90781B"/>
    <w:rsid w:val="1A962867"/>
    <w:rsid w:val="1A9776FB"/>
    <w:rsid w:val="1A9D7FC6"/>
    <w:rsid w:val="1AA61906"/>
    <w:rsid w:val="1AA663DE"/>
    <w:rsid w:val="1AAB4490"/>
    <w:rsid w:val="1AB46963"/>
    <w:rsid w:val="1AB6495B"/>
    <w:rsid w:val="1ABF1022"/>
    <w:rsid w:val="1AC72D28"/>
    <w:rsid w:val="1ACA55F3"/>
    <w:rsid w:val="1AD03EF7"/>
    <w:rsid w:val="1AE92E95"/>
    <w:rsid w:val="1AF072DA"/>
    <w:rsid w:val="1AF16CCA"/>
    <w:rsid w:val="1AFF0B5D"/>
    <w:rsid w:val="1AFF4143"/>
    <w:rsid w:val="1B093CFB"/>
    <w:rsid w:val="1B0E29F4"/>
    <w:rsid w:val="1B171B26"/>
    <w:rsid w:val="1B1D18FA"/>
    <w:rsid w:val="1B1F744C"/>
    <w:rsid w:val="1B222449"/>
    <w:rsid w:val="1B2C77AA"/>
    <w:rsid w:val="1B3C7391"/>
    <w:rsid w:val="1B4025E1"/>
    <w:rsid w:val="1B4F63F6"/>
    <w:rsid w:val="1B50022A"/>
    <w:rsid w:val="1B512851"/>
    <w:rsid w:val="1B576D54"/>
    <w:rsid w:val="1B5D6770"/>
    <w:rsid w:val="1B6A60FA"/>
    <w:rsid w:val="1B6E137F"/>
    <w:rsid w:val="1B7472F0"/>
    <w:rsid w:val="1B823661"/>
    <w:rsid w:val="1B8D2B1A"/>
    <w:rsid w:val="1B9953BC"/>
    <w:rsid w:val="1BB3588E"/>
    <w:rsid w:val="1BC6639E"/>
    <w:rsid w:val="1BD4779D"/>
    <w:rsid w:val="1BD6030E"/>
    <w:rsid w:val="1BDE12DF"/>
    <w:rsid w:val="1C0501F7"/>
    <w:rsid w:val="1C0E7AC8"/>
    <w:rsid w:val="1C1D368F"/>
    <w:rsid w:val="1C1F5739"/>
    <w:rsid w:val="1C2107D1"/>
    <w:rsid w:val="1C22776F"/>
    <w:rsid w:val="1C296EBF"/>
    <w:rsid w:val="1C2C26D6"/>
    <w:rsid w:val="1C2E4548"/>
    <w:rsid w:val="1C30204F"/>
    <w:rsid w:val="1C3B4CC0"/>
    <w:rsid w:val="1C3C13A0"/>
    <w:rsid w:val="1C414666"/>
    <w:rsid w:val="1C461A07"/>
    <w:rsid w:val="1C4A2555"/>
    <w:rsid w:val="1C4C4666"/>
    <w:rsid w:val="1C626586"/>
    <w:rsid w:val="1C714F5F"/>
    <w:rsid w:val="1C8062B7"/>
    <w:rsid w:val="1C874D92"/>
    <w:rsid w:val="1C885F5C"/>
    <w:rsid w:val="1C8F71E8"/>
    <w:rsid w:val="1C990329"/>
    <w:rsid w:val="1CA133BD"/>
    <w:rsid w:val="1CAB7485"/>
    <w:rsid w:val="1CB401A1"/>
    <w:rsid w:val="1CB51D33"/>
    <w:rsid w:val="1CCA5F86"/>
    <w:rsid w:val="1CCD0439"/>
    <w:rsid w:val="1CCE3175"/>
    <w:rsid w:val="1CF33E30"/>
    <w:rsid w:val="1D005CE7"/>
    <w:rsid w:val="1D023041"/>
    <w:rsid w:val="1D157051"/>
    <w:rsid w:val="1D196514"/>
    <w:rsid w:val="1D1C28F4"/>
    <w:rsid w:val="1D3F5722"/>
    <w:rsid w:val="1D6014F1"/>
    <w:rsid w:val="1D667BCD"/>
    <w:rsid w:val="1D6B53E8"/>
    <w:rsid w:val="1D6E2588"/>
    <w:rsid w:val="1D6E3685"/>
    <w:rsid w:val="1D715D22"/>
    <w:rsid w:val="1D735A4A"/>
    <w:rsid w:val="1D8A259B"/>
    <w:rsid w:val="1D8C6178"/>
    <w:rsid w:val="1D9149D2"/>
    <w:rsid w:val="1D98730A"/>
    <w:rsid w:val="1D9B1782"/>
    <w:rsid w:val="1DD23643"/>
    <w:rsid w:val="1DD406E8"/>
    <w:rsid w:val="1DDA4B51"/>
    <w:rsid w:val="1DE0262D"/>
    <w:rsid w:val="1DE63A32"/>
    <w:rsid w:val="1DF47EFC"/>
    <w:rsid w:val="1DF5628F"/>
    <w:rsid w:val="1DF75396"/>
    <w:rsid w:val="1DFD2B2B"/>
    <w:rsid w:val="1E053C3B"/>
    <w:rsid w:val="1E1E3EDB"/>
    <w:rsid w:val="1E1E4A91"/>
    <w:rsid w:val="1E2D0457"/>
    <w:rsid w:val="1E2F407C"/>
    <w:rsid w:val="1E31449E"/>
    <w:rsid w:val="1E334EC9"/>
    <w:rsid w:val="1E3D6111"/>
    <w:rsid w:val="1E456949"/>
    <w:rsid w:val="1E482D48"/>
    <w:rsid w:val="1E500712"/>
    <w:rsid w:val="1E512588"/>
    <w:rsid w:val="1E5448CA"/>
    <w:rsid w:val="1E620A61"/>
    <w:rsid w:val="1E624EC2"/>
    <w:rsid w:val="1E666816"/>
    <w:rsid w:val="1E6C751A"/>
    <w:rsid w:val="1E8326B8"/>
    <w:rsid w:val="1E854FF8"/>
    <w:rsid w:val="1E890F8D"/>
    <w:rsid w:val="1E8B3904"/>
    <w:rsid w:val="1E8F38AB"/>
    <w:rsid w:val="1E8F5086"/>
    <w:rsid w:val="1E9E0462"/>
    <w:rsid w:val="1EA6250F"/>
    <w:rsid w:val="1EB46DA3"/>
    <w:rsid w:val="1EBE7383"/>
    <w:rsid w:val="1EBF4546"/>
    <w:rsid w:val="1EC52EE7"/>
    <w:rsid w:val="1ED118C6"/>
    <w:rsid w:val="1ED26425"/>
    <w:rsid w:val="1EE1451B"/>
    <w:rsid w:val="1EE73518"/>
    <w:rsid w:val="1EE93913"/>
    <w:rsid w:val="1EF31F14"/>
    <w:rsid w:val="1EFD5E86"/>
    <w:rsid w:val="1F2357AD"/>
    <w:rsid w:val="1F2E3E2D"/>
    <w:rsid w:val="1F3507CD"/>
    <w:rsid w:val="1F3F5AEF"/>
    <w:rsid w:val="1F4572AD"/>
    <w:rsid w:val="1F52194B"/>
    <w:rsid w:val="1F521B64"/>
    <w:rsid w:val="1F5245DC"/>
    <w:rsid w:val="1F8A2F35"/>
    <w:rsid w:val="1F9343D2"/>
    <w:rsid w:val="1FAC4269"/>
    <w:rsid w:val="1FB271E6"/>
    <w:rsid w:val="1FB91AA7"/>
    <w:rsid w:val="1FBC3A69"/>
    <w:rsid w:val="1FC0053B"/>
    <w:rsid w:val="1FC1204A"/>
    <w:rsid w:val="1FC27C88"/>
    <w:rsid w:val="1FC33598"/>
    <w:rsid w:val="1FD025B2"/>
    <w:rsid w:val="1FD14BA0"/>
    <w:rsid w:val="1FD5061A"/>
    <w:rsid w:val="1FD7404C"/>
    <w:rsid w:val="1FDC5263"/>
    <w:rsid w:val="1FE624AD"/>
    <w:rsid w:val="1FFE266C"/>
    <w:rsid w:val="1FFF2659"/>
    <w:rsid w:val="20020D30"/>
    <w:rsid w:val="2021014D"/>
    <w:rsid w:val="2022621F"/>
    <w:rsid w:val="20231D91"/>
    <w:rsid w:val="20320264"/>
    <w:rsid w:val="20373D47"/>
    <w:rsid w:val="2049256C"/>
    <w:rsid w:val="204936B5"/>
    <w:rsid w:val="2058272F"/>
    <w:rsid w:val="20644C30"/>
    <w:rsid w:val="206505B7"/>
    <w:rsid w:val="206B74A0"/>
    <w:rsid w:val="207A710D"/>
    <w:rsid w:val="2083668E"/>
    <w:rsid w:val="208C08C0"/>
    <w:rsid w:val="208C32D9"/>
    <w:rsid w:val="20981DAA"/>
    <w:rsid w:val="209938C1"/>
    <w:rsid w:val="20995151"/>
    <w:rsid w:val="20A64D29"/>
    <w:rsid w:val="20AA364B"/>
    <w:rsid w:val="20B50588"/>
    <w:rsid w:val="20BC7982"/>
    <w:rsid w:val="20CF4AD2"/>
    <w:rsid w:val="20D30597"/>
    <w:rsid w:val="20E620AB"/>
    <w:rsid w:val="20E67B8B"/>
    <w:rsid w:val="20F56D96"/>
    <w:rsid w:val="21081C80"/>
    <w:rsid w:val="210826FC"/>
    <w:rsid w:val="2109140F"/>
    <w:rsid w:val="210B4DBF"/>
    <w:rsid w:val="21120348"/>
    <w:rsid w:val="21216917"/>
    <w:rsid w:val="21337D2F"/>
    <w:rsid w:val="213918FA"/>
    <w:rsid w:val="215D4545"/>
    <w:rsid w:val="216039C8"/>
    <w:rsid w:val="21690D45"/>
    <w:rsid w:val="216D4495"/>
    <w:rsid w:val="217023E3"/>
    <w:rsid w:val="218A3BE5"/>
    <w:rsid w:val="218D14B6"/>
    <w:rsid w:val="218F3C99"/>
    <w:rsid w:val="21A04133"/>
    <w:rsid w:val="21A2745B"/>
    <w:rsid w:val="21B70496"/>
    <w:rsid w:val="21C37719"/>
    <w:rsid w:val="21D63C98"/>
    <w:rsid w:val="21EC3F5A"/>
    <w:rsid w:val="21EC6645"/>
    <w:rsid w:val="21EC698A"/>
    <w:rsid w:val="21F13136"/>
    <w:rsid w:val="21F66939"/>
    <w:rsid w:val="21FD29E4"/>
    <w:rsid w:val="22036F27"/>
    <w:rsid w:val="221B7523"/>
    <w:rsid w:val="221D3297"/>
    <w:rsid w:val="22202025"/>
    <w:rsid w:val="22220C72"/>
    <w:rsid w:val="2223259D"/>
    <w:rsid w:val="222446D9"/>
    <w:rsid w:val="222F1E27"/>
    <w:rsid w:val="2230454B"/>
    <w:rsid w:val="2232477E"/>
    <w:rsid w:val="223B0134"/>
    <w:rsid w:val="223E6E3A"/>
    <w:rsid w:val="22545D40"/>
    <w:rsid w:val="22605081"/>
    <w:rsid w:val="22641D30"/>
    <w:rsid w:val="22714D3E"/>
    <w:rsid w:val="227C0564"/>
    <w:rsid w:val="22902DD1"/>
    <w:rsid w:val="22962C7A"/>
    <w:rsid w:val="229B1748"/>
    <w:rsid w:val="22A1590D"/>
    <w:rsid w:val="22A259DD"/>
    <w:rsid w:val="22AE2FE6"/>
    <w:rsid w:val="22B1460E"/>
    <w:rsid w:val="22C01315"/>
    <w:rsid w:val="22E43559"/>
    <w:rsid w:val="22E542B8"/>
    <w:rsid w:val="22FB6281"/>
    <w:rsid w:val="23052BAC"/>
    <w:rsid w:val="2305512E"/>
    <w:rsid w:val="230B308D"/>
    <w:rsid w:val="23113AB5"/>
    <w:rsid w:val="23122902"/>
    <w:rsid w:val="2321246D"/>
    <w:rsid w:val="232616D9"/>
    <w:rsid w:val="232D7796"/>
    <w:rsid w:val="23316075"/>
    <w:rsid w:val="233A11BF"/>
    <w:rsid w:val="2340615B"/>
    <w:rsid w:val="234C4671"/>
    <w:rsid w:val="234E77C5"/>
    <w:rsid w:val="235D5AF1"/>
    <w:rsid w:val="236D3840"/>
    <w:rsid w:val="236F3584"/>
    <w:rsid w:val="237649D0"/>
    <w:rsid w:val="237C7FC4"/>
    <w:rsid w:val="23871EB1"/>
    <w:rsid w:val="23955367"/>
    <w:rsid w:val="23987081"/>
    <w:rsid w:val="23AB1EA8"/>
    <w:rsid w:val="23B90420"/>
    <w:rsid w:val="23D74B46"/>
    <w:rsid w:val="23D9512A"/>
    <w:rsid w:val="23DC56BB"/>
    <w:rsid w:val="23E271F2"/>
    <w:rsid w:val="23F1549D"/>
    <w:rsid w:val="23F91655"/>
    <w:rsid w:val="24083CC9"/>
    <w:rsid w:val="2419068C"/>
    <w:rsid w:val="24285186"/>
    <w:rsid w:val="24352332"/>
    <w:rsid w:val="24403C48"/>
    <w:rsid w:val="24417904"/>
    <w:rsid w:val="244865B1"/>
    <w:rsid w:val="244B4425"/>
    <w:rsid w:val="244C1B12"/>
    <w:rsid w:val="24693F7F"/>
    <w:rsid w:val="247116CC"/>
    <w:rsid w:val="2477391A"/>
    <w:rsid w:val="2479115B"/>
    <w:rsid w:val="248A09D0"/>
    <w:rsid w:val="248F06EB"/>
    <w:rsid w:val="24970560"/>
    <w:rsid w:val="249D545D"/>
    <w:rsid w:val="24AA3495"/>
    <w:rsid w:val="24B55AD9"/>
    <w:rsid w:val="24B67467"/>
    <w:rsid w:val="24C152B3"/>
    <w:rsid w:val="24CD1807"/>
    <w:rsid w:val="24CD52A6"/>
    <w:rsid w:val="24D808BF"/>
    <w:rsid w:val="24DE2332"/>
    <w:rsid w:val="24F60D31"/>
    <w:rsid w:val="25083A63"/>
    <w:rsid w:val="25135C75"/>
    <w:rsid w:val="25231955"/>
    <w:rsid w:val="25276F2E"/>
    <w:rsid w:val="25297E08"/>
    <w:rsid w:val="253F23A5"/>
    <w:rsid w:val="25400857"/>
    <w:rsid w:val="254A1252"/>
    <w:rsid w:val="254C42D9"/>
    <w:rsid w:val="254F7563"/>
    <w:rsid w:val="254F7FAB"/>
    <w:rsid w:val="25561CAF"/>
    <w:rsid w:val="255A32E1"/>
    <w:rsid w:val="25615271"/>
    <w:rsid w:val="25765E4A"/>
    <w:rsid w:val="257C5C4A"/>
    <w:rsid w:val="25841615"/>
    <w:rsid w:val="25902316"/>
    <w:rsid w:val="25950D42"/>
    <w:rsid w:val="25B3388B"/>
    <w:rsid w:val="25B55A97"/>
    <w:rsid w:val="25C46CDA"/>
    <w:rsid w:val="25CA51B5"/>
    <w:rsid w:val="25CD42B6"/>
    <w:rsid w:val="25E30DC9"/>
    <w:rsid w:val="25F7121D"/>
    <w:rsid w:val="260158AC"/>
    <w:rsid w:val="262A4F09"/>
    <w:rsid w:val="262C0060"/>
    <w:rsid w:val="263A1E80"/>
    <w:rsid w:val="264B1C9B"/>
    <w:rsid w:val="264E4727"/>
    <w:rsid w:val="26502F35"/>
    <w:rsid w:val="26507908"/>
    <w:rsid w:val="265A236D"/>
    <w:rsid w:val="266021F6"/>
    <w:rsid w:val="266234C6"/>
    <w:rsid w:val="2667167C"/>
    <w:rsid w:val="26690BE9"/>
    <w:rsid w:val="266A3001"/>
    <w:rsid w:val="2682742C"/>
    <w:rsid w:val="26831023"/>
    <w:rsid w:val="268564DD"/>
    <w:rsid w:val="268732CD"/>
    <w:rsid w:val="26880F52"/>
    <w:rsid w:val="268D74FF"/>
    <w:rsid w:val="26A47848"/>
    <w:rsid w:val="26B47885"/>
    <w:rsid w:val="26B81321"/>
    <w:rsid w:val="26C51109"/>
    <w:rsid w:val="26F2656C"/>
    <w:rsid w:val="26F81E97"/>
    <w:rsid w:val="27005B64"/>
    <w:rsid w:val="270C4212"/>
    <w:rsid w:val="270D032F"/>
    <w:rsid w:val="270F1621"/>
    <w:rsid w:val="271361AF"/>
    <w:rsid w:val="27167FE1"/>
    <w:rsid w:val="271B7BE1"/>
    <w:rsid w:val="271F1788"/>
    <w:rsid w:val="27327267"/>
    <w:rsid w:val="274D43A4"/>
    <w:rsid w:val="275E2FEF"/>
    <w:rsid w:val="2764240C"/>
    <w:rsid w:val="27662FEE"/>
    <w:rsid w:val="276E60B1"/>
    <w:rsid w:val="277B2F04"/>
    <w:rsid w:val="278049B0"/>
    <w:rsid w:val="27882BDF"/>
    <w:rsid w:val="27897716"/>
    <w:rsid w:val="279B6986"/>
    <w:rsid w:val="27A45674"/>
    <w:rsid w:val="27AD7B47"/>
    <w:rsid w:val="27AE2EFD"/>
    <w:rsid w:val="27AF6497"/>
    <w:rsid w:val="27B0044B"/>
    <w:rsid w:val="27B70651"/>
    <w:rsid w:val="27B76BA4"/>
    <w:rsid w:val="27BF77CD"/>
    <w:rsid w:val="27C070A1"/>
    <w:rsid w:val="27D9408F"/>
    <w:rsid w:val="27F003B0"/>
    <w:rsid w:val="280374F2"/>
    <w:rsid w:val="28234C46"/>
    <w:rsid w:val="282B0823"/>
    <w:rsid w:val="28302479"/>
    <w:rsid w:val="28424BCA"/>
    <w:rsid w:val="28455FD7"/>
    <w:rsid w:val="28484E7A"/>
    <w:rsid w:val="284B62CE"/>
    <w:rsid w:val="284C16DA"/>
    <w:rsid w:val="28667D47"/>
    <w:rsid w:val="28752587"/>
    <w:rsid w:val="28786932"/>
    <w:rsid w:val="288503DE"/>
    <w:rsid w:val="288607CF"/>
    <w:rsid w:val="28977BA0"/>
    <w:rsid w:val="28A3630F"/>
    <w:rsid w:val="28AC3BB5"/>
    <w:rsid w:val="28AD5FB5"/>
    <w:rsid w:val="28C03078"/>
    <w:rsid w:val="28C87D84"/>
    <w:rsid w:val="28F1499C"/>
    <w:rsid w:val="28FA236A"/>
    <w:rsid w:val="28FE2F44"/>
    <w:rsid w:val="29186EF0"/>
    <w:rsid w:val="291D47F1"/>
    <w:rsid w:val="29300B3B"/>
    <w:rsid w:val="29305274"/>
    <w:rsid w:val="29323FCF"/>
    <w:rsid w:val="293E468F"/>
    <w:rsid w:val="294C32E2"/>
    <w:rsid w:val="294E6A34"/>
    <w:rsid w:val="29640EE2"/>
    <w:rsid w:val="29713650"/>
    <w:rsid w:val="297A7E50"/>
    <w:rsid w:val="297D16EE"/>
    <w:rsid w:val="29852C67"/>
    <w:rsid w:val="2990533B"/>
    <w:rsid w:val="29922F9D"/>
    <w:rsid w:val="299376FD"/>
    <w:rsid w:val="2995768E"/>
    <w:rsid w:val="29995EB4"/>
    <w:rsid w:val="29A62ABE"/>
    <w:rsid w:val="29BD4DDF"/>
    <w:rsid w:val="29C517E1"/>
    <w:rsid w:val="29CF1E09"/>
    <w:rsid w:val="29D24A25"/>
    <w:rsid w:val="29D57FB7"/>
    <w:rsid w:val="29E1314B"/>
    <w:rsid w:val="29E37531"/>
    <w:rsid w:val="29E90626"/>
    <w:rsid w:val="29EA04E1"/>
    <w:rsid w:val="29EA7112"/>
    <w:rsid w:val="2A3D6077"/>
    <w:rsid w:val="2A4A5B75"/>
    <w:rsid w:val="2A522B7B"/>
    <w:rsid w:val="2A587B3C"/>
    <w:rsid w:val="2A5C0C85"/>
    <w:rsid w:val="2A601EE1"/>
    <w:rsid w:val="2A707F3C"/>
    <w:rsid w:val="2A765A75"/>
    <w:rsid w:val="2A7E61DB"/>
    <w:rsid w:val="2A843EE4"/>
    <w:rsid w:val="2A8A55ED"/>
    <w:rsid w:val="2A997F15"/>
    <w:rsid w:val="2A9E122B"/>
    <w:rsid w:val="2AAB5C47"/>
    <w:rsid w:val="2AAE5706"/>
    <w:rsid w:val="2ABC5BE6"/>
    <w:rsid w:val="2ABC6900"/>
    <w:rsid w:val="2ACB2F1C"/>
    <w:rsid w:val="2AE159B6"/>
    <w:rsid w:val="2AE71F85"/>
    <w:rsid w:val="2AEE492A"/>
    <w:rsid w:val="2AFD3209"/>
    <w:rsid w:val="2B0016AE"/>
    <w:rsid w:val="2B10487C"/>
    <w:rsid w:val="2B127DC8"/>
    <w:rsid w:val="2B160DC6"/>
    <w:rsid w:val="2B1A11D6"/>
    <w:rsid w:val="2B233817"/>
    <w:rsid w:val="2B324905"/>
    <w:rsid w:val="2B3C033A"/>
    <w:rsid w:val="2B3D2EF3"/>
    <w:rsid w:val="2B3D6F7D"/>
    <w:rsid w:val="2B4A344C"/>
    <w:rsid w:val="2B5E5F86"/>
    <w:rsid w:val="2B651921"/>
    <w:rsid w:val="2B6E1AF8"/>
    <w:rsid w:val="2B6F32B8"/>
    <w:rsid w:val="2B8B299E"/>
    <w:rsid w:val="2B9D774F"/>
    <w:rsid w:val="2BA24159"/>
    <w:rsid w:val="2BAD36DD"/>
    <w:rsid w:val="2BC572DB"/>
    <w:rsid w:val="2BC93994"/>
    <w:rsid w:val="2BD44CD7"/>
    <w:rsid w:val="2BD75E4B"/>
    <w:rsid w:val="2BDD3750"/>
    <w:rsid w:val="2BDE22FD"/>
    <w:rsid w:val="2BE12AA8"/>
    <w:rsid w:val="2BEC68E7"/>
    <w:rsid w:val="2BED5C47"/>
    <w:rsid w:val="2C063D63"/>
    <w:rsid w:val="2C093365"/>
    <w:rsid w:val="2C165FD6"/>
    <w:rsid w:val="2C1F6A8C"/>
    <w:rsid w:val="2C1F7F09"/>
    <w:rsid w:val="2C371624"/>
    <w:rsid w:val="2C380358"/>
    <w:rsid w:val="2C40110A"/>
    <w:rsid w:val="2C49771E"/>
    <w:rsid w:val="2C4B530B"/>
    <w:rsid w:val="2C5C247D"/>
    <w:rsid w:val="2C693AF9"/>
    <w:rsid w:val="2C7F39FF"/>
    <w:rsid w:val="2C7F6521"/>
    <w:rsid w:val="2C8B4122"/>
    <w:rsid w:val="2C8D3801"/>
    <w:rsid w:val="2C906EA7"/>
    <w:rsid w:val="2CA2046E"/>
    <w:rsid w:val="2CA47C1D"/>
    <w:rsid w:val="2CAB7C0B"/>
    <w:rsid w:val="2CB83B04"/>
    <w:rsid w:val="2CBC2784"/>
    <w:rsid w:val="2CC13995"/>
    <w:rsid w:val="2CC31F58"/>
    <w:rsid w:val="2CD479FB"/>
    <w:rsid w:val="2CD47A79"/>
    <w:rsid w:val="2CDB6061"/>
    <w:rsid w:val="2CDF6C6D"/>
    <w:rsid w:val="2CE131B5"/>
    <w:rsid w:val="2CE32039"/>
    <w:rsid w:val="2CE756CA"/>
    <w:rsid w:val="2CE871A2"/>
    <w:rsid w:val="2D0B485D"/>
    <w:rsid w:val="2D115156"/>
    <w:rsid w:val="2D1D22A0"/>
    <w:rsid w:val="2D204BD0"/>
    <w:rsid w:val="2D304AEF"/>
    <w:rsid w:val="2D3412F4"/>
    <w:rsid w:val="2D390048"/>
    <w:rsid w:val="2D48750D"/>
    <w:rsid w:val="2D646235"/>
    <w:rsid w:val="2D6E40CF"/>
    <w:rsid w:val="2D7441AC"/>
    <w:rsid w:val="2D7E6CEB"/>
    <w:rsid w:val="2D801E06"/>
    <w:rsid w:val="2D803038"/>
    <w:rsid w:val="2D863940"/>
    <w:rsid w:val="2D8C2B80"/>
    <w:rsid w:val="2DA8130E"/>
    <w:rsid w:val="2DA921E7"/>
    <w:rsid w:val="2DB40219"/>
    <w:rsid w:val="2DB74DD4"/>
    <w:rsid w:val="2DBF78D6"/>
    <w:rsid w:val="2DC0166C"/>
    <w:rsid w:val="2DC07DFB"/>
    <w:rsid w:val="2DC14533"/>
    <w:rsid w:val="2DCB23E0"/>
    <w:rsid w:val="2DCC0537"/>
    <w:rsid w:val="2DCF4A29"/>
    <w:rsid w:val="2DD40526"/>
    <w:rsid w:val="2DD741B0"/>
    <w:rsid w:val="2DE41693"/>
    <w:rsid w:val="2DE54E9C"/>
    <w:rsid w:val="2DF712DA"/>
    <w:rsid w:val="2E022BCC"/>
    <w:rsid w:val="2E170AF9"/>
    <w:rsid w:val="2E1E020B"/>
    <w:rsid w:val="2E24482E"/>
    <w:rsid w:val="2E255EB0"/>
    <w:rsid w:val="2E272876"/>
    <w:rsid w:val="2E366C04"/>
    <w:rsid w:val="2E4068C7"/>
    <w:rsid w:val="2E51015E"/>
    <w:rsid w:val="2E547957"/>
    <w:rsid w:val="2E595849"/>
    <w:rsid w:val="2E6B69E2"/>
    <w:rsid w:val="2E7E5295"/>
    <w:rsid w:val="2E854625"/>
    <w:rsid w:val="2E9C1171"/>
    <w:rsid w:val="2EA22A0A"/>
    <w:rsid w:val="2EB33B72"/>
    <w:rsid w:val="2EBC36F6"/>
    <w:rsid w:val="2EBE0E7F"/>
    <w:rsid w:val="2EC07504"/>
    <w:rsid w:val="2EC23378"/>
    <w:rsid w:val="2ECC18EF"/>
    <w:rsid w:val="2ED34C57"/>
    <w:rsid w:val="2EDF11A5"/>
    <w:rsid w:val="2EE278FC"/>
    <w:rsid w:val="2F051C27"/>
    <w:rsid w:val="2F0A1A23"/>
    <w:rsid w:val="2F197BD6"/>
    <w:rsid w:val="2F2E54B3"/>
    <w:rsid w:val="2F334CB2"/>
    <w:rsid w:val="2F354F69"/>
    <w:rsid w:val="2F3F5546"/>
    <w:rsid w:val="2F41663B"/>
    <w:rsid w:val="2F4E7CB1"/>
    <w:rsid w:val="2F52295B"/>
    <w:rsid w:val="2F52534E"/>
    <w:rsid w:val="2F5B0B3B"/>
    <w:rsid w:val="2F5F29DA"/>
    <w:rsid w:val="2F634045"/>
    <w:rsid w:val="2F702BC2"/>
    <w:rsid w:val="2F8730FB"/>
    <w:rsid w:val="2F8A1D19"/>
    <w:rsid w:val="2F991CDA"/>
    <w:rsid w:val="2FA27C17"/>
    <w:rsid w:val="2FA320D9"/>
    <w:rsid w:val="2FAB6E6B"/>
    <w:rsid w:val="2FB14AB3"/>
    <w:rsid w:val="2FB30AA3"/>
    <w:rsid w:val="2FB7522E"/>
    <w:rsid w:val="2FB940EC"/>
    <w:rsid w:val="2FBD36E2"/>
    <w:rsid w:val="2FBE734D"/>
    <w:rsid w:val="2FBF42B8"/>
    <w:rsid w:val="2FC12D80"/>
    <w:rsid w:val="2FC47232"/>
    <w:rsid w:val="2FD05123"/>
    <w:rsid w:val="2FE919B1"/>
    <w:rsid w:val="2FEC39F8"/>
    <w:rsid w:val="2FF05F10"/>
    <w:rsid w:val="2FF539E9"/>
    <w:rsid w:val="2FFE0ECC"/>
    <w:rsid w:val="300B5B21"/>
    <w:rsid w:val="30110380"/>
    <w:rsid w:val="30160AA9"/>
    <w:rsid w:val="301C7FB8"/>
    <w:rsid w:val="302E54F0"/>
    <w:rsid w:val="303272F8"/>
    <w:rsid w:val="30332A46"/>
    <w:rsid w:val="30360AB9"/>
    <w:rsid w:val="30412F0D"/>
    <w:rsid w:val="30492AE2"/>
    <w:rsid w:val="305E5E4F"/>
    <w:rsid w:val="30665B1C"/>
    <w:rsid w:val="306E30DE"/>
    <w:rsid w:val="30765057"/>
    <w:rsid w:val="308B2942"/>
    <w:rsid w:val="308C4631"/>
    <w:rsid w:val="30937E79"/>
    <w:rsid w:val="3095056D"/>
    <w:rsid w:val="30AB316E"/>
    <w:rsid w:val="30BB4F09"/>
    <w:rsid w:val="30BB58BF"/>
    <w:rsid w:val="30C343B8"/>
    <w:rsid w:val="30CA76BB"/>
    <w:rsid w:val="30CE0BC0"/>
    <w:rsid w:val="30D5438C"/>
    <w:rsid w:val="30DB445C"/>
    <w:rsid w:val="30E745EC"/>
    <w:rsid w:val="30ED3C60"/>
    <w:rsid w:val="30F60238"/>
    <w:rsid w:val="31023C91"/>
    <w:rsid w:val="310A45C3"/>
    <w:rsid w:val="310E5022"/>
    <w:rsid w:val="310F149D"/>
    <w:rsid w:val="311407DB"/>
    <w:rsid w:val="311B0931"/>
    <w:rsid w:val="311F716E"/>
    <w:rsid w:val="312D358D"/>
    <w:rsid w:val="312D65D5"/>
    <w:rsid w:val="31301510"/>
    <w:rsid w:val="313F0EE5"/>
    <w:rsid w:val="31462D0D"/>
    <w:rsid w:val="31502EDB"/>
    <w:rsid w:val="31504E01"/>
    <w:rsid w:val="315462C3"/>
    <w:rsid w:val="31571673"/>
    <w:rsid w:val="3162743A"/>
    <w:rsid w:val="316577A9"/>
    <w:rsid w:val="316A656E"/>
    <w:rsid w:val="317411A0"/>
    <w:rsid w:val="31743BB6"/>
    <w:rsid w:val="317F69CA"/>
    <w:rsid w:val="318A0E4C"/>
    <w:rsid w:val="31A00A42"/>
    <w:rsid w:val="31A722D6"/>
    <w:rsid w:val="31B90720"/>
    <w:rsid w:val="31C70F40"/>
    <w:rsid w:val="31CA6E34"/>
    <w:rsid w:val="31D3225B"/>
    <w:rsid w:val="31D90C23"/>
    <w:rsid w:val="31DC0EBB"/>
    <w:rsid w:val="31E0202C"/>
    <w:rsid w:val="31E367AE"/>
    <w:rsid w:val="31E746C0"/>
    <w:rsid w:val="31E803F9"/>
    <w:rsid w:val="31E94833"/>
    <w:rsid w:val="31EB60AE"/>
    <w:rsid w:val="31FB68C9"/>
    <w:rsid w:val="32032082"/>
    <w:rsid w:val="32095D12"/>
    <w:rsid w:val="320D7387"/>
    <w:rsid w:val="320F0D33"/>
    <w:rsid w:val="32137E45"/>
    <w:rsid w:val="32161154"/>
    <w:rsid w:val="32171BEE"/>
    <w:rsid w:val="321923A5"/>
    <w:rsid w:val="3224687F"/>
    <w:rsid w:val="32255260"/>
    <w:rsid w:val="32411189"/>
    <w:rsid w:val="325000B2"/>
    <w:rsid w:val="3252273E"/>
    <w:rsid w:val="325574E1"/>
    <w:rsid w:val="3263696E"/>
    <w:rsid w:val="326A3277"/>
    <w:rsid w:val="326F4668"/>
    <w:rsid w:val="3273368E"/>
    <w:rsid w:val="32766202"/>
    <w:rsid w:val="328679CD"/>
    <w:rsid w:val="328A4948"/>
    <w:rsid w:val="328E0783"/>
    <w:rsid w:val="32903480"/>
    <w:rsid w:val="32937C02"/>
    <w:rsid w:val="329C457F"/>
    <w:rsid w:val="32A217CA"/>
    <w:rsid w:val="32B41D13"/>
    <w:rsid w:val="32E6595A"/>
    <w:rsid w:val="32ED4B5E"/>
    <w:rsid w:val="32FB3884"/>
    <w:rsid w:val="32FF3174"/>
    <w:rsid w:val="33041D13"/>
    <w:rsid w:val="33055EBE"/>
    <w:rsid w:val="33083DF5"/>
    <w:rsid w:val="330E5146"/>
    <w:rsid w:val="3318068E"/>
    <w:rsid w:val="333252F7"/>
    <w:rsid w:val="334658AE"/>
    <w:rsid w:val="33472810"/>
    <w:rsid w:val="33626AE9"/>
    <w:rsid w:val="33644A93"/>
    <w:rsid w:val="33703735"/>
    <w:rsid w:val="337057E9"/>
    <w:rsid w:val="337A6026"/>
    <w:rsid w:val="33972201"/>
    <w:rsid w:val="339D2618"/>
    <w:rsid w:val="33A114B1"/>
    <w:rsid w:val="33A45CA1"/>
    <w:rsid w:val="33A63F47"/>
    <w:rsid w:val="33AB5A86"/>
    <w:rsid w:val="33AD3F8B"/>
    <w:rsid w:val="33B81E74"/>
    <w:rsid w:val="33BD5B9B"/>
    <w:rsid w:val="33D11249"/>
    <w:rsid w:val="33D122D7"/>
    <w:rsid w:val="33D16191"/>
    <w:rsid w:val="33D6478E"/>
    <w:rsid w:val="33EB758A"/>
    <w:rsid w:val="33EF1EA1"/>
    <w:rsid w:val="33F0338E"/>
    <w:rsid w:val="33FB4368"/>
    <w:rsid w:val="341637FC"/>
    <w:rsid w:val="34192F98"/>
    <w:rsid w:val="34205FF3"/>
    <w:rsid w:val="34207846"/>
    <w:rsid w:val="342B6175"/>
    <w:rsid w:val="34394463"/>
    <w:rsid w:val="344139A4"/>
    <w:rsid w:val="345614B9"/>
    <w:rsid w:val="34604E58"/>
    <w:rsid w:val="34612C8C"/>
    <w:rsid w:val="34634A15"/>
    <w:rsid w:val="346C2D82"/>
    <w:rsid w:val="34707696"/>
    <w:rsid w:val="34796F56"/>
    <w:rsid w:val="347C7B10"/>
    <w:rsid w:val="3497350E"/>
    <w:rsid w:val="349E1CE6"/>
    <w:rsid w:val="34A70E1D"/>
    <w:rsid w:val="34A778C6"/>
    <w:rsid w:val="34AF4BB8"/>
    <w:rsid w:val="34B44728"/>
    <w:rsid w:val="34B6118A"/>
    <w:rsid w:val="34DC42DA"/>
    <w:rsid w:val="34E70D4D"/>
    <w:rsid w:val="34EF1382"/>
    <w:rsid w:val="34F52476"/>
    <w:rsid w:val="35082C1A"/>
    <w:rsid w:val="350E4C19"/>
    <w:rsid w:val="351112A6"/>
    <w:rsid w:val="35153657"/>
    <w:rsid w:val="351B03C9"/>
    <w:rsid w:val="352C0ABE"/>
    <w:rsid w:val="355B60AE"/>
    <w:rsid w:val="355F0BA9"/>
    <w:rsid w:val="35684346"/>
    <w:rsid w:val="356F6271"/>
    <w:rsid w:val="35741A10"/>
    <w:rsid w:val="357D68B0"/>
    <w:rsid w:val="35854C6C"/>
    <w:rsid w:val="35884A3D"/>
    <w:rsid w:val="35884D4F"/>
    <w:rsid w:val="35960063"/>
    <w:rsid w:val="35A1504B"/>
    <w:rsid w:val="35A81627"/>
    <w:rsid w:val="35A83238"/>
    <w:rsid w:val="35C9670C"/>
    <w:rsid w:val="35CD3E83"/>
    <w:rsid w:val="35DB6BB2"/>
    <w:rsid w:val="35E673D5"/>
    <w:rsid w:val="35FA1FB3"/>
    <w:rsid w:val="35FF6C6F"/>
    <w:rsid w:val="360B6B40"/>
    <w:rsid w:val="36137E45"/>
    <w:rsid w:val="361C5A74"/>
    <w:rsid w:val="361E6979"/>
    <w:rsid w:val="361F7B54"/>
    <w:rsid w:val="362221C2"/>
    <w:rsid w:val="362432ED"/>
    <w:rsid w:val="362E003A"/>
    <w:rsid w:val="362E710E"/>
    <w:rsid w:val="36351FD3"/>
    <w:rsid w:val="36394764"/>
    <w:rsid w:val="364B6FB8"/>
    <w:rsid w:val="36514C14"/>
    <w:rsid w:val="36517E2E"/>
    <w:rsid w:val="36562F68"/>
    <w:rsid w:val="365B13A1"/>
    <w:rsid w:val="365F72DB"/>
    <w:rsid w:val="36625BB4"/>
    <w:rsid w:val="366973FC"/>
    <w:rsid w:val="366F6C7B"/>
    <w:rsid w:val="367C58F1"/>
    <w:rsid w:val="369C5D8B"/>
    <w:rsid w:val="36AC6E68"/>
    <w:rsid w:val="36AD6199"/>
    <w:rsid w:val="36AE07CD"/>
    <w:rsid w:val="36C63281"/>
    <w:rsid w:val="36CE3C67"/>
    <w:rsid w:val="36D03757"/>
    <w:rsid w:val="36E83F1F"/>
    <w:rsid w:val="36F36E7A"/>
    <w:rsid w:val="36FB4280"/>
    <w:rsid w:val="36FB4CF7"/>
    <w:rsid w:val="36FC7C77"/>
    <w:rsid w:val="37015733"/>
    <w:rsid w:val="37156CB1"/>
    <w:rsid w:val="37163741"/>
    <w:rsid w:val="37245565"/>
    <w:rsid w:val="372672AA"/>
    <w:rsid w:val="372B09DB"/>
    <w:rsid w:val="372B129F"/>
    <w:rsid w:val="3730507C"/>
    <w:rsid w:val="373309A3"/>
    <w:rsid w:val="37395BA7"/>
    <w:rsid w:val="37407521"/>
    <w:rsid w:val="376327A2"/>
    <w:rsid w:val="37665407"/>
    <w:rsid w:val="376E5A1F"/>
    <w:rsid w:val="37830E4D"/>
    <w:rsid w:val="378416EB"/>
    <w:rsid w:val="3788706C"/>
    <w:rsid w:val="378B2AA5"/>
    <w:rsid w:val="3790548B"/>
    <w:rsid w:val="379442DC"/>
    <w:rsid w:val="379776F3"/>
    <w:rsid w:val="37A147F9"/>
    <w:rsid w:val="37A85B02"/>
    <w:rsid w:val="37AC6A9D"/>
    <w:rsid w:val="37B20074"/>
    <w:rsid w:val="37C268C1"/>
    <w:rsid w:val="37E91010"/>
    <w:rsid w:val="37EF15BB"/>
    <w:rsid w:val="37F80006"/>
    <w:rsid w:val="37FC0FF4"/>
    <w:rsid w:val="37FE66C0"/>
    <w:rsid w:val="381D0B70"/>
    <w:rsid w:val="381D5AB6"/>
    <w:rsid w:val="38214545"/>
    <w:rsid w:val="382373D6"/>
    <w:rsid w:val="3827283F"/>
    <w:rsid w:val="38326C6A"/>
    <w:rsid w:val="3845566F"/>
    <w:rsid w:val="38472FF0"/>
    <w:rsid w:val="384F41D6"/>
    <w:rsid w:val="38555AB7"/>
    <w:rsid w:val="385D5023"/>
    <w:rsid w:val="38634D99"/>
    <w:rsid w:val="38754398"/>
    <w:rsid w:val="387C472A"/>
    <w:rsid w:val="38871C41"/>
    <w:rsid w:val="388C7258"/>
    <w:rsid w:val="389C43CA"/>
    <w:rsid w:val="38A90CD8"/>
    <w:rsid w:val="38A96D6B"/>
    <w:rsid w:val="38AF340C"/>
    <w:rsid w:val="38BF6CA4"/>
    <w:rsid w:val="38C04319"/>
    <w:rsid w:val="38C3548C"/>
    <w:rsid w:val="38C87948"/>
    <w:rsid w:val="38CD076B"/>
    <w:rsid w:val="38DA238F"/>
    <w:rsid w:val="38F41093"/>
    <w:rsid w:val="38F65CC0"/>
    <w:rsid w:val="39097BF5"/>
    <w:rsid w:val="390A777B"/>
    <w:rsid w:val="39406ED7"/>
    <w:rsid w:val="39431977"/>
    <w:rsid w:val="39455518"/>
    <w:rsid w:val="39475229"/>
    <w:rsid w:val="39493B30"/>
    <w:rsid w:val="394B11EC"/>
    <w:rsid w:val="39527DE2"/>
    <w:rsid w:val="39534495"/>
    <w:rsid w:val="395654DF"/>
    <w:rsid w:val="39606383"/>
    <w:rsid w:val="397256CE"/>
    <w:rsid w:val="39765603"/>
    <w:rsid w:val="39767A44"/>
    <w:rsid w:val="39777177"/>
    <w:rsid w:val="397A1A5E"/>
    <w:rsid w:val="397A6421"/>
    <w:rsid w:val="39822409"/>
    <w:rsid w:val="398B4F14"/>
    <w:rsid w:val="39900754"/>
    <w:rsid w:val="39916353"/>
    <w:rsid w:val="39974703"/>
    <w:rsid w:val="399D1E75"/>
    <w:rsid w:val="39A410F2"/>
    <w:rsid w:val="39AB6FA5"/>
    <w:rsid w:val="39B409B3"/>
    <w:rsid w:val="39CD157E"/>
    <w:rsid w:val="39CF42E5"/>
    <w:rsid w:val="39CF5531"/>
    <w:rsid w:val="39DD13AC"/>
    <w:rsid w:val="39F46A8D"/>
    <w:rsid w:val="39F77B7D"/>
    <w:rsid w:val="39FA4F92"/>
    <w:rsid w:val="39FE6560"/>
    <w:rsid w:val="3A0031DF"/>
    <w:rsid w:val="3A03126E"/>
    <w:rsid w:val="3A080D36"/>
    <w:rsid w:val="3A0A2361"/>
    <w:rsid w:val="3A11673B"/>
    <w:rsid w:val="3A1B5FEA"/>
    <w:rsid w:val="3A222A1C"/>
    <w:rsid w:val="3A28358D"/>
    <w:rsid w:val="3A363EDB"/>
    <w:rsid w:val="3A3B64F7"/>
    <w:rsid w:val="3A3F15B6"/>
    <w:rsid w:val="3A477365"/>
    <w:rsid w:val="3A4837BF"/>
    <w:rsid w:val="3A59434F"/>
    <w:rsid w:val="3A5D3577"/>
    <w:rsid w:val="3A6A1BE1"/>
    <w:rsid w:val="3A73630B"/>
    <w:rsid w:val="3A795E1A"/>
    <w:rsid w:val="3A7C354B"/>
    <w:rsid w:val="3A8A5546"/>
    <w:rsid w:val="3A8D2975"/>
    <w:rsid w:val="3A961E78"/>
    <w:rsid w:val="3A990B0B"/>
    <w:rsid w:val="3AA809F0"/>
    <w:rsid w:val="3AD659B5"/>
    <w:rsid w:val="3AD82168"/>
    <w:rsid w:val="3ADB0AC5"/>
    <w:rsid w:val="3AE06B1D"/>
    <w:rsid w:val="3AEB20E5"/>
    <w:rsid w:val="3AEC0762"/>
    <w:rsid w:val="3AF61FBB"/>
    <w:rsid w:val="3AFD2350"/>
    <w:rsid w:val="3B021EA4"/>
    <w:rsid w:val="3B066708"/>
    <w:rsid w:val="3B3458E6"/>
    <w:rsid w:val="3B3603AB"/>
    <w:rsid w:val="3B3D52DC"/>
    <w:rsid w:val="3B494FFE"/>
    <w:rsid w:val="3B505C4E"/>
    <w:rsid w:val="3B6C0D35"/>
    <w:rsid w:val="3B6D3D53"/>
    <w:rsid w:val="3B6E43E4"/>
    <w:rsid w:val="3B702E61"/>
    <w:rsid w:val="3B762441"/>
    <w:rsid w:val="3B7F6A49"/>
    <w:rsid w:val="3B814905"/>
    <w:rsid w:val="3B8A43D3"/>
    <w:rsid w:val="3B8E4D54"/>
    <w:rsid w:val="3B960C2E"/>
    <w:rsid w:val="3B9D0C40"/>
    <w:rsid w:val="3B9D4F08"/>
    <w:rsid w:val="3BA02106"/>
    <w:rsid w:val="3BA13491"/>
    <w:rsid w:val="3BA33A64"/>
    <w:rsid w:val="3BAD6C67"/>
    <w:rsid w:val="3BAF3369"/>
    <w:rsid w:val="3BC13AE8"/>
    <w:rsid w:val="3BC14CA0"/>
    <w:rsid w:val="3BC35686"/>
    <w:rsid w:val="3BCF3082"/>
    <w:rsid w:val="3BD317AC"/>
    <w:rsid w:val="3BD46AD4"/>
    <w:rsid w:val="3BDA385B"/>
    <w:rsid w:val="3C057BBE"/>
    <w:rsid w:val="3C1A33D3"/>
    <w:rsid w:val="3C1D2336"/>
    <w:rsid w:val="3C1D4AF6"/>
    <w:rsid w:val="3C23229D"/>
    <w:rsid w:val="3C2624A4"/>
    <w:rsid w:val="3C2675FA"/>
    <w:rsid w:val="3C2D5DAA"/>
    <w:rsid w:val="3C392FD1"/>
    <w:rsid w:val="3C4C18C1"/>
    <w:rsid w:val="3C736620"/>
    <w:rsid w:val="3C8559A7"/>
    <w:rsid w:val="3C91701D"/>
    <w:rsid w:val="3CB77AF8"/>
    <w:rsid w:val="3CCE3F1C"/>
    <w:rsid w:val="3CD73D60"/>
    <w:rsid w:val="3CE12A76"/>
    <w:rsid w:val="3CEA3C07"/>
    <w:rsid w:val="3CEE3290"/>
    <w:rsid w:val="3CF11F87"/>
    <w:rsid w:val="3D1C273E"/>
    <w:rsid w:val="3D345115"/>
    <w:rsid w:val="3D437509"/>
    <w:rsid w:val="3D586762"/>
    <w:rsid w:val="3D5F54A8"/>
    <w:rsid w:val="3D6B0E4E"/>
    <w:rsid w:val="3D7D2A5C"/>
    <w:rsid w:val="3D7F5E53"/>
    <w:rsid w:val="3D963ACC"/>
    <w:rsid w:val="3D9B6231"/>
    <w:rsid w:val="3DA10CD0"/>
    <w:rsid w:val="3DAB21CB"/>
    <w:rsid w:val="3DAE722C"/>
    <w:rsid w:val="3DAE7D51"/>
    <w:rsid w:val="3DB334D8"/>
    <w:rsid w:val="3DC02A92"/>
    <w:rsid w:val="3DD71916"/>
    <w:rsid w:val="3DDB6CA1"/>
    <w:rsid w:val="3DE47B36"/>
    <w:rsid w:val="3DE6260F"/>
    <w:rsid w:val="3DF41109"/>
    <w:rsid w:val="3E025E72"/>
    <w:rsid w:val="3E1B55AC"/>
    <w:rsid w:val="3E385F94"/>
    <w:rsid w:val="3E472553"/>
    <w:rsid w:val="3E4E37C9"/>
    <w:rsid w:val="3E562F37"/>
    <w:rsid w:val="3E7A785F"/>
    <w:rsid w:val="3E8754E4"/>
    <w:rsid w:val="3E8B1BD5"/>
    <w:rsid w:val="3E8B5E61"/>
    <w:rsid w:val="3E957B76"/>
    <w:rsid w:val="3E99271C"/>
    <w:rsid w:val="3EB7568E"/>
    <w:rsid w:val="3ED05DEE"/>
    <w:rsid w:val="3ED7670B"/>
    <w:rsid w:val="3EE762D2"/>
    <w:rsid w:val="3EEF70DB"/>
    <w:rsid w:val="3EFF07E2"/>
    <w:rsid w:val="3F121F0E"/>
    <w:rsid w:val="3F2434C6"/>
    <w:rsid w:val="3F2478A5"/>
    <w:rsid w:val="3F2D0A04"/>
    <w:rsid w:val="3F2E08F4"/>
    <w:rsid w:val="3F30718E"/>
    <w:rsid w:val="3F352BAA"/>
    <w:rsid w:val="3F3D59B6"/>
    <w:rsid w:val="3F433F7A"/>
    <w:rsid w:val="3F450983"/>
    <w:rsid w:val="3F4F2BC5"/>
    <w:rsid w:val="3F577C9D"/>
    <w:rsid w:val="3F705302"/>
    <w:rsid w:val="3F783D37"/>
    <w:rsid w:val="3F7B27A7"/>
    <w:rsid w:val="3F8B7237"/>
    <w:rsid w:val="3F9B6A40"/>
    <w:rsid w:val="3FA42C4F"/>
    <w:rsid w:val="3FA97D1D"/>
    <w:rsid w:val="3FB12DD2"/>
    <w:rsid w:val="3FB86EC1"/>
    <w:rsid w:val="3FC50089"/>
    <w:rsid w:val="3FD319CB"/>
    <w:rsid w:val="3FD9694F"/>
    <w:rsid w:val="3FDF5B30"/>
    <w:rsid w:val="3FE02CFF"/>
    <w:rsid w:val="3FE32C98"/>
    <w:rsid w:val="3FE92A96"/>
    <w:rsid w:val="3FFC0F98"/>
    <w:rsid w:val="3FFD00A6"/>
    <w:rsid w:val="40031700"/>
    <w:rsid w:val="400560D9"/>
    <w:rsid w:val="400F25B9"/>
    <w:rsid w:val="40106AAA"/>
    <w:rsid w:val="40127859"/>
    <w:rsid w:val="401B054E"/>
    <w:rsid w:val="401D54E2"/>
    <w:rsid w:val="40256653"/>
    <w:rsid w:val="40260D38"/>
    <w:rsid w:val="40266AD5"/>
    <w:rsid w:val="402A0A2C"/>
    <w:rsid w:val="402D3564"/>
    <w:rsid w:val="402F5D99"/>
    <w:rsid w:val="40315A8E"/>
    <w:rsid w:val="40354EA1"/>
    <w:rsid w:val="403D42B5"/>
    <w:rsid w:val="403D781A"/>
    <w:rsid w:val="404335D8"/>
    <w:rsid w:val="404733F7"/>
    <w:rsid w:val="40507BB7"/>
    <w:rsid w:val="40536D99"/>
    <w:rsid w:val="40595891"/>
    <w:rsid w:val="406800A0"/>
    <w:rsid w:val="407B397C"/>
    <w:rsid w:val="4084278D"/>
    <w:rsid w:val="408C1F7F"/>
    <w:rsid w:val="408D1798"/>
    <w:rsid w:val="4098087A"/>
    <w:rsid w:val="40A92971"/>
    <w:rsid w:val="40AE1B63"/>
    <w:rsid w:val="40B34BD7"/>
    <w:rsid w:val="40B8153B"/>
    <w:rsid w:val="40CC6230"/>
    <w:rsid w:val="40E816EB"/>
    <w:rsid w:val="40F00FA1"/>
    <w:rsid w:val="40F178AF"/>
    <w:rsid w:val="40F54670"/>
    <w:rsid w:val="41234098"/>
    <w:rsid w:val="4128320C"/>
    <w:rsid w:val="41560E7F"/>
    <w:rsid w:val="415F74A3"/>
    <w:rsid w:val="416C40CA"/>
    <w:rsid w:val="41750BB0"/>
    <w:rsid w:val="417738D3"/>
    <w:rsid w:val="41845073"/>
    <w:rsid w:val="418E13B8"/>
    <w:rsid w:val="41AF7ECC"/>
    <w:rsid w:val="41B33626"/>
    <w:rsid w:val="41C30E6C"/>
    <w:rsid w:val="41CA769E"/>
    <w:rsid w:val="41CF4C5F"/>
    <w:rsid w:val="41D8776D"/>
    <w:rsid w:val="41DC5D37"/>
    <w:rsid w:val="41DE13CF"/>
    <w:rsid w:val="41EF1F78"/>
    <w:rsid w:val="41FD67CA"/>
    <w:rsid w:val="42030C49"/>
    <w:rsid w:val="420F3D61"/>
    <w:rsid w:val="42107A17"/>
    <w:rsid w:val="421B2034"/>
    <w:rsid w:val="42230CA2"/>
    <w:rsid w:val="422B3F43"/>
    <w:rsid w:val="42466388"/>
    <w:rsid w:val="4259344F"/>
    <w:rsid w:val="42631AEA"/>
    <w:rsid w:val="42663A15"/>
    <w:rsid w:val="42671BAF"/>
    <w:rsid w:val="426F51E2"/>
    <w:rsid w:val="42734FE4"/>
    <w:rsid w:val="42826DD7"/>
    <w:rsid w:val="42856C47"/>
    <w:rsid w:val="42863A54"/>
    <w:rsid w:val="42876CE2"/>
    <w:rsid w:val="429124F8"/>
    <w:rsid w:val="429A2C24"/>
    <w:rsid w:val="429F790F"/>
    <w:rsid w:val="42A05D32"/>
    <w:rsid w:val="42A64EF4"/>
    <w:rsid w:val="42A72999"/>
    <w:rsid w:val="42A82811"/>
    <w:rsid w:val="42A8452A"/>
    <w:rsid w:val="42AA0BF9"/>
    <w:rsid w:val="42B30DAD"/>
    <w:rsid w:val="42BF2A2C"/>
    <w:rsid w:val="42C204CA"/>
    <w:rsid w:val="42CD6DEA"/>
    <w:rsid w:val="42D215A8"/>
    <w:rsid w:val="42D25A16"/>
    <w:rsid w:val="42DA1E4D"/>
    <w:rsid w:val="42DD1ECE"/>
    <w:rsid w:val="42E121A6"/>
    <w:rsid w:val="42EF3D22"/>
    <w:rsid w:val="42F92000"/>
    <w:rsid w:val="42FC2DE8"/>
    <w:rsid w:val="43002E29"/>
    <w:rsid w:val="430729E7"/>
    <w:rsid w:val="430B52BD"/>
    <w:rsid w:val="43142264"/>
    <w:rsid w:val="431E13F4"/>
    <w:rsid w:val="43285529"/>
    <w:rsid w:val="43326C4D"/>
    <w:rsid w:val="43362AE5"/>
    <w:rsid w:val="43417DC2"/>
    <w:rsid w:val="434877D8"/>
    <w:rsid w:val="435E6522"/>
    <w:rsid w:val="436101B5"/>
    <w:rsid w:val="43617CE9"/>
    <w:rsid w:val="43680450"/>
    <w:rsid w:val="436A7544"/>
    <w:rsid w:val="436B7C3D"/>
    <w:rsid w:val="436E1641"/>
    <w:rsid w:val="436F0C86"/>
    <w:rsid w:val="437F072E"/>
    <w:rsid w:val="43845136"/>
    <w:rsid w:val="438906E8"/>
    <w:rsid w:val="438A534E"/>
    <w:rsid w:val="438F1CCE"/>
    <w:rsid w:val="4397201D"/>
    <w:rsid w:val="4397557E"/>
    <w:rsid w:val="439B26E7"/>
    <w:rsid w:val="439D0E1F"/>
    <w:rsid w:val="43B96D7B"/>
    <w:rsid w:val="43CB5873"/>
    <w:rsid w:val="43CC52F4"/>
    <w:rsid w:val="44047F47"/>
    <w:rsid w:val="441F6425"/>
    <w:rsid w:val="4425758F"/>
    <w:rsid w:val="44264604"/>
    <w:rsid w:val="44281AB2"/>
    <w:rsid w:val="4433294A"/>
    <w:rsid w:val="443720AE"/>
    <w:rsid w:val="44491981"/>
    <w:rsid w:val="444C26D9"/>
    <w:rsid w:val="444C672F"/>
    <w:rsid w:val="445328F9"/>
    <w:rsid w:val="445C150A"/>
    <w:rsid w:val="447A264F"/>
    <w:rsid w:val="447F5EC2"/>
    <w:rsid w:val="44900708"/>
    <w:rsid w:val="4490669E"/>
    <w:rsid w:val="449068F4"/>
    <w:rsid w:val="449574EF"/>
    <w:rsid w:val="44A91FF9"/>
    <w:rsid w:val="44BE2E8F"/>
    <w:rsid w:val="44D3270E"/>
    <w:rsid w:val="44E57AFF"/>
    <w:rsid w:val="44F8675B"/>
    <w:rsid w:val="44FA5031"/>
    <w:rsid w:val="45002318"/>
    <w:rsid w:val="450162DC"/>
    <w:rsid w:val="45171E09"/>
    <w:rsid w:val="45187F4E"/>
    <w:rsid w:val="451A172D"/>
    <w:rsid w:val="451D4A16"/>
    <w:rsid w:val="45246247"/>
    <w:rsid w:val="452D2B08"/>
    <w:rsid w:val="453A5CF3"/>
    <w:rsid w:val="4545437E"/>
    <w:rsid w:val="454B2248"/>
    <w:rsid w:val="4559619E"/>
    <w:rsid w:val="456637F7"/>
    <w:rsid w:val="45667375"/>
    <w:rsid w:val="456E6F74"/>
    <w:rsid w:val="45703D17"/>
    <w:rsid w:val="457244FB"/>
    <w:rsid w:val="45763799"/>
    <w:rsid w:val="457676DF"/>
    <w:rsid w:val="457D079D"/>
    <w:rsid w:val="45854866"/>
    <w:rsid w:val="45902471"/>
    <w:rsid w:val="4594761F"/>
    <w:rsid w:val="459E76C7"/>
    <w:rsid w:val="45A72845"/>
    <w:rsid w:val="45AA65A6"/>
    <w:rsid w:val="45B407A6"/>
    <w:rsid w:val="45C27E15"/>
    <w:rsid w:val="45C92EBA"/>
    <w:rsid w:val="45D338FB"/>
    <w:rsid w:val="45DE21FB"/>
    <w:rsid w:val="45E404FA"/>
    <w:rsid w:val="45EE611F"/>
    <w:rsid w:val="45F03532"/>
    <w:rsid w:val="45FB2C1F"/>
    <w:rsid w:val="46030499"/>
    <w:rsid w:val="460F5096"/>
    <w:rsid w:val="461232A9"/>
    <w:rsid w:val="461A6083"/>
    <w:rsid w:val="46221084"/>
    <w:rsid w:val="462467DD"/>
    <w:rsid w:val="463B27B7"/>
    <w:rsid w:val="464051AC"/>
    <w:rsid w:val="464C3715"/>
    <w:rsid w:val="46515F9C"/>
    <w:rsid w:val="46597AB7"/>
    <w:rsid w:val="46626710"/>
    <w:rsid w:val="466D0167"/>
    <w:rsid w:val="466F1B59"/>
    <w:rsid w:val="46714F39"/>
    <w:rsid w:val="46722D34"/>
    <w:rsid w:val="467800FB"/>
    <w:rsid w:val="4680398C"/>
    <w:rsid w:val="468238B7"/>
    <w:rsid w:val="468E3011"/>
    <w:rsid w:val="469156DF"/>
    <w:rsid w:val="46A66D40"/>
    <w:rsid w:val="46A9632C"/>
    <w:rsid w:val="46AB3BB3"/>
    <w:rsid w:val="46D52D12"/>
    <w:rsid w:val="46D83FB0"/>
    <w:rsid w:val="46EB5A91"/>
    <w:rsid w:val="46ED3D7E"/>
    <w:rsid w:val="46F1058B"/>
    <w:rsid w:val="46F52C2E"/>
    <w:rsid w:val="47112B06"/>
    <w:rsid w:val="47155FA3"/>
    <w:rsid w:val="47233798"/>
    <w:rsid w:val="47255242"/>
    <w:rsid w:val="473303EA"/>
    <w:rsid w:val="47423F61"/>
    <w:rsid w:val="47430E42"/>
    <w:rsid w:val="475772D9"/>
    <w:rsid w:val="475A73CD"/>
    <w:rsid w:val="475F2FD9"/>
    <w:rsid w:val="476F25CD"/>
    <w:rsid w:val="47775765"/>
    <w:rsid w:val="477B5F48"/>
    <w:rsid w:val="477C2DBD"/>
    <w:rsid w:val="47984CCD"/>
    <w:rsid w:val="47A02BA4"/>
    <w:rsid w:val="47A04BEE"/>
    <w:rsid w:val="47A10846"/>
    <w:rsid w:val="47A10954"/>
    <w:rsid w:val="47AD488E"/>
    <w:rsid w:val="47B42327"/>
    <w:rsid w:val="47B71E17"/>
    <w:rsid w:val="47C63122"/>
    <w:rsid w:val="47E042F8"/>
    <w:rsid w:val="47E1323D"/>
    <w:rsid w:val="47EB16E1"/>
    <w:rsid w:val="47F01BEA"/>
    <w:rsid w:val="47FB4B09"/>
    <w:rsid w:val="480947A4"/>
    <w:rsid w:val="48225364"/>
    <w:rsid w:val="48242D59"/>
    <w:rsid w:val="48260BB6"/>
    <w:rsid w:val="4832102D"/>
    <w:rsid w:val="48356024"/>
    <w:rsid w:val="483B7CA4"/>
    <w:rsid w:val="484428E8"/>
    <w:rsid w:val="48445E9F"/>
    <w:rsid w:val="484D62D8"/>
    <w:rsid w:val="485634C1"/>
    <w:rsid w:val="48623B9A"/>
    <w:rsid w:val="48695A32"/>
    <w:rsid w:val="48791593"/>
    <w:rsid w:val="48917FA9"/>
    <w:rsid w:val="489A00B4"/>
    <w:rsid w:val="48B63E7D"/>
    <w:rsid w:val="48CC61DF"/>
    <w:rsid w:val="48D211F3"/>
    <w:rsid w:val="48D52992"/>
    <w:rsid w:val="48DE76F4"/>
    <w:rsid w:val="48F0184B"/>
    <w:rsid w:val="48FE499E"/>
    <w:rsid w:val="48FE7D0C"/>
    <w:rsid w:val="49012B6D"/>
    <w:rsid w:val="490D109A"/>
    <w:rsid w:val="49145FC3"/>
    <w:rsid w:val="491850E8"/>
    <w:rsid w:val="49247755"/>
    <w:rsid w:val="492905A7"/>
    <w:rsid w:val="4933115C"/>
    <w:rsid w:val="49342A2D"/>
    <w:rsid w:val="493C6E05"/>
    <w:rsid w:val="49406AE6"/>
    <w:rsid w:val="4943498E"/>
    <w:rsid w:val="494A60D2"/>
    <w:rsid w:val="494D67E4"/>
    <w:rsid w:val="49554036"/>
    <w:rsid w:val="49557A7E"/>
    <w:rsid w:val="49565D9A"/>
    <w:rsid w:val="495B5B21"/>
    <w:rsid w:val="496B5086"/>
    <w:rsid w:val="496F1839"/>
    <w:rsid w:val="49743F78"/>
    <w:rsid w:val="49763E01"/>
    <w:rsid w:val="49771234"/>
    <w:rsid w:val="49777BC6"/>
    <w:rsid w:val="497842A6"/>
    <w:rsid w:val="497C22A5"/>
    <w:rsid w:val="49983210"/>
    <w:rsid w:val="49A81640"/>
    <w:rsid w:val="49AB390D"/>
    <w:rsid w:val="49AD6681"/>
    <w:rsid w:val="49B44688"/>
    <w:rsid w:val="49B77EAC"/>
    <w:rsid w:val="49BD0887"/>
    <w:rsid w:val="49C000BC"/>
    <w:rsid w:val="49C23583"/>
    <w:rsid w:val="49C36883"/>
    <w:rsid w:val="49C64026"/>
    <w:rsid w:val="49D87E41"/>
    <w:rsid w:val="49E01D92"/>
    <w:rsid w:val="49E555B5"/>
    <w:rsid w:val="49F540E6"/>
    <w:rsid w:val="4A030CB6"/>
    <w:rsid w:val="4A0843DF"/>
    <w:rsid w:val="4A0C0216"/>
    <w:rsid w:val="4A101117"/>
    <w:rsid w:val="4A103381"/>
    <w:rsid w:val="4A143551"/>
    <w:rsid w:val="4A1829D8"/>
    <w:rsid w:val="4A2E77B4"/>
    <w:rsid w:val="4A331648"/>
    <w:rsid w:val="4A3629B2"/>
    <w:rsid w:val="4A640284"/>
    <w:rsid w:val="4A714A5E"/>
    <w:rsid w:val="4A7162AD"/>
    <w:rsid w:val="4A872A38"/>
    <w:rsid w:val="4AA71AC4"/>
    <w:rsid w:val="4AA8214F"/>
    <w:rsid w:val="4AB12B4E"/>
    <w:rsid w:val="4AB568EA"/>
    <w:rsid w:val="4AC72371"/>
    <w:rsid w:val="4ACB00B3"/>
    <w:rsid w:val="4ACE0E5F"/>
    <w:rsid w:val="4AE1116D"/>
    <w:rsid w:val="4AE47510"/>
    <w:rsid w:val="4AEE1BC4"/>
    <w:rsid w:val="4B046234"/>
    <w:rsid w:val="4B1947B2"/>
    <w:rsid w:val="4B232EAC"/>
    <w:rsid w:val="4B3E6BF4"/>
    <w:rsid w:val="4B441213"/>
    <w:rsid w:val="4B441800"/>
    <w:rsid w:val="4B481704"/>
    <w:rsid w:val="4B543955"/>
    <w:rsid w:val="4B5B6003"/>
    <w:rsid w:val="4B5E3A6D"/>
    <w:rsid w:val="4B607A67"/>
    <w:rsid w:val="4B636E68"/>
    <w:rsid w:val="4B667DDC"/>
    <w:rsid w:val="4B6E1A9E"/>
    <w:rsid w:val="4B6E23FD"/>
    <w:rsid w:val="4B6E25BE"/>
    <w:rsid w:val="4B771D89"/>
    <w:rsid w:val="4B773387"/>
    <w:rsid w:val="4B8D465E"/>
    <w:rsid w:val="4BA21015"/>
    <w:rsid w:val="4BC87368"/>
    <w:rsid w:val="4BC94C24"/>
    <w:rsid w:val="4BE56C30"/>
    <w:rsid w:val="4C031ED3"/>
    <w:rsid w:val="4C084B6E"/>
    <w:rsid w:val="4C1B0260"/>
    <w:rsid w:val="4C1C281D"/>
    <w:rsid w:val="4C275EFC"/>
    <w:rsid w:val="4C2D138B"/>
    <w:rsid w:val="4C360742"/>
    <w:rsid w:val="4C3A6B73"/>
    <w:rsid w:val="4C415B8D"/>
    <w:rsid w:val="4C4F0ED3"/>
    <w:rsid w:val="4C593122"/>
    <w:rsid w:val="4C5C3665"/>
    <w:rsid w:val="4C6A0508"/>
    <w:rsid w:val="4C7958ED"/>
    <w:rsid w:val="4C796364"/>
    <w:rsid w:val="4C8A2E32"/>
    <w:rsid w:val="4C9B28B0"/>
    <w:rsid w:val="4CB50C59"/>
    <w:rsid w:val="4CD80789"/>
    <w:rsid w:val="4CD9638C"/>
    <w:rsid w:val="4CDF25EA"/>
    <w:rsid w:val="4CE52C76"/>
    <w:rsid w:val="4CE8467D"/>
    <w:rsid w:val="4CE86A23"/>
    <w:rsid w:val="4CE87EB3"/>
    <w:rsid w:val="4CED7D84"/>
    <w:rsid w:val="4D112421"/>
    <w:rsid w:val="4D164080"/>
    <w:rsid w:val="4D1E3B52"/>
    <w:rsid w:val="4D213ADC"/>
    <w:rsid w:val="4D2F5024"/>
    <w:rsid w:val="4D300B94"/>
    <w:rsid w:val="4D331FE6"/>
    <w:rsid w:val="4D4C7858"/>
    <w:rsid w:val="4D5A68E2"/>
    <w:rsid w:val="4D5B3463"/>
    <w:rsid w:val="4D5D2FAF"/>
    <w:rsid w:val="4D6D60BA"/>
    <w:rsid w:val="4D742D1A"/>
    <w:rsid w:val="4D752558"/>
    <w:rsid w:val="4D8A019C"/>
    <w:rsid w:val="4D9A653A"/>
    <w:rsid w:val="4DA56922"/>
    <w:rsid w:val="4DA94565"/>
    <w:rsid w:val="4DB87EC9"/>
    <w:rsid w:val="4DC305D3"/>
    <w:rsid w:val="4DDE1EAC"/>
    <w:rsid w:val="4DE406F4"/>
    <w:rsid w:val="4DE50A4F"/>
    <w:rsid w:val="4DF051A4"/>
    <w:rsid w:val="4DF35EC3"/>
    <w:rsid w:val="4E040FB4"/>
    <w:rsid w:val="4E144613"/>
    <w:rsid w:val="4E2E2D47"/>
    <w:rsid w:val="4E4068CA"/>
    <w:rsid w:val="4E410B77"/>
    <w:rsid w:val="4E61035C"/>
    <w:rsid w:val="4E7227C9"/>
    <w:rsid w:val="4E7C59CC"/>
    <w:rsid w:val="4E850568"/>
    <w:rsid w:val="4E932325"/>
    <w:rsid w:val="4EAA6B6F"/>
    <w:rsid w:val="4EB6392A"/>
    <w:rsid w:val="4ECB37FE"/>
    <w:rsid w:val="4ECF7AE2"/>
    <w:rsid w:val="4ED879D0"/>
    <w:rsid w:val="4EF7543E"/>
    <w:rsid w:val="4F034F9B"/>
    <w:rsid w:val="4F037C88"/>
    <w:rsid w:val="4F053936"/>
    <w:rsid w:val="4F0F42E7"/>
    <w:rsid w:val="4F10502D"/>
    <w:rsid w:val="4F1279AC"/>
    <w:rsid w:val="4F131EF2"/>
    <w:rsid w:val="4F1D6A04"/>
    <w:rsid w:val="4F2557B4"/>
    <w:rsid w:val="4F2C58A6"/>
    <w:rsid w:val="4F362293"/>
    <w:rsid w:val="4F381748"/>
    <w:rsid w:val="4F47795C"/>
    <w:rsid w:val="4F516AD6"/>
    <w:rsid w:val="4F52232E"/>
    <w:rsid w:val="4F5432B3"/>
    <w:rsid w:val="4F6A38D2"/>
    <w:rsid w:val="4F7621E9"/>
    <w:rsid w:val="4F7D797B"/>
    <w:rsid w:val="4F7F6C0C"/>
    <w:rsid w:val="4F8E778C"/>
    <w:rsid w:val="4F9C0893"/>
    <w:rsid w:val="4F9C08CE"/>
    <w:rsid w:val="4F9C70E2"/>
    <w:rsid w:val="4FA64C4B"/>
    <w:rsid w:val="4FA74FB6"/>
    <w:rsid w:val="4FCC60AD"/>
    <w:rsid w:val="4FD23CDB"/>
    <w:rsid w:val="4FEE2B9B"/>
    <w:rsid w:val="4FF44910"/>
    <w:rsid w:val="4FFE715B"/>
    <w:rsid w:val="502905A9"/>
    <w:rsid w:val="503F10CE"/>
    <w:rsid w:val="50411018"/>
    <w:rsid w:val="5047487A"/>
    <w:rsid w:val="50521D66"/>
    <w:rsid w:val="50571E36"/>
    <w:rsid w:val="505A3096"/>
    <w:rsid w:val="505C7A00"/>
    <w:rsid w:val="506B2112"/>
    <w:rsid w:val="50704D5D"/>
    <w:rsid w:val="507B3F99"/>
    <w:rsid w:val="507F0E26"/>
    <w:rsid w:val="50907483"/>
    <w:rsid w:val="509B22D6"/>
    <w:rsid w:val="50A4562E"/>
    <w:rsid w:val="50D24496"/>
    <w:rsid w:val="50DE032E"/>
    <w:rsid w:val="50E74EED"/>
    <w:rsid w:val="50EC203D"/>
    <w:rsid w:val="50FD0EB8"/>
    <w:rsid w:val="51085B62"/>
    <w:rsid w:val="51226A77"/>
    <w:rsid w:val="512C5624"/>
    <w:rsid w:val="512E649F"/>
    <w:rsid w:val="51314343"/>
    <w:rsid w:val="51342098"/>
    <w:rsid w:val="513B4BFA"/>
    <w:rsid w:val="5147213E"/>
    <w:rsid w:val="51493070"/>
    <w:rsid w:val="514D3945"/>
    <w:rsid w:val="51533BDC"/>
    <w:rsid w:val="515B63DA"/>
    <w:rsid w:val="51626215"/>
    <w:rsid w:val="5165617E"/>
    <w:rsid w:val="51686FC2"/>
    <w:rsid w:val="516C6AB9"/>
    <w:rsid w:val="5178652B"/>
    <w:rsid w:val="517E4C8E"/>
    <w:rsid w:val="518A76D1"/>
    <w:rsid w:val="51A37A70"/>
    <w:rsid w:val="51A634CB"/>
    <w:rsid w:val="51BA41C4"/>
    <w:rsid w:val="51C7533E"/>
    <w:rsid w:val="51E70A99"/>
    <w:rsid w:val="51EE18F5"/>
    <w:rsid w:val="51EF7318"/>
    <w:rsid w:val="51F70B34"/>
    <w:rsid w:val="51FA4971"/>
    <w:rsid w:val="51FB5ED4"/>
    <w:rsid w:val="52235D14"/>
    <w:rsid w:val="52254D02"/>
    <w:rsid w:val="52276A4C"/>
    <w:rsid w:val="52296B0F"/>
    <w:rsid w:val="522E2CD6"/>
    <w:rsid w:val="52353233"/>
    <w:rsid w:val="523E5720"/>
    <w:rsid w:val="52466F20"/>
    <w:rsid w:val="52481A7E"/>
    <w:rsid w:val="52513631"/>
    <w:rsid w:val="525A6251"/>
    <w:rsid w:val="52605135"/>
    <w:rsid w:val="52630C2C"/>
    <w:rsid w:val="52647496"/>
    <w:rsid w:val="526767C0"/>
    <w:rsid w:val="52753F59"/>
    <w:rsid w:val="52754E41"/>
    <w:rsid w:val="52803A22"/>
    <w:rsid w:val="5288569A"/>
    <w:rsid w:val="528E4782"/>
    <w:rsid w:val="5294522F"/>
    <w:rsid w:val="52AB70CC"/>
    <w:rsid w:val="52B07036"/>
    <w:rsid w:val="52B93F7A"/>
    <w:rsid w:val="52CA1FB4"/>
    <w:rsid w:val="52CF72B5"/>
    <w:rsid w:val="52D263C4"/>
    <w:rsid w:val="52D26A5D"/>
    <w:rsid w:val="52E02F47"/>
    <w:rsid w:val="52E75410"/>
    <w:rsid w:val="52F15105"/>
    <w:rsid w:val="52FC39F7"/>
    <w:rsid w:val="52FD580A"/>
    <w:rsid w:val="530069DA"/>
    <w:rsid w:val="53120235"/>
    <w:rsid w:val="53221E80"/>
    <w:rsid w:val="53397E7A"/>
    <w:rsid w:val="53417AB1"/>
    <w:rsid w:val="53510323"/>
    <w:rsid w:val="53517B19"/>
    <w:rsid w:val="535A3DD1"/>
    <w:rsid w:val="53657777"/>
    <w:rsid w:val="53665805"/>
    <w:rsid w:val="536A1C67"/>
    <w:rsid w:val="536B3E77"/>
    <w:rsid w:val="537275F6"/>
    <w:rsid w:val="5377071A"/>
    <w:rsid w:val="53973313"/>
    <w:rsid w:val="539B23AD"/>
    <w:rsid w:val="53A73238"/>
    <w:rsid w:val="53AA72FE"/>
    <w:rsid w:val="53B44D3A"/>
    <w:rsid w:val="53B81B0F"/>
    <w:rsid w:val="53C224E8"/>
    <w:rsid w:val="53C32BA1"/>
    <w:rsid w:val="53C824F2"/>
    <w:rsid w:val="53CA103C"/>
    <w:rsid w:val="53CF162C"/>
    <w:rsid w:val="53EE2C02"/>
    <w:rsid w:val="53FB42C6"/>
    <w:rsid w:val="54072592"/>
    <w:rsid w:val="540A5398"/>
    <w:rsid w:val="541917FE"/>
    <w:rsid w:val="54223611"/>
    <w:rsid w:val="54276639"/>
    <w:rsid w:val="542935DB"/>
    <w:rsid w:val="54300542"/>
    <w:rsid w:val="54327054"/>
    <w:rsid w:val="543B22DA"/>
    <w:rsid w:val="545277F6"/>
    <w:rsid w:val="54576DE1"/>
    <w:rsid w:val="54673F7E"/>
    <w:rsid w:val="546F1D44"/>
    <w:rsid w:val="5473299E"/>
    <w:rsid w:val="5487560F"/>
    <w:rsid w:val="548D71E0"/>
    <w:rsid w:val="5490354E"/>
    <w:rsid w:val="549C1702"/>
    <w:rsid w:val="549D01C5"/>
    <w:rsid w:val="549F0C72"/>
    <w:rsid w:val="54B26AA2"/>
    <w:rsid w:val="54B40EAF"/>
    <w:rsid w:val="54B65062"/>
    <w:rsid w:val="54BF746F"/>
    <w:rsid w:val="54C9682B"/>
    <w:rsid w:val="54CC3E15"/>
    <w:rsid w:val="54E27F95"/>
    <w:rsid w:val="54EB26DB"/>
    <w:rsid w:val="54EE371F"/>
    <w:rsid w:val="54F37BDA"/>
    <w:rsid w:val="54FC335B"/>
    <w:rsid w:val="5515782A"/>
    <w:rsid w:val="5521267A"/>
    <w:rsid w:val="55333434"/>
    <w:rsid w:val="5543118E"/>
    <w:rsid w:val="55526BD4"/>
    <w:rsid w:val="55576F06"/>
    <w:rsid w:val="557140FE"/>
    <w:rsid w:val="558C60E1"/>
    <w:rsid w:val="558F2484"/>
    <w:rsid w:val="5591310B"/>
    <w:rsid w:val="559C6B15"/>
    <w:rsid w:val="55AC1942"/>
    <w:rsid w:val="55AF0028"/>
    <w:rsid w:val="55B16404"/>
    <w:rsid w:val="55BE4F8F"/>
    <w:rsid w:val="55C27854"/>
    <w:rsid w:val="55C65B08"/>
    <w:rsid w:val="55CD16B7"/>
    <w:rsid w:val="55D25C0A"/>
    <w:rsid w:val="55DA6C7D"/>
    <w:rsid w:val="55DD53E7"/>
    <w:rsid w:val="55DE312C"/>
    <w:rsid w:val="560E4BD5"/>
    <w:rsid w:val="56186FA3"/>
    <w:rsid w:val="563C339C"/>
    <w:rsid w:val="563C5569"/>
    <w:rsid w:val="564021F8"/>
    <w:rsid w:val="56434136"/>
    <w:rsid w:val="56483FAD"/>
    <w:rsid w:val="564C7BCE"/>
    <w:rsid w:val="56581D98"/>
    <w:rsid w:val="56584BF0"/>
    <w:rsid w:val="565E3C5F"/>
    <w:rsid w:val="5663636F"/>
    <w:rsid w:val="56651656"/>
    <w:rsid w:val="566949AA"/>
    <w:rsid w:val="5676251D"/>
    <w:rsid w:val="56901AF1"/>
    <w:rsid w:val="5692441B"/>
    <w:rsid w:val="56990E2D"/>
    <w:rsid w:val="56A75152"/>
    <w:rsid w:val="56B15118"/>
    <w:rsid w:val="56B61594"/>
    <w:rsid w:val="56B631D9"/>
    <w:rsid w:val="56BA3CFE"/>
    <w:rsid w:val="56BC1A60"/>
    <w:rsid w:val="56D15EE6"/>
    <w:rsid w:val="56D372AA"/>
    <w:rsid w:val="56DD3B43"/>
    <w:rsid w:val="56E17797"/>
    <w:rsid w:val="56E43263"/>
    <w:rsid w:val="56E56F48"/>
    <w:rsid w:val="56EE7CCE"/>
    <w:rsid w:val="56FF4308"/>
    <w:rsid w:val="57083909"/>
    <w:rsid w:val="57103D83"/>
    <w:rsid w:val="571511AC"/>
    <w:rsid w:val="571526B6"/>
    <w:rsid w:val="571A70CB"/>
    <w:rsid w:val="571B16D3"/>
    <w:rsid w:val="572B5110"/>
    <w:rsid w:val="572F1CA4"/>
    <w:rsid w:val="57311BB3"/>
    <w:rsid w:val="573B24BF"/>
    <w:rsid w:val="574C6CA5"/>
    <w:rsid w:val="574D5FA1"/>
    <w:rsid w:val="574F6204"/>
    <w:rsid w:val="575D189D"/>
    <w:rsid w:val="576569A2"/>
    <w:rsid w:val="576C24D5"/>
    <w:rsid w:val="576E3F11"/>
    <w:rsid w:val="5785617C"/>
    <w:rsid w:val="578A5420"/>
    <w:rsid w:val="57A52D00"/>
    <w:rsid w:val="57A83B69"/>
    <w:rsid w:val="57AC47C3"/>
    <w:rsid w:val="57B343A9"/>
    <w:rsid w:val="57BD2B71"/>
    <w:rsid w:val="57DE12F6"/>
    <w:rsid w:val="57E36A67"/>
    <w:rsid w:val="57EB38BD"/>
    <w:rsid w:val="57EC363F"/>
    <w:rsid w:val="57FF6AC7"/>
    <w:rsid w:val="580F5FED"/>
    <w:rsid w:val="581105E8"/>
    <w:rsid w:val="58141DC0"/>
    <w:rsid w:val="58163660"/>
    <w:rsid w:val="581C2202"/>
    <w:rsid w:val="58201313"/>
    <w:rsid w:val="58310FA9"/>
    <w:rsid w:val="58375189"/>
    <w:rsid w:val="5838665C"/>
    <w:rsid w:val="585C034C"/>
    <w:rsid w:val="58665967"/>
    <w:rsid w:val="586A020D"/>
    <w:rsid w:val="586A2604"/>
    <w:rsid w:val="586B07E0"/>
    <w:rsid w:val="587C4B3E"/>
    <w:rsid w:val="587D6739"/>
    <w:rsid w:val="58941FDF"/>
    <w:rsid w:val="58964E46"/>
    <w:rsid w:val="58AE4D15"/>
    <w:rsid w:val="58B45084"/>
    <w:rsid w:val="58C74CC8"/>
    <w:rsid w:val="58D61BF3"/>
    <w:rsid w:val="58DB2B34"/>
    <w:rsid w:val="58E1277F"/>
    <w:rsid w:val="58F1002B"/>
    <w:rsid w:val="58F22B57"/>
    <w:rsid w:val="59084281"/>
    <w:rsid w:val="590C3C4E"/>
    <w:rsid w:val="590C5EFC"/>
    <w:rsid w:val="590E504B"/>
    <w:rsid w:val="59183A85"/>
    <w:rsid w:val="591B7F60"/>
    <w:rsid w:val="591D3F68"/>
    <w:rsid w:val="59271254"/>
    <w:rsid w:val="593348DB"/>
    <w:rsid w:val="5948437D"/>
    <w:rsid w:val="594A06E8"/>
    <w:rsid w:val="5951268A"/>
    <w:rsid w:val="595D7738"/>
    <w:rsid w:val="596206E3"/>
    <w:rsid w:val="59647679"/>
    <w:rsid w:val="596C6E21"/>
    <w:rsid w:val="597157A0"/>
    <w:rsid w:val="597A46E3"/>
    <w:rsid w:val="597F26A3"/>
    <w:rsid w:val="59927292"/>
    <w:rsid w:val="5996305C"/>
    <w:rsid w:val="59BB1C0A"/>
    <w:rsid w:val="59C04CB5"/>
    <w:rsid w:val="59DE4126"/>
    <w:rsid w:val="59EA1C91"/>
    <w:rsid w:val="59F40CA9"/>
    <w:rsid w:val="59FE1BD0"/>
    <w:rsid w:val="5A006700"/>
    <w:rsid w:val="5A093F1D"/>
    <w:rsid w:val="5A370CBD"/>
    <w:rsid w:val="5A3C68BE"/>
    <w:rsid w:val="5A501B49"/>
    <w:rsid w:val="5A5C5BED"/>
    <w:rsid w:val="5A7107DC"/>
    <w:rsid w:val="5A7A3A9C"/>
    <w:rsid w:val="5A7D3E93"/>
    <w:rsid w:val="5A8738CB"/>
    <w:rsid w:val="5A8E07AA"/>
    <w:rsid w:val="5A996380"/>
    <w:rsid w:val="5A997DB3"/>
    <w:rsid w:val="5AB15CC2"/>
    <w:rsid w:val="5AB43DB4"/>
    <w:rsid w:val="5AB907BF"/>
    <w:rsid w:val="5ABD5F70"/>
    <w:rsid w:val="5ACC0E54"/>
    <w:rsid w:val="5AD46B78"/>
    <w:rsid w:val="5AE00369"/>
    <w:rsid w:val="5AE1122D"/>
    <w:rsid w:val="5AEF5B4E"/>
    <w:rsid w:val="5AF14FB3"/>
    <w:rsid w:val="5AF71A3E"/>
    <w:rsid w:val="5AFF3461"/>
    <w:rsid w:val="5B0B0F8F"/>
    <w:rsid w:val="5B0B67CD"/>
    <w:rsid w:val="5B0D29FE"/>
    <w:rsid w:val="5B0E171E"/>
    <w:rsid w:val="5B155DEE"/>
    <w:rsid w:val="5B1E3658"/>
    <w:rsid w:val="5B262C32"/>
    <w:rsid w:val="5B296922"/>
    <w:rsid w:val="5B2A4B0F"/>
    <w:rsid w:val="5B2B1715"/>
    <w:rsid w:val="5B515893"/>
    <w:rsid w:val="5B53311F"/>
    <w:rsid w:val="5B611CE1"/>
    <w:rsid w:val="5B6673AD"/>
    <w:rsid w:val="5B714C46"/>
    <w:rsid w:val="5B7B4135"/>
    <w:rsid w:val="5B8567CC"/>
    <w:rsid w:val="5B886A44"/>
    <w:rsid w:val="5B8D767B"/>
    <w:rsid w:val="5B904B10"/>
    <w:rsid w:val="5B924D02"/>
    <w:rsid w:val="5B9357B0"/>
    <w:rsid w:val="5B9B3F44"/>
    <w:rsid w:val="5BA1294D"/>
    <w:rsid w:val="5BA62827"/>
    <w:rsid w:val="5BA73D92"/>
    <w:rsid w:val="5BB5236C"/>
    <w:rsid w:val="5BD80492"/>
    <w:rsid w:val="5BD83332"/>
    <w:rsid w:val="5BE613B3"/>
    <w:rsid w:val="5BEB0143"/>
    <w:rsid w:val="5BEE5BFC"/>
    <w:rsid w:val="5BF136F2"/>
    <w:rsid w:val="5BF75FE1"/>
    <w:rsid w:val="5BF87B6A"/>
    <w:rsid w:val="5C0056E3"/>
    <w:rsid w:val="5C015EDB"/>
    <w:rsid w:val="5C0C52AD"/>
    <w:rsid w:val="5C27795C"/>
    <w:rsid w:val="5C2F2F90"/>
    <w:rsid w:val="5C487AAD"/>
    <w:rsid w:val="5C514D27"/>
    <w:rsid w:val="5C52170A"/>
    <w:rsid w:val="5C55348A"/>
    <w:rsid w:val="5C597BDF"/>
    <w:rsid w:val="5C5C0AF8"/>
    <w:rsid w:val="5C5F73B6"/>
    <w:rsid w:val="5C6365C1"/>
    <w:rsid w:val="5C6E089F"/>
    <w:rsid w:val="5C811040"/>
    <w:rsid w:val="5C835DA4"/>
    <w:rsid w:val="5C952AE3"/>
    <w:rsid w:val="5CA77DFB"/>
    <w:rsid w:val="5CAA0F2B"/>
    <w:rsid w:val="5CB364D3"/>
    <w:rsid w:val="5CC945B6"/>
    <w:rsid w:val="5CE47EC3"/>
    <w:rsid w:val="5CED313F"/>
    <w:rsid w:val="5CF36B5D"/>
    <w:rsid w:val="5D0357F2"/>
    <w:rsid w:val="5D1B4EE7"/>
    <w:rsid w:val="5D3D536F"/>
    <w:rsid w:val="5D4B5676"/>
    <w:rsid w:val="5D4D64EA"/>
    <w:rsid w:val="5D4F2158"/>
    <w:rsid w:val="5D562529"/>
    <w:rsid w:val="5D5641BE"/>
    <w:rsid w:val="5D681792"/>
    <w:rsid w:val="5D683091"/>
    <w:rsid w:val="5D6C0E90"/>
    <w:rsid w:val="5D76620C"/>
    <w:rsid w:val="5D8A3371"/>
    <w:rsid w:val="5D8B722E"/>
    <w:rsid w:val="5D8D1F5D"/>
    <w:rsid w:val="5D971CD0"/>
    <w:rsid w:val="5D9724E6"/>
    <w:rsid w:val="5DA2404B"/>
    <w:rsid w:val="5DA354B9"/>
    <w:rsid w:val="5DA86032"/>
    <w:rsid w:val="5DB74A6F"/>
    <w:rsid w:val="5DBC266B"/>
    <w:rsid w:val="5DC017E0"/>
    <w:rsid w:val="5DCB3BE5"/>
    <w:rsid w:val="5DD72767"/>
    <w:rsid w:val="5DEB3F1E"/>
    <w:rsid w:val="5DF0055C"/>
    <w:rsid w:val="5DF84E6E"/>
    <w:rsid w:val="5DF85BE8"/>
    <w:rsid w:val="5E114FA6"/>
    <w:rsid w:val="5E1B71D5"/>
    <w:rsid w:val="5E1F46E4"/>
    <w:rsid w:val="5E21663E"/>
    <w:rsid w:val="5E2508F6"/>
    <w:rsid w:val="5E2964CA"/>
    <w:rsid w:val="5E4325B2"/>
    <w:rsid w:val="5E4D2F11"/>
    <w:rsid w:val="5E587A58"/>
    <w:rsid w:val="5E595CDC"/>
    <w:rsid w:val="5E600B5D"/>
    <w:rsid w:val="5E664EB8"/>
    <w:rsid w:val="5E6C7060"/>
    <w:rsid w:val="5E721881"/>
    <w:rsid w:val="5E7E7E45"/>
    <w:rsid w:val="5E7F2E0C"/>
    <w:rsid w:val="5E8042D9"/>
    <w:rsid w:val="5E8D4E95"/>
    <w:rsid w:val="5E9860A7"/>
    <w:rsid w:val="5EA178E0"/>
    <w:rsid w:val="5EA35622"/>
    <w:rsid w:val="5EA7196D"/>
    <w:rsid w:val="5EAA6AAA"/>
    <w:rsid w:val="5EB6663C"/>
    <w:rsid w:val="5EB66A16"/>
    <w:rsid w:val="5EB66EA0"/>
    <w:rsid w:val="5ED80E1D"/>
    <w:rsid w:val="5EDA65EA"/>
    <w:rsid w:val="5EDC3B0F"/>
    <w:rsid w:val="5EEB27C8"/>
    <w:rsid w:val="5EEB4B4F"/>
    <w:rsid w:val="5EED7DF9"/>
    <w:rsid w:val="5EF12DA9"/>
    <w:rsid w:val="5EF71BAD"/>
    <w:rsid w:val="5EFB4648"/>
    <w:rsid w:val="5EFD5F0A"/>
    <w:rsid w:val="5F0D7EBD"/>
    <w:rsid w:val="5F105ADE"/>
    <w:rsid w:val="5F2A6AFE"/>
    <w:rsid w:val="5F35593B"/>
    <w:rsid w:val="5F4B1DFD"/>
    <w:rsid w:val="5F5879AC"/>
    <w:rsid w:val="5F654611"/>
    <w:rsid w:val="5F6654A5"/>
    <w:rsid w:val="5F6B5569"/>
    <w:rsid w:val="5F70745B"/>
    <w:rsid w:val="5F71519C"/>
    <w:rsid w:val="5F716A56"/>
    <w:rsid w:val="5F743D6F"/>
    <w:rsid w:val="5F780B40"/>
    <w:rsid w:val="5F7B2B2A"/>
    <w:rsid w:val="5F7F67E8"/>
    <w:rsid w:val="5F88144B"/>
    <w:rsid w:val="5F88611B"/>
    <w:rsid w:val="5F8B3CB5"/>
    <w:rsid w:val="5F94487C"/>
    <w:rsid w:val="5F97398A"/>
    <w:rsid w:val="5F9A5E4E"/>
    <w:rsid w:val="5FA215F5"/>
    <w:rsid w:val="5FAA0BF0"/>
    <w:rsid w:val="5FBB3E0B"/>
    <w:rsid w:val="5FC07A4A"/>
    <w:rsid w:val="5FE377F5"/>
    <w:rsid w:val="5FE66A80"/>
    <w:rsid w:val="5FF11483"/>
    <w:rsid w:val="5FF474A1"/>
    <w:rsid w:val="5FFF5B38"/>
    <w:rsid w:val="60094296"/>
    <w:rsid w:val="600C0075"/>
    <w:rsid w:val="600E2A7A"/>
    <w:rsid w:val="60221C33"/>
    <w:rsid w:val="602C275C"/>
    <w:rsid w:val="603517BA"/>
    <w:rsid w:val="60382298"/>
    <w:rsid w:val="603E67DA"/>
    <w:rsid w:val="604007A4"/>
    <w:rsid w:val="60453AB4"/>
    <w:rsid w:val="604666F4"/>
    <w:rsid w:val="6048668B"/>
    <w:rsid w:val="605867EF"/>
    <w:rsid w:val="60593961"/>
    <w:rsid w:val="605B70B6"/>
    <w:rsid w:val="606E6E50"/>
    <w:rsid w:val="60723662"/>
    <w:rsid w:val="6089452E"/>
    <w:rsid w:val="608C39E9"/>
    <w:rsid w:val="609220CF"/>
    <w:rsid w:val="60BA5372"/>
    <w:rsid w:val="60BB4DF3"/>
    <w:rsid w:val="60CA6882"/>
    <w:rsid w:val="60D31518"/>
    <w:rsid w:val="60E97472"/>
    <w:rsid w:val="60EC400F"/>
    <w:rsid w:val="61024326"/>
    <w:rsid w:val="61050D4E"/>
    <w:rsid w:val="61072705"/>
    <w:rsid w:val="6115348E"/>
    <w:rsid w:val="611B1A84"/>
    <w:rsid w:val="611D2893"/>
    <w:rsid w:val="6123186B"/>
    <w:rsid w:val="61324035"/>
    <w:rsid w:val="61355C06"/>
    <w:rsid w:val="61403E48"/>
    <w:rsid w:val="61495037"/>
    <w:rsid w:val="614E3CD8"/>
    <w:rsid w:val="614F79F4"/>
    <w:rsid w:val="61527160"/>
    <w:rsid w:val="616C7377"/>
    <w:rsid w:val="61711D9C"/>
    <w:rsid w:val="61756B3C"/>
    <w:rsid w:val="617E4BB1"/>
    <w:rsid w:val="617F4B4F"/>
    <w:rsid w:val="61870540"/>
    <w:rsid w:val="61970187"/>
    <w:rsid w:val="61B4393E"/>
    <w:rsid w:val="61C167E0"/>
    <w:rsid w:val="61C30FAA"/>
    <w:rsid w:val="61C64CD9"/>
    <w:rsid w:val="61C74D04"/>
    <w:rsid w:val="61D030A2"/>
    <w:rsid w:val="61E965AB"/>
    <w:rsid w:val="61EB43FA"/>
    <w:rsid w:val="61F512BC"/>
    <w:rsid w:val="61FF2140"/>
    <w:rsid w:val="61FF7FBA"/>
    <w:rsid w:val="62064597"/>
    <w:rsid w:val="6210608D"/>
    <w:rsid w:val="621F0D52"/>
    <w:rsid w:val="622F3C37"/>
    <w:rsid w:val="62480A54"/>
    <w:rsid w:val="624A38CE"/>
    <w:rsid w:val="624F0644"/>
    <w:rsid w:val="62520824"/>
    <w:rsid w:val="625578B7"/>
    <w:rsid w:val="625E5C5F"/>
    <w:rsid w:val="62603827"/>
    <w:rsid w:val="62606EDB"/>
    <w:rsid w:val="627472DF"/>
    <w:rsid w:val="627523B1"/>
    <w:rsid w:val="628808E4"/>
    <w:rsid w:val="62971CC6"/>
    <w:rsid w:val="62AF3104"/>
    <w:rsid w:val="62B141AD"/>
    <w:rsid w:val="62B57382"/>
    <w:rsid w:val="62BC3046"/>
    <w:rsid w:val="62C30AED"/>
    <w:rsid w:val="62E01DCA"/>
    <w:rsid w:val="62E151E8"/>
    <w:rsid w:val="62E435E8"/>
    <w:rsid w:val="62FB7AEC"/>
    <w:rsid w:val="63016CF1"/>
    <w:rsid w:val="63066460"/>
    <w:rsid w:val="63112A9A"/>
    <w:rsid w:val="632A6C01"/>
    <w:rsid w:val="632C5815"/>
    <w:rsid w:val="633613BC"/>
    <w:rsid w:val="6337228C"/>
    <w:rsid w:val="633E55A7"/>
    <w:rsid w:val="63501810"/>
    <w:rsid w:val="63583B3B"/>
    <w:rsid w:val="6367438F"/>
    <w:rsid w:val="636B2DB8"/>
    <w:rsid w:val="636C0F3B"/>
    <w:rsid w:val="637C406A"/>
    <w:rsid w:val="63913020"/>
    <w:rsid w:val="639A745D"/>
    <w:rsid w:val="639C14B7"/>
    <w:rsid w:val="63AB7E91"/>
    <w:rsid w:val="63AD49D1"/>
    <w:rsid w:val="63C07DBA"/>
    <w:rsid w:val="63C5308C"/>
    <w:rsid w:val="63CD585D"/>
    <w:rsid w:val="63D85EE1"/>
    <w:rsid w:val="63EB0C9B"/>
    <w:rsid w:val="63ED29F1"/>
    <w:rsid w:val="63EF0904"/>
    <w:rsid w:val="63F32B3E"/>
    <w:rsid w:val="640A60A3"/>
    <w:rsid w:val="640B4D26"/>
    <w:rsid w:val="6413378B"/>
    <w:rsid w:val="64146E8F"/>
    <w:rsid w:val="64193758"/>
    <w:rsid w:val="6430510D"/>
    <w:rsid w:val="64315F0B"/>
    <w:rsid w:val="64316150"/>
    <w:rsid w:val="643D7E3B"/>
    <w:rsid w:val="643F2CB4"/>
    <w:rsid w:val="644624E7"/>
    <w:rsid w:val="644E58B9"/>
    <w:rsid w:val="645842F7"/>
    <w:rsid w:val="6459326D"/>
    <w:rsid w:val="64673402"/>
    <w:rsid w:val="646A5953"/>
    <w:rsid w:val="646F7180"/>
    <w:rsid w:val="64755B4B"/>
    <w:rsid w:val="64924E8E"/>
    <w:rsid w:val="64935C5F"/>
    <w:rsid w:val="649602EE"/>
    <w:rsid w:val="649C7328"/>
    <w:rsid w:val="64AF206E"/>
    <w:rsid w:val="64B42FC3"/>
    <w:rsid w:val="64BB03DA"/>
    <w:rsid w:val="64BF1013"/>
    <w:rsid w:val="64C23BDD"/>
    <w:rsid w:val="64C34420"/>
    <w:rsid w:val="64C56282"/>
    <w:rsid w:val="64D23E49"/>
    <w:rsid w:val="64D35A3B"/>
    <w:rsid w:val="64D80140"/>
    <w:rsid w:val="64E15202"/>
    <w:rsid w:val="64E536C8"/>
    <w:rsid w:val="6508568C"/>
    <w:rsid w:val="652143D9"/>
    <w:rsid w:val="6524004D"/>
    <w:rsid w:val="65301CDE"/>
    <w:rsid w:val="65341D26"/>
    <w:rsid w:val="65380FD4"/>
    <w:rsid w:val="65391927"/>
    <w:rsid w:val="653F7A6D"/>
    <w:rsid w:val="65420F95"/>
    <w:rsid w:val="65444D33"/>
    <w:rsid w:val="655F1C63"/>
    <w:rsid w:val="657B59AB"/>
    <w:rsid w:val="657B5DDA"/>
    <w:rsid w:val="65833498"/>
    <w:rsid w:val="65863ED6"/>
    <w:rsid w:val="65867935"/>
    <w:rsid w:val="65A7416D"/>
    <w:rsid w:val="65D555CF"/>
    <w:rsid w:val="65D571B4"/>
    <w:rsid w:val="65EA01CC"/>
    <w:rsid w:val="65F729A5"/>
    <w:rsid w:val="66013430"/>
    <w:rsid w:val="660331F0"/>
    <w:rsid w:val="66130300"/>
    <w:rsid w:val="66197763"/>
    <w:rsid w:val="661E2CB4"/>
    <w:rsid w:val="662F1948"/>
    <w:rsid w:val="664D7B92"/>
    <w:rsid w:val="6659611C"/>
    <w:rsid w:val="665F2259"/>
    <w:rsid w:val="66754874"/>
    <w:rsid w:val="667967BE"/>
    <w:rsid w:val="66805C53"/>
    <w:rsid w:val="668179D1"/>
    <w:rsid w:val="668924F5"/>
    <w:rsid w:val="6690012E"/>
    <w:rsid w:val="66963E2A"/>
    <w:rsid w:val="669717C3"/>
    <w:rsid w:val="66981991"/>
    <w:rsid w:val="669F76AC"/>
    <w:rsid w:val="66A17604"/>
    <w:rsid w:val="66AB0257"/>
    <w:rsid w:val="66AB59F3"/>
    <w:rsid w:val="66AE1DF7"/>
    <w:rsid w:val="66B372BF"/>
    <w:rsid w:val="66B97B45"/>
    <w:rsid w:val="66CF3AF2"/>
    <w:rsid w:val="66D85799"/>
    <w:rsid w:val="66E16982"/>
    <w:rsid w:val="66E81D82"/>
    <w:rsid w:val="66EA76BB"/>
    <w:rsid w:val="66ED5B89"/>
    <w:rsid w:val="66F56D97"/>
    <w:rsid w:val="67042137"/>
    <w:rsid w:val="671E1113"/>
    <w:rsid w:val="672229B1"/>
    <w:rsid w:val="672A4D44"/>
    <w:rsid w:val="672F11E0"/>
    <w:rsid w:val="67346A78"/>
    <w:rsid w:val="673F62A3"/>
    <w:rsid w:val="674A15D8"/>
    <w:rsid w:val="675441B2"/>
    <w:rsid w:val="675E3A92"/>
    <w:rsid w:val="676048CE"/>
    <w:rsid w:val="6778730E"/>
    <w:rsid w:val="67902011"/>
    <w:rsid w:val="6792638C"/>
    <w:rsid w:val="67B30EF4"/>
    <w:rsid w:val="67B36A14"/>
    <w:rsid w:val="67BA6F21"/>
    <w:rsid w:val="67BD0A44"/>
    <w:rsid w:val="67C53454"/>
    <w:rsid w:val="67C62D1A"/>
    <w:rsid w:val="67C947A0"/>
    <w:rsid w:val="67D778DC"/>
    <w:rsid w:val="67E25C7F"/>
    <w:rsid w:val="67E56D66"/>
    <w:rsid w:val="67E71264"/>
    <w:rsid w:val="67F92A57"/>
    <w:rsid w:val="67FF354C"/>
    <w:rsid w:val="680C1D2E"/>
    <w:rsid w:val="68151902"/>
    <w:rsid w:val="681F0829"/>
    <w:rsid w:val="682219A4"/>
    <w:rsid w:val="682312EF"/>
    <w:rsid w:val="68235B8E"/>
    <w:rsid w:val="68261DB1"/>
    <w:rsid w:val="6843117B"/>
    <w:rsid w:val="684731DB"/>
    <w:rsid w:val="685D7F23"/>
    <w:rsid w:val="68650B55"/>
    <w:rsid w:val="687D29BA"/>
    <w:rsid w:val="688A68B7"/>
    <w:rsid w:val="688E33C7"/>
    <w:rsid w:val="6894577D"/>
    <w:rsid w:val="68961461"/>
    <w:rsid w:val="68A14C44"/>
    <w:rsid w:val="68A3557C"/>
    <w:rsid w:val="68A936D2"/>
    <w:rsid w:val="68AE6122"/>
    <w:rsid w:val="68B82693"/>
    <w:rsid w:val="68BC14D1"/>
    <w:rsid w:val="68BE0977"/>
    <w:rsid w:val="68C10DBC"/>
    <w:rsid w:val="68C54A51"/>
    <w:rsid w:val="68CC31C4"/>
    <w:rsid w:val="68CC32E9"/>
    <w:rsid w:val="68D36314"/>
    <w:rsid w:val="68DC3034"/>
    <w:rsid w:val="68EB3277"/>
    <w:rsid w:val="68F826E8"/>
    <w:rsid w:val="69060086"/>
    <w:rsid w:val="69094817"/>
    <w:rsid w:val="690D089E"/>
    <w:rsid w:val="690D7D12"/>
    <w:rsid w:val="690E49D5"/>
    <w:rsid w:val="6913099A"/>
    <w:rsid w:val="69140C0F"/>
    <w:rsid w:val="691947AC"/>
    <w:rsid w:val="6920134A"/>
    <w:rsid w:val="69377D62"/>
    <w:rsid w:val="693C7B22"/>
    <w:rsid w:val="69474EEA"/>
    <w:rsid w:val="695C3588"/>
    <w:rsid w:val="695F5F24"/>
    <w:rsid w:val="69667FE2"/>
    <w:rsid w:val="696C260A"/>
    <w:rsid w:val="69757089"/>
    <w:rsid w:val="698038C9"/>
    <w:rsid w:val="698E1D84"/>
    <w:rsid w:val="69955E49"/>
    <w:rsid w:val="699E05EC"/>
    <w:rsid w:val="69A0462D"/>
    <w:rsid w:val="69A81B56"/>
    <w:rsid w:val="69D4247E"/>
    <w:rsid w:val="69DD6725"/>
    <w:rsid w:val="69EF6A79"/>
    <w:rsid w:val="69F563D9"/>
    <w:rsid w:val="69FE781E"/>
    <w:rsid w:val="6A0E4050"/>
    <w:rsid w:val="6A13712E"/>
    <w:rsid w:val="6A2A13FA"/>
    <w:rsid w:val="6A300854"/>
    <w:rsid w:val="6A354ADF"/>
    <w:rsid w:val="6A386015"/>
    <w:rsid w:val="6A3F28AF"/>
    <w:rsid w:val="6A491AD6"/>
    <w:rsid w:val="6A4F5A96"/>
    <w:rsid w:val="6A525420"/>
    <w:rsid w:val="6A544B90"/>
    <w:rsid w:val="6A6257BB"/>
    <w:rsid w:val="6A726C61"/>
    <w:rsid w:val="6A732A46"/>
    <w:rsid w:val="6A7561E8"/>
    <w:rsid w:val="6A9728B4"/>
    <w:rsid w:val="6AA04459"/>
    <w:rsid w:val="6AC124E1"/>
    <w:rsid w:val="6AC66C6C"/>
    <w:rsid w:val="6ACB3C20"/>
    <w:rsid w:val="6ACB6939"/>
    <w:rsid w:val="6AD30444"/>
    <w:rsid w:val="6AE01FA6"/>
    <w:rsid w:val="6AF220FD"/>
    <w:rsid w:val="6AFD6641"/>
    <w:rsid w:val="6B133C6A"/>
    <w:rsid w:val="6B1E7128"/>
    <w:rsid w:val="6B207B5D"/>
    <w:rsid w:val="6B3C634D"/>
    <w:rsid w:val="6B4A24D7"/>
    <w:rsid w:val="6B574375"/>
    <w:rsid w:val="6B5A59D5"/>
    <w:rsid w:val="6B5C4B3A"/>
    <w:rsid w:val="6B6852C3"/>
    <w:rsid w:val="6B7C46CC"/>
    <w:rsid w:val="6B872E21"/>
    <w:rsid w:val="6B992AE5"/>
    <w:rsid w:val="6BA05AD8"/>
    <w:rsid w:val="6BAF4EFE"/>
    <w:rsid w:val="6BB66BA6"/>
    <w:rsid w:val="6BB726CA"/>
    <w:rsid w:val="6BC202FC"/>
    <w:rsid w:val="6BD2500D"/>
    <w:rsid w:val="6BDA3E5E"/>
    <w:rsid w:val="6BE0108D"/>
    <w:rsid w:val="6BE15BC4"/>
    <w:rsid w:val="6BED6CC4"/>
    <w:rsid w:val="6BFC1E4A"/>
    <w:rsid w:val="6C242424"/>
    <w:rsid w:val="6C296590"/>
    <w:rsid w:val="6C37134C"/>
    <w:rsid w:val="6C3D5827"/>
    <w:rsid w:val="6C42552C"/>
    <w:rsid w:val="6C451999"/>
    <w:rsid w:val="6C4D78D1"/>
    <w:rsid w:val="6C615DD7"/>
    <w:rsid w:val="6C695A39"/>
    <w:rsid w:val="6C7D0432"/>
    <w:rsid w:val="6C8308A5"/>
    <w:rsid w:val="6C861C52"/>
    <w:rsid w:val="6C875A61"/>
    <w:rsid w:val="6CA87E95"/>
    <w:rsid w:val="6CAF2339"/>
    <w:rsid w:val="6CD81999"/>
    <w:rsid w:val="6CF463AA"/>
    <w:rsid w:val="6D02669A"/>
    <w:rsid w:val="6D061A88"/>
    <w:rsid w:val="6D0B2952"/>
    <w:rsid w:val="6D133982"/>
    <w:rsid w:val="6D1B33A0"/>
    <w:rsid w:val="6D2137DB"/>
    <w:rsid w:val="6D2412E4"/>
    <w:rsid w:val="6D2B26ED"/>
    <w:rsid w:val="6D2D695E"/>
    <w:rsid w:val="6D2E60F1"/>
    <w:rsid w:val="6D403348"/>
    <w:rsid w:val="6D484D07"/>
    <w:rsid w:val="6D4D43B8"/>
    <w:rsid w:val="6D4F52C4"/>
    <w:rsid w:val="6D6F4815"/>
    <w:rsid w:val="6D7017CF"/>
    <w:rsid w:val="6D7433C6"/>
    <w:rsid w:val="6D7639FA"/>
    <w:rsid w:val="6D947C8A"/>
    <w:rsid w:val="6D95581D"/>
    <w:rsid w:val="6D9D2C93"/>
    <w:rsid w:val="6DA06CAF"/>
    <w:rsid w:val="6DA16942"/>
    <w:rsid w:val="6DB053A1"/>
    <w:rsid w:val="6DB178B2"/>
    <w:rsid w:val="6DBB2146"/>
    <w:rsid w:val="6DBF10AA"/>
    <w:rsid w:val="6DC527DB"/>
    <w:rsid w:val="6DC66F73"/>
    <w:rsid w:val="6DCE65EC"/>
    <w:rsid w:val="6DE229B4"/>
    <w:rsid w:val="6DF1284C"/>
    <w:rsid w:val="6E021081"/>
    <w:rsid w:val="6E0A6C18"/>
    <w:rsid w:val="6E192EC0"/>
    <w:rsid w:val="6E1E3392"/>
    <w:rsid w:val="6E3C2863"/>
    <w:rsid w:val="6E4407A3"/>
    <w:rsid w:val="6E6069DE"/>
    <w:rsid w:val="6E647AFF"/>
    <w:rsid w:val="6E697118"/>
    <w:rsid w:val="6E7E1421"/>
    <w:rsid w:val="6E9170C6"/>
    <w:rsid w:val="6E9F447C"/>
    <w:rsid w:val="6EA877F0"/>
    <w:rsid w:val="6EBC1C7F"/>
    <w:rsid w:val="6EC72DD5"/>
    <w:rsid w:val="6ED4749D"/>
    <w:rsid w:val="6ED85D6B"/>
    <w:rsid w:val="6EE22DA6"/>
    <w:rsid w:val="6EE24EE2"/>
    <w:rsid w:val="6EEE40A2"/>
    <w:rsid w:val="6EEF7F7B"/>
    <w:rsid w:val="6EF55764"/>
    <w:rsid w:val="6EFA7062"/>
    <w:rsid w:val="6EFE13E9"/>
    <w:rsid w:val="6F2B1968"/>
    <w:rsid w:val="6F2C6F45"/>
    <w:rsid w:val="6F316EA3"/>
    <w:rsid w:val="6F3B0518"/>
    <w:rsid w:val="6F3C03C8"/>
    <w:rsid w:val="6F3E0AF0"/>
    <w:rsid w:val="6F412DB8"/>
    <w:rsid w:val="6F4225A9"/>
    <w:rsid w:val="6F4A0833"/>
    <w:rsid w:val="6F5210CC"/>
    <w:rsid w:val="6F56798C"/>
    <w:rsid w:val="6F5778B8"/>
    <w:rsid w:val="6F584B5E"/>
    <w:rsid w:val="6F615E88"/>
    <w:rsid w:val="6F673D53"/>
    <w:rsid w:val="6F697691"/>
    <w:rsid w:val="6F8416BE"/>
    <w:rsid w:val="6F8657FE"/>
    <w:rsid w:val="6F90568B"/>
    <w:rsid w:val="6F986754"/>
    <w:rsid w:val="6FAA79E8"/>
    <w:rsid w:val="6FAC7B08"/>
    <w:rsid w:val="6FB2689C"/>
    <w:rsid w:val="6FB748D9"/>
    <w:rsid w:val="6FB74EC5"/>
    <w:rsid w:val="6FD33271"/>
    <w:rsid w:val="6FDC4B70"/>
    <w:rsid w:val="6FE22ADE"/>
    <w:rsid w:val="6FEA5F38"/>
    <w:rsid w:val="6FEE3ACB"/>
    <w:rsid w:val="6FF25FB5"/>
    <w:rsid w:val="701E6836"/>
    <w:rsid w:val="70231D22"/>
    <w:rsid w:val="70253512"/>
    <w:rsid w:val="7026617A"/>
    <w:rsid w:val="703900AC"/>
    <w:rsid w:val="70397878"/>
    <w:rsid w:val="70427F17"/>
    <w:rsid w:val="705D6402"/>
    <w:rsid w:val="706369BC"/>
    <w:rsid w:val="7064649A"/>
    <w:rsid w:val="70704148"/>
    <w:rsid w:val="70734ADE"/>
    <w:rsid w:val="707904C3"/>
    <w:rsid w:val="70A071A8"/>
    <w:rsid w:val="70C0348F"/>
    <w:rsid w:val="70C119A5"/>
    <w:rsid w:val="70C23657"/>
    <w:rsid w:val="70C92CB3"/>
    <w:rsid w:val="70CA6586"/>
    <w:rsid w:val="70CB4AE8"/>
    <w:rsid w:val="70D13784"/>
    <w:rsid w:val="70DF7B65"/>
    <w:rsid w:val="70F07A7D"/>
    <w:rsid w:val="70F6389F"/>
    <w:rsid w:val="70FF19EA"/>
    <w:rsid w:val="71000534"/>
    <w:rsid w:val="7112548E"/>
    <w:rsid w:val="711B127B"/>
    <w:rsid w:val="71237BF9"/>
    <w:rsid w:val="71271585"/>
    <w:rsid w:val="71282BD7"/>
    <w:rsid w:val="712D63E5"/>
    <w:rsid w:val="712E6A71"/>
    <w:rsid w:val="7130216F"/>
    <w:rsid w:val="71357264"/>
    <w:rsid w:val="7137793B"/>
    <w:rsid w:val="71431EA2"/>
    <w:rsid w:val="714C5FBC"/>
    <w:rsid w:val="71576F99"/>
    <w:rsid w:val="715D61BB"/>
    <w:rsid w:val="715E0A8A"/>
    <w:rsid w:val="71614F6F"/>
    <w:rsid w:val="71627BBC"/>
    <w:rsid w:val="71675751"/>
    <w:rsid w:val="71703964"/>
    <w:rsid w:val="717E7A1B"/>
    <w:rsid w:val="718B6479"/>
    <w:rsid w:val="719B382C"/>
    <w:rsid w:val="719B5C5B"/>
    <w:rsid w:val="71A42534"/>
    <w:rsid w:val="71C31A9E"/>
    <w:rsid w:val="71C64881"/>
    <w:rsid w:val="71C666DD"/>
    <w:rsid w:val="71C8423C"/>
    <w:rsid w:val="71CB01C4"/>
    <w:rsid w:val="71EA0185"/>
    <w:rsid w:val="71ED276A"/>
    <w:rsid w:val="71EF54C7"/>
    <w:rsid w:val="71F473B3"/>
    <w:rsid w:val="71FB0B10"/>
    <w:rsid w:val="72092D7C"/>
    <w:rsid w:val="720A4E98"/>
    <w:rsid w:val="72114B21"/>
    <w:rsid w:val="72160878"/>
    <w:rsid w:val="721874D7"/>
    <w:rsid w:val="722D0106"/>
    <w:rsid w:val="723312A0"/>
    <w:rsid w:val="72342A4C"/>
    <w:rsid w:val="72360561"/>
    <w:rsid w:val="723C71E4"/>
    <w:rsid w:val="72450E60"/>
    <w:rsid w:val="724679AF"/>
    <w:rsid w:val="725210C2"/>
    <w:rsid w:val="725952D6"/>
    <w:rsid w:val="726522EC"/>
    <w:rsid w:val="726560BF"/>
    <w:rsid w:val="72657997"/>
    <w:rsid w:val="726614FA"/>
    <w:rsid w:val="726D6F3E"/>
    <w:rsid w:val="727C21B1"/>
    <w:rsid w:val="727E2ED2"/>
    <w:rsid w:val="727E64B4"/>
    <w:rsid w:val="72914B94"/>
    <w:rsid w:val="72996735"/>
    <w:rsid w:val="72B731B5"/>
    <w:rsid w:val="72BB4532"/>
    <w:rsid w:val="72CB0991"/>
    <w:rsid w:val="72CD6451"/>
    <w:rsid w:val="72D62F29"/>
    <w:rsid w:val="72D65495"/>
    <w:rsid w:val="72E444B9"/>
    <w:rsid w:val="72E76A34"/>
    <w:rsid w:val="72F16BE7"/>
    <w:rsid w:val="73046861"/>
    <w:rsid w:val="73137AEE"/>
    <w:rsid w:val="731C722C"/>
    <w:rsid w:val="732768BF"/>
    <w:rsid w:val="733072AB"/>
    <w:rsid w:val="73367A88"/>
    <w:rsid w:val="733E16CC"/>
    <w:rsid w:val="73444120"/>
    <w:rsid w:val="734E5329"/>
    <w:rsid w:val="736A2960"/>
    <w:rsid w:val="7379170D"/>
    <w:rsid w:val="7381679D"/>
    <w:rsid w:val="73926F78"/>
    <w:rsid w:val="73935F6C"/>
    <w:rsid w:val="73A077BE"/>
    <w:rsid w:val="73A14F43"/>
    <w:rsid w:val="73A70B22"/>
    <w:rsid w:val="73AF6955"/>
    <w:rsid w:val="73B6475A"/>
    <w:rsid w:val="73C06AF3"/>
    <w:rsid w:val="73C94CDA"/>
    <w:rsid w:val="73CA5154"/>
    <w:rsid w:val="73CC7438"/>
    <w:rsid w:val="73D0703D"/>
    <w:rsid w:val="73E56256"/>
    <w:rsid w:val="73EA0CFB"/>
    <w:rsid w:val="73F6098E"/>
    <w:rsid w:val="73F751C6"/>
    <w:rsid w:val="740E2567"/>
    <w:rsid w:val="7415491C"/>
    <w:rsid w:val="7421700D"/>
    <w:rsid w:val="742F09D8"/>
    <w:rsid w:val="743046F2"/>
    <w:rsid w:val="74376FF9"/>
    <w:rsid w:val="743A046F"/>
    <w:rsid w:val="743D193D"/>
    <w:rsid w:val="74424693"/>
    <w:rsid w:val="74504BD4"/>
    <w:rsid w:val="74565F70"/>
    <w:rsid w:val="745D0F4F"/>
    <w:rsid w:val="745F069B"/>
    <w:rsid w:val="74696F16"/>
    <w:rsid w:val="747160AF"/>
    <w:rsid w:val="74773BFF"/>
    <w:rsid w:val="747B0CC1"/>
    <w:rsid w:val="748330A9"/>
    <w:rsid w:val="74940F49"/>
    <w:rsid w:val="74B01CC4"/>
    <w:rsid w:val="74B56D9B"/>
    <w:rsid w:val="74D51E83"/>
    <w:rsid w:val="74DE2A68"/>
    <w:rsid w:val="74ED34A7"/>
    <w:rsid w:val="74F82D7D"/>
    <w:rsid w:val="74F83BBA"/>
    <w:rsid w:val="75062DFF"/>
    <w:rsid w:val="75120FEA"/>
    <w:rsid w:val="752E1B11"/>
    <w:rsid w:val="753C74BB"/>
    <w:rsid w:val="753E73C2"/>
    <w:rsid w:val="753F622D"/>
    <w:rsid w:val="75422471"/>
    <w:rsid w:val="754D26F3"/>
    <w:rsid w:val="7551687E"/>
    <w:rsid w:val="75520B80"/>
    <w:rsid w:val="755756BF"/>
    <w:rsid w:val="755B01C6"/>
    <w:rsid w:val="756710C8"/>
    <w:rsid w:val="75716C6A"/>
    <w:rsid w:val="757A58D6"/>
    <w:rsid w:val="75817A31"/>
    <w:rsid w:val="75943B6B"/>
    <w:rsid w:val="759D4587"/>
    <w:rsid w:val="75A67CD9"/>
    <w:rsid w:val="75BB4A7F"/>
    <w:rsid w:val="75BC7043"/>
    <w:rsid w:val="75D73C1E"/>
    <w:rsid w:val="75DD4673"/>
    <w:rsid w:val="75F01DD3"/>
    <w:rsid w:val="7601470F"/>
    <w:rsid w:val="760D5C9C"/>
    <w:rsid w:val="76187B6A"/>
    <w:rsid w:val="76250738"/>
    <w:rsid w:val="76263698"/>
    <w:rsid w:val="762E5E44"/>
    <w:rsid w:val="76427BD0"/>
    <w:rsid w:val="764B219F"/>
    <w:rsid w:val="765C7BE3"/>
    <w:rsid w:val="76672344"/>
    <w:rsid w:val="767B68AE"/>
    <w:rsid w:val="767E1600"/>
    <w:rsid w:val="76815189"/>
    <w:rsid w:val="768E3850"/>
    <w:rsid w:val="769136B0"/>
    <w:rsid w:val="76921B3F"/>
    <w:rsid w:val="769912EF"/>
    <w:rsid w:val="769A36CA"/>
    <w:rsid w:val="76A91B98"/>
    <w:rsid w:val="76B6740F"/>
    <w:rsid w:val="76C0587C"/>
    <w:rsid w:val="76CC49F4"/>
    <w:rsid w:val="76DA7FF6"/>
    <w:rsid w:val="76E61540"/>
    <w:rsid w:val="77073452"/>
    <w:rsid w:val="77095F66"/>
    <w:rsid w:val="770C5AE3"/>
    <w:rsid w:val="77136237"/>
    <w:rsid w:val="771E2238"/>
    <w:rsid w:val="772332D0"/>
    <w:rsid w:val="77505C64"/>
    <w:rsid w:val="77601F32"/>
    <w:rsid w:val="77602768"/>
    <w:rsid w:val="776963DA"/>
    <w:rsid w:val="77764153"/>
    <w:rsid w:val="7785607C"/>
    <w:rsid w:val="77861E9B"/>
    <w:rsid w:val="778637D8"/>
    <w:rsid w:val="778C4FD6"/>
    <w:rsid w:val="77901A06"/>
    <w:rsid w:val="77946BD2"/>
    <w:rsid w:val="779A082D"/>
    <w:rsid w:val="77C52CF4"/>
    <w:rsid w:val="77CB7242"/>
    <w:rsid w:val="77D303FB"/>
    <w:rsid w:val="77D47DAE"/>
    <w:rsid w:val="77DE2E14"/>
    <w:rsid w:val="77E90CB8"/>
    <w:rsid w:val="77F40821"/>
    <w:rsid w:val="78064063"/>
    <w:rsid w:val="78186AE6"/>
    <w:rsid w:val="781A6C52"/>
    <w:rsid w:val="781B4AE2"/>
    <w:rsid w:val="781F2146"/>
    <w:rsid w:val="781F6A99"/>
    <w:rsid w:val="78267237"/>
    <w:rsid w:val="782B41F8"/>
    <w:rsid w:val="78305014"/>
    <w:rsid w:val="783E2BF9"/>
    <w:rsid w:val="78430332"/>
    <w:rsid w:val="7844198D"/>
    <w:rsid w:val="78477394"/>
    <w:rsid w:val="785A6E3C"/>
    <w:rsid w:val="786800C7"/>
    <w:rsid w:val="78683575"/>
    <w:rsid w:val="7869233A"/>
    <w:rsid w:val="78780541"/>
    <w:rsid w:val="78876D58"/>
    <w:rsid w:val="7888587D"/>
    <w:rsid w:val="788A4D0A"/>
    <w:rsid w:val="789306A1"/>
    <w:rsid w:val="789B4E73"/>
    <w:rsid w:val="789B6A68"/>
    <w:rsid w:val="78A067C1"/>
    <w:rsid w:val="78A11848"/>
    <w:rsid w:val="78A14095"/>
    <w:rsid w:val="78A15CA0"/>
    <w:rsid w:val="78AC10BD"/>
    <w:rsid w:val="78B356FF"/>
    <w:rsid w:val="78B47B29"/>
    <w:rsid w:val="78C242BE"/>
    <w:rsid w:val="78DB55AE"/>
    <w:rsid w:val="78DD10D9"/>
    <w:rsid w:val="78DF501F"/>
    <w:rsid w:val="78F21DB8"/>
    <w:rsid w:val="78F83556"/>
    <w:rsid w:val="78F9378E"/>
    <w:rsid w:val="78FA35ED"/>
    <w:rsid w:val="79042170"/>
    <w:rsid w:val="79043AAE"/>
    <w:rsid w:val="79062796"/>
    <w:rsid w:val="790712BC"/>
    <w:rsid w:val="7921708C"/>
    <w:rsid w:val="792A4D51"/>
    <w:rsid w:val="792C6787"/>
    <w:rsid w:val="793147CE"/>
    <w:rsid w:val="79355B3C"/>
    <w:rsid w:val="79457996"/>
    <w:rsid w:val="79481E6F"/>
    <w:rsid w:val="794D0742"/>
    <w:rsid w:val="7951741F"/>
    <w:rsid w:val="79754CFE"/>
    <w:rsid w:val="797A517F"/>
    <w:rsid w:val="798479DE"/>
    <w:rsid w:val="799232D0"/>
    <w:rsid w:val="7998282F"/>
    <w:rsid w:val="799B6192"/>
    <w:rsid w:val="799E25DC"/>
    <w:rsid w:val="79A16D02"/>
    <w:rsid w:val="79AB121C"/>
    <w:rsid w:val="79B35B50"/>
    <w:rsid w:val="79B778D1"/>
    <w:rsid w:val="79CA2248"/>
    <w:rsid w:val="79DB0B33"/>
    <w:rsid w:val="79DB7AAE"/>
    <w:rsid w:val="79DC51B0"/>
    <w:rsid w:val="79F65101"/>
    <w:rsid w:val="7A0A4936"/>
    <w:rsid w:val="7A0E7242"/>
    <w:rsid w:val="7A1C3BDC"/>
    <w:rsid w:val="7A27204D"/>
    <w:rsid w:val="7A331E50"/>
    <w:rsid w:val="7A334D21"/>
    <w:rsid w:val="7A550AC2"/>
    <w:rsid w:val="7A5549F4"/>
    <w:rsid w:val="7A5D4021"/>
    <w:rsid w:val="7A6A02CB"/>
    <w:rsid w:val="7A780110"/>
    <w:rsid w:val="7A7A2EB4"/>
    <w:rsid w:val="7A7A59A3"/>
    <w:rsid w:val="7A824ED6"/>
    <w:rsid w:val="7A85053A"/>
    <w:rsid w:val="7A8A4666"/>
    <w:rsid w:val="7A8E6253"/>
    <w:rsid w:val="7A952F96"/>
    <w:rsid w:val="7A9B42C7"/>
    <w:rsid w:val="7A9B5CD0"/>
    <w:rsid w:val="7A9D148B"/>
    <w:rsid w:val="7AA36CD3"/>
    <w:rsid w:val="7AB10887"/>
    <w:rsid w:val="7AB8149C"/>
    <w:rsid w:val="7AC37E05"/>
    <w:rsid w:val="7AC707BD"/>
    <w:rsid w:val="7AC94EC1"/>
    <w:rsid w:val="7ACE576C"/>
    <w:rsid w:val="7AD14739"/>
    <w:rsid w:val="7AD356D5"/>
    <w:rsid w:val="7ADA7BF6"/>
    <w:rsid w:val="7AE749D2"/>
    <w:rsid w:val="7AFC147C"/>
    <w:rsid w:val="7AFE4261"/>
    <w:rsid w:val="7B05641A"/>
    <w:rsid w:val="7B1361B7"/>
    <w:rsid w:val="7B147AFE"/>
    <w:rsid w:val="7B187EFC"/>
    <w:rsid w:val="7B1B07FF"/>
    <w:rsid w:val="7B1C3D58"/>
    <w:rsid w:val="7B2526B3"/>
    <w:rsid w:val="7B280F6E"/>
    <w:rsid w:val="7B28313F"/>
    <w:rsid w:val="7B286389"/>
    <w:rsid w:val="7B39390A"/>
    <w:rsid w:val="7B3B03CA"/>
    <w:rsid w:val="7B3B1B20"/>
    <w:rsid w:val="7B421640"/>
    <w:rsid w:val="7B43413D"/>
    <w:rsid w:val="7B620542"/>
    <w:rsid w:val="7B700DDA"/>
    <w:rsid w:val="7B7B27B0"/>
    <w:rsid w:val="7B7E6AF9"/>
    <w:rsid w:val="7B901C5D"/>
    <w:rsid w:val="7B9469E3"/>
    <w:rsid w:val="7BD11234"/>
    <w:rsid w:val="7BDB3A2C"/>
    <w:rsid w:val="7BE32C00"/>
    <w:rsid w:val="7BE71015"/>
    <w:rsid w:val="7BE95EC5"/>
    <w:rsid w:val="7BF1074D"/>
    <w:rsid w:val="7BF34F3D"/>
    <w:rsid w:val="7BF4011F"/>
    <w:rsid w:val="7BFA2859"/>
    <w:rsid w:val="7C141D29"/>
    <w:rsid w:val="7C1547F0"/>
    <w:rsid w:val="7C162816"/>
    <w:rsid w:val="7C1829A8"/>
    <w:rsid w:val="7C325841"/>
    <w:rsid w:val="7C374D88"/>
    <w:rsid w:val="7C3923B7"/>
    <w:rsid w:val="7C3F435B"/>
    <w:rsid w:val="7C556DEA"/>
    <w:rsid w:val="7C570304"/>
    <w:rsid w:val="7C664158"/>
    <w:rsid w:val="7C721ABE"/>
    <w:rsid w:val="7C75137E"/>
    <w:rsid w:val="7C7A21B8"/>
    <w:rsid w:val="7C877953"/>
    <w:rsid w:val="7C9116AE"/>
    <w:rsid w:val="7C940642"/>
    <w:rsid w:val="7C9B63D9"/>
    <w:rsid w:val="7CA81D32"/>
    <w:rsid w:val="7CB44137"/>
    <w:rsid w:val="7CB6121C"/>
    <w:rsid w:val="7CD00951"/>
    <w:rsid w:val="7CD2634D"/>
    <w:rsid w:val="7CE105CE"/>
    <w:rsid w:val="7CEC15EF"/>
    <w:rsid w:val="7CEE0443"/>
    <w:rsid w:val="7CF5349F"/>
    <w:rsid w:val="7CFB04CC"/>
    <w:rsid w:val="7D020A7C"/>
    <w:rsid w:val="7D171481"/>
    <w:rsid w:val="7D184D40"/>
    <w:rsid w:val="7D2C647D"/>
    <w:rsid w:val="7D2D05B8"/>
    <w:rsid w:val="7D3C0CE3"/>
    <w:rsid w:val="7D3F172C"/>
    <w:rsid w:val="7D466397"/>
    <w:rsid w:val="7D5016C6"/>
    <w:rsid w:val="7D522EC3"/>
    <w:rsid w:val="7D52709F"/>
    <w:rsid w:val="7D586CD5"/>
    <w:rsid w:val="7D5E0F29"/>
    <w:rsid w:val="7D617F2D"/>
    <w:rsid w:val="7D6E6C33"/>
    <w:rsid w:val="7D706982"/>
    <w:rsid w:val="7D731D06"/>
    <w:rsid w:val="7D754742"/>
    <w:rsid w:val="7D7641D6"/>
    <w:rsid w:val="7D7C7794"/>
    <w:rsid w:val="7D8541AC"/>
    <w:rsid w:val="7D854CAF"/>
    <w:rsid w:val="7D965174"/>
    <w:rsid w:val="7DA25593"/>
    <w:rsid w:val="7DA75532"/>
    <w:rsid w:val="7DA97DBF"/>
    <w:rsid w:val="7DAC4B0F"/>
    <w:rsid w:val="7DBA284C"/>
    <w:rsid w:val="7DBB06DD"/>
    <w:rsid w:val="7DC42AC9"/>
    <w:rsid w:val="7DC53634"/>
    <w:rsid w:val="7DD12A34"/>
    <w:rsid w:val="7DE8478B"/>
    <w:rsid w:val="7DF35527"/>
    <w:rsid w:val="7DF70713"/>
    <w:rsid w:val="7DFA5A8B"/>
    <w:rsid w:val="7DFD2855"/>
    <w:rsid w:val="7E001C04"/>
    <w:rsid w:val="7E1135DB"/>
    <w:rsid w:val="7E1D3DDF"/>
    <w:rsid w:val="7E1E7D07"/>
    <w:rsid w:val="7E201C15"/>
    <w:rsid w:val="7E2504C9"/>
    <w:rsid w:val="7E410DB7"/>
    <w:rsid w:val="7E454A5F"/>
    <w:rsid w:val="7E466EA4"/>
    <w:rsid w:val="7E5F0A86"/>
    <w:rsid w:val="7E6348C5"/>
    <w:rsid w:val="7E7A672F"/>
    <w:rsid w:val="7E831C88"/>
    <w:rsid w:val="7E933D3D"/>
    <w:rsid w:val="7E987E2B"/>
    <w:rsid w:val="7E9D2B4A"/>
    <w:rsid w:val="7EA51227"/>
    <w:rsid w:val="7EB91BC3"/>
    <w:rsid w:val="7EBA0A69"/>
    <w:rsid w:val="7EBB7422"/>
    <w:rsid w:val="7ECF125E"/>
    <w:rsid w:val="7ED739DC"/>
    <w:rsid w:val="7EDA196C"/>
    <w:rsid w:val="7EED03D6"/>
    <w:rsid w:val="7EF20B84"/>
    <w:rsid w:val="7F032C71"/>
    <w:rsid w:val="7F0410A4"/>
    <w:rsid w:val="7F0B76DC"/>
    <w:rsid w:val="7F0D3AEF"/>
    <w:rsid w:val="7F10538E"/>
    <w:rsid w:val="7F1329FD"/>
    <w:rsid w:val="7F2F3A66"/>
    <w:rsid w:val="7F3863A7"/>
    <w:rsid w:val="7F492C1D"/>
    <w:rsid w:val="7F4B73A7"/>
    <w:rsid w:val="7F631640"/>
    <w:rsid w:val="7F6E223E"/>
    <w:rsid w:val="7F8E0A36"/>
    <w:rsid w:val="7F936082"/>
    <w:rsid w:val="7F9A239F"/>
    <w:rsid w:val="7F9B734D"/>
    <w:rsid w:val="7FAC3AA5"/>
    <w:rsid w:val="7FCE5B46"/>
    <w:rsid w:val="7FD87154"/>
    <w:rsid w:val="7FDA77B9"/>
    <w:rsid w:val="7FDE0284"/>
    <w:rsid w:val="7FDF3A8F"/>
    <w:rsid w:val="7FE121D3"/>
    <w:rsid w:val="7FE3319E"/>
    <w:rsid w:val="7FE76B89"/>
    <w:rsid w:val="7FF41D48"/>
    <w:rsid w:val="7FFA66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qFormat="1" w:unhideWhenUsed="0" w:uiPriority="39" w:semiHidden="0"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2"/>
      <w:lang w:val="en-US" w:eastAsia="zh-CN" w:bidi="ar-SA"/>
    </w:rPr>
  </w:style>
  <w:style w:type="paragraph" w:styleId="2">
    <w:name w:val="heading 1"/>
    <w:basedOn w:val="1"/>
    <w:next w:val="1"/>
    <w:qFormat/>
    <w:uiPriority w:val="9"/>
    <w:pPr>
      <w:keepNext/>
      <w:keepLines/>
      <w:spacing w:before="340" w:after="330" w:line="576" w:lineRule="auto"/>
      <w:outlineLvl w:val="0"/>
    </w:pPr>
    <w:rPr>
      <w:b/>
      <w:bCs/>
      <w:kern w:val="44"/>
      <w:sz w:val="44"/>
      <w:szCs w:val="44"/>
      <w:lang w:val="zh-CN"/>
    </w:rPr>
  </w:style>
  <w:style w:type="paragraph" w:styleId="3">
    <w:name w:val="heading 2"/>
    <w:basedOn w:val="1"/>
    <w:next w:val="1"/>
    <w:qFormat/>
    <w:uiPriority w:val="0"/>
    <w:pPr>
      <w:keepNext/>
      <w:keepLines/>
      <w:spacing w:beforeLines="0" w:beforeAutospacing="0" w:afterLines="0" w:afterAutospacing="0" w:line="360" w:lineRule="auto"/>
      <w:ind w:firstLine="0" w:firstLineChars="0"/>
      <w:jc w:val="left"/>
      <w:outlineLvl w:val="1"/>
    </w:pPr>
    <w:rPr>
      <w:rFonts w:ascii="Arial" w:hAnsi="Arial" w:eastAsia="宋体"/>
      <w:b/>
      <w:sz w:val="24"/>
    </w:rPr>
  </w:style>
  <w:style w:type="paragraph" w:styleId="4">
    <w:name w:val="heading 3"/>
    <w:basedOn w:val="1"/>
    <w:next w:val="1"/>
    <w:qFormat/>
    <w:uiPriority w:val="9"/>
    <w:pPr>
      <w:keepNext/>
      <w:keepLines/>
      <w:spacing w:before="260" w:after="260" w:line="415" w:lineRule="auto"/>
      <w:outlineLvl w:val="2"/>
    </w:pPr>
    <w:rPr>
      <w:b/>
      <w:bCs/>
      <w:kern w:val="0"/>
      <w:sz w:val="32"/>
      <w:szCs w:val="32"/>
      <w:lang w:val="zh-CN"/>
    </w:rPr>
  </w:style>
  <w:style w:type="paragraph" w:styleId="5">
    <w:name w:val="heading 4"/>
    <w:basedOn w:val="1"/>
    <w:next w:val="1"/>
    <w:unhideWhenUsed/>
    <w:qFormat/>
    <w:uiPriority w:val="9"/>
    <w:pPr>
      <w:keepNext/>
      <w:keepLines/>
      <w:widowControl w:val="0"/>
      <w:suppressLineNumbers w:val="0"/>
      <w:snapToGrid w:val="0"/>
      <w:spacing w:before="0" w:beforeLines="0" w:beforeAutospacing="0" w:after="0" w:afterLines="0" w:afterAutospacing="0" w:line="360" w:lineRule="auto"/>
      <w:ind w:left="0" w:firstLine="720" w:firstLineChars="200"/>
      <w:jc w:val="both"/>
      <w:outlineLvl w:val="3"/>
    </w:pPr>
    <w:rPr>
      <w:rFonts w:hint="default" w:ascii="Times New Roman" w:hAnsi="Times New Roman" w:eastAsia="宋体" w:cs="Times New Roman"/>
      <w:b/>
      <w:bCs/>
      <w:kern w:val="2"/>
      <w:sz w:val="24"/>
      <w:szCs w:val="24"/>
      <w:lang w:val="en-US" w:eastAsia="zh-CN" w:bidi="ar"/>
    </w:rPr>
  </w:style>
  <w:style w:type="character" w:default="1" w:styleId="30">
    <w:name w:val="Default Paragraph Font"/>
    <w:unhideWhenUsed/>
    <w:qFormat/>
    <w:uiPriority w:val="1"/>
  </w:style>
  <w:style w:type="table" w:default="1" w:styleId="28">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28"/>
      <w:tblCellMar>
        <w:top w:w="0" w:type="dxa"/>
        <w:left w:w="108" w:type="dxa"/>
        <w:bottom w:w="0" w:type="dxa"/>
        <w:right w:w="108" w:type="dxa"/>
      </w:tblCellMar>
    </w:tblPr>
  </w:style>
  <w:style w:type="paragraph" w:styleId="6">
    <w:name w:val="table of authorities"/>
    <w:basedOn w:val="1"/>
    <w:next w:val="1"/>
    <w:qFormat/>
    <w:uiPriority w:val="0"/>
    <w:pPr>
      <w:ind w:left="200" w:leftChars="200"/>
    </w:pPr>
  </w:style>
  <w:style w:type="paragraph" w:styleId="7">
    <w:name w:val="Note Heading"/>
    <w:basedOn w:val="1"/>
    <w:next w:val="1"/>
    <w:qFormat/>
    <w:uiPriority w:val="0"/>
    <w:pPr>
      <w:jc w:val="center"/>
    </w:pPr>
    <w:rPr>
      <w:rFonts w:ascii="仿宋" w:hAnsi="仿宋" w:eastAsia="仿宋" w:cs="仿宋"/>
      <w:sz w:val="32"/>
      <w:szCs w:val="32"/>
    </w:rPr>
  </w:style>
  <w:style w:type="paragraph" w:styleId="8">
    <w:name w:val="Normal Indent"/>
    <w:basedOn w:val="1"/>
    <w:next w:val="9"/>
    <w:qFormat/>
    <w:uiPriority w:val="0"/>
    <w:pPr>
      <w:ind w:firstLine="420"/>
    </w:pPr>
  </w:style>
  <w:style w:type="paragraph" w:customStyle="1" w:styleId="9">
    <w:name w:val="样式 正文文本 + 首行缩进:  2 字符"/>
    <w:qFormat/>
    <w:uiPriority w:val="99"/>
    <w:pPr>
      <w:spacing w:after="200" w:line="480" w:lineRule="exact"/>
      <w:ind w:firstLine="480" w:firstLineChars="200"/>
      <w:jc w:val="center"/>
    </w:pPr>
    <w:rPr>
      <w:rFonts w:ascii="宋体" w:hAnsi="宋体" w:eastAsia="Calibri" w:cs="Times New Roman"/>
      <w:sz w:val="24"/>
      <w:szCs w:val="22"/>
      <w:lang w:val="en-US" w:eastAsia="zh-CN" w:bidi="ar-SA"/>
    </w:rPr>
  </w:style>
  <w:style w:type="paragraph" w:styleId="10">
    <w:name w:val="annotation text"/>
    <w:basedOn w:val="1"/>
    <w:unhideWhenUsed/>
    <w:qFormat/>
    <w:uiPriority w:val="99"/>
    <w:pPr>
      <w:jc w:val="left"/>
    </w:pPr>
    <w:rPr>
      <w:kern w:val="0"/>
      <w:sz w:val="20"/>
    </w:rPr>
  </w:style>
  <w:style w:type="paragraph" w:styleId="11">
    <w:name w:val="Body Text"/>
    <w:basedOn w:val="1"/>
    <w:next w:val="12"/>
    <w:qFormat/>
    <w:uiPriority w:val="0"/>
    <w:pPr>
      <w:spacing w:after="120"/>
    </w:pPr>
    <w:rPr>
      <w:kern w:val="0"/>
    </w:rPr>
  </w:style>
  <w:style w:type="paragraph" w:styleId="12">
    <w:name w:val="Body Text 2"/>
    <w:basedOn w:val="1"/>
    <w:qFormat/>
    <w:uiPriority w:val="0"/>
    <w:pPr>
      <w:adjustRightInd/>
      <w:snapToGrid/>
      <w:spacing w:after="120" w:line="480" w:lineRule="auto"/>
      <w:ind w:firstLine="640"/>
    </w:pPr>
    <w:rPr>
      <w:szCs w:val="21"/>
    </w:rPr>
  </w:style>
  <w:style w:type="paragraph" w:styleId="13">
    <w:name w:val="Body Text Indent"/>
    <w:basedOn w:val="1"/>
    <w:next w:val="14"/>
    <w:qFormat/>
    <w:uiPriority w:val="0"/>
    <w:pPr>
      <w:spacing w:line="360" w:lineRule="auto"/>
      <w:ind w:firstLine="482" w:firstLineChars="200"/>
    </w:pPr>
    <w:rPr>
      <w:b/>
      <w:bCs/>
      <w:sz w:val="24"/>
    </w:rPr>
  </w:style>
  <w:style w:type="paragraph" w:styleId="14">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Plain Text"/>
    <w:basedOn w:val="1"/>
    <w:next w:val="16"/>
    <w:unhideWhenUsed/>
    <w:qFormat/>
    <w:uiPriority w:val="99"/>
    <w:rPr>
      <w:rFonts w:ascii="宋体" w:hAnsi="Courier New"/>
      <w:kern w:val="0"/>
      <w:sz w:val="20"/>
      <w:szCs w:val="20"/>
    </w:rPr>
  </w:style>
  <w:style w:type="paragraph" w:styleId="16">
    <w:name w:val="toc 1"/>
    <w:basedOn w:val="1"/>
    <w:next w:val="1"/>
    <w:unhideWhenUsed/>
    <w:qFormat/>
    <w:uiPriority w:val="39"/>
  </w:style>
  <w:style w:type="paragraph" w:styleId="17">
    <w:name w:val="toc 8"/>
    <w:basedOn w:val="1"/>
    <w:next w:val="1"/>
    <w:qFormat/>
    <w:uiPriority w:val="39"/>
    <w:pPr>
      <w:ind w:left="1470"/>
      <w:jc w:val="left"/>
    </w:pPr>
    <w:rPr>
      <w:sz w:val="18"/>
      <w:szCs w:val="18"/>
    </w:rPr>
  </w:style>
  <w:style w:type="paragraph" w:styleId="18">
    <w:name w:val="Body Text Indent 2"/>
    <w:basedOn w:val="1"/>
    <w:qFormat/>
    <w:uiPriority w:val="0"/>
    <w:pPr>
      <w:spacing w:line="460" w:lineRule="exact"/>
      <w:ind w:left="660"/>
    </w:pPr>
    <w:rPr>
      <w:sz w:val="24"/>
    </w:rPr>
  </w:style>
  <w:style w:type="paragraph" w:styleId="19">
    <w:name w:val="footer"/>
    <w:basedOn w:val="1"/>
    <w:link w:val="36"/>
    <w:unhideWhenUsed/>
    <w:qFormat/>
    <w:uiPriority w:val="99"/>
    <w:pPr>
      <w:tabs>
        <w:tab w:val="center" w:pos="4153"/>
        <w:tab w:val="right" w:pos="8306"/>
      </w:tabs>
      <w:snapToGrid w:val="0"/>
      <w:jc w:val="left"/>
    </w:pPr>
    <w:rPr>
      <w:sz w:val="18"/>
      <w:szCs w:val="18"/>
    </w:rPr>
  </w:style>
  <w:style w:type="paragraph" w:styleId="20">
    <w:name w:val="index heading"/>
    <w:basedOn w:val="1"/>
    <w:next w:val="21"/>
    <w:qFormat/>
    <w:uiPriority w:val="0"/>
    <w:rPr>
      <w:szCs w:val="20"/>
    </w:rPr>
  </w:style>
  <w:style w:type="paragraph" w:styleId="21">
    <w:name w:val="index 1"/>
    <w:basedOn w:val="1"/>
    <w:next w:val="1"/>
    <w:qFormat/>
    <w:uiPriority w:val="0"/>
    <w:pPr>
      <w:spacing w:line="320" w:lineRule="exact"/>
      <w:jc w:val="center"/>
    </w:pPr>
    <w:rPr>
      <w:color w:val="000000"/>
      <w:szCs w:val="21"/>
    </w:rPr>
  </w:style>
  <w:style w:type="paragraph" w:styleId="22">
    <w:name w:val="List"/>
    <w:basedOn w:val="1"/>
    <w:next w:val="1"/>
    <w:qFormat/>
    <w:uiPriority w:val="0"/>
    <w:pPr>
      <w:ind w:left="200" w:hanging="200" w:hangingChars="200"/>
      <w:contextualSpacing/>
    </w:pPr>
  </w:style>
  <w:style w:type="paragraph" w:styleId="23">
    <w:name w:val="table of figures"/>
    <w:basedOn w:val="1"/>
    <w:next w:val="1"/>
    <w:qFormat/>
    <w:uiPriority w:val="0"/>
    <w:pPr>
      <w:spacing w:line="240" w:lineRule="auto"/>
      <w:ind w:firstLine="0" w:firstLineChars="0"/>
      <w:jc w:val="center"/>
    </w:pPr>
    <w:rPr>
      <w:b/>
      <w:sz w:val="21"/>
      <w:szCs w:val="20"/>
    </w:rPr>
  </w:style>
  <w:style w:type="paragraph" w:styleId="24">
    <w:name w:val="Message Header"/>
    <w:basedOn w:val="1"/>
    <w:next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sz w:val="24"/>
    </w:rPr>
  </w:style>
  <w:style w:type="paragraph" w:styleId="25">
    <w:name w:val="Normal (Web)"/>
    <w:basedOn w:val="1"/>
    <w:next w:val="17"/>
    <w:unhideWhenUsed/>
    <w:qFormat/>
    <w:uiPriority w:val="99"/>
    <w:pPr>
      <w:widowControl/>
      <w:spacing w:before="100" w:beforeAutospacing="1" w:after="100" w:afterAutospacing="1"/>
      <w:jc w:val="left"/>
    </w:pPr>
    <w:rPr>
      <w:rFonts w:ascii="宋体" w:hAnsi="宋体" w:cs="宋体"/>
      <w:kern w:val="0"/>
      <w:sz w:val="24"/>
      <w:lang w:eastAsia="en-US" w:bidi="en-US"/>
    </w:rPr>
  </w:style>
  <w:style w:type="paragraph" w:styleId="26">
    <w:name w:val="Body Text First Indent"/>
    <w:basedOn w:val="11"/>
    <w:qFormat/>
    <w:uiPriority w:val="0"/>
    <w:pPr>
      <w:spacing w:after="0" w:afterLines="0" w:line="480" w:lineRule="exact"/>
      <w:ind w:firstLine="567" w:firstLineChars="0"/>
    </w:pPr>
    <w:rPr>
      <w:rFonts w:ascii="宋体"/>
      <w:sz w:val="28"/>
    </w:rPr>
  </w:style>
  <w:style w:type="paragraph" w:styleId="27">
    <w:name w:val="Body Text First Indent 2"/>
    <w:basedOn w:val="13"/>
    <w:next w:val="1"/>
    <w:qFormat/>
    <w:uiPriority w:val="0"/>
    <w:pPr>
      <w:ind w:firstLine="420" w:firstLineChars="200"/>
    </w:pPr>
  </w:style>
  <w:style w:type="table" w:styleId="29">
    <w:name w:val="Table Grid"/>
    <w:basedOn w:val="28"/>
    <w:qFormat/>
    <w:uiPriority w:val="5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Style w:val="2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basedOn w:val="30"/>
    <w:qFormat/>
    <w:uiPriority w:val="22"/>
    <w:rPr>
      <w:b/>
    </w:rPr>
  </w:style>
  <w:style w:type="character" w:styleId="32">
    <w:name w:val="page number"/>
    <w:basedOn w:val="30"/>
    <w:qFormat/>
    <w:uiPriority w:val="0"/>
  </w:style>
  <w:style w:type="character" w:styleId="33">
    <w:name w:val="FollowedHyperlink"/>
    <w:basedOn w:val="30"/>
    <w:unhideWhenUsed/>
    <w:qFormat/>
    <w:uiPriority w:val="99"/>
    <w:rPr>
      <w:color w:val="333333"/>
      <w:u w:val="none"/>
    </w:rPr>
  </w:style>
  <w:style w:type="character" w:styleId="34">
    <w:name w:val="Hyperlink"/>
    <w:basedOn w:val="30"/>
    <w:unhideWhenUsed/>
    <w:qFormat/>
    <w:uiPriority w:val="99"/>
    <w:rPr>
      <w:color w:val="333333"/>
      <w:u w:val="none"/>
    </w:rPr>
  </w:style>
  <w:style w:type="character" w:customStyle="1" w:styleId="35">
    <w:name w:val="页眉 Char"/>
    <w:basedOn w:val="30"/>
    <w:link w:val="14"/>
    <w:qFormat/>
    <w:uiPriority w:val="99"/>
    <w:rPr>
      <w:sz w:val="18"/>
      <w:szCs w:val="18"/>
    </w:rPr>
  </w:style>
  <w:style w:type="character" w:customStyle="1" w:styleId="36">
    <w:name w:val="页脚 Char"/>
    <w:basedOn w:val="30"/>
    <w:link w:val="19"/>
    <w:qFormat/>
    <w:uiPriority w:val="99"/>
    <w:rPr>
      <w:sz w:val="18"/>
      <w:szCs w:val="18"/>
    </w:rPr>
  </w:style>
  <w:style w:type="paragraph" w:customStyle="1" w:styleId="37">
    <w:name w:val="Default"/>
    <w:basedOn w:val="38"/>
    <w:next w:val="1"/>
    <w:qFormat/>
    <w:uiPriority w:val="0"/>
    <w:pPr>
      <w:widowControl w:val="0"/>
      <w:tabs>
        <w:tab w:val="left" w:pos="2760"/>
      </w:tabs>
      <w:autoSpaceDE w:val="0"/>
      <w:autoSpaceDN w:val="0"/>
      <w:adjustRightInd w:val="0"/>
    </w:pPr>
    <w:rPr>
      <w:rFonts w:ascii="宋体" w:hAnsi="Calibri" w:eastAsia="宋体" w:cs="宋体"/>
      <w:color w:val="000000"/>
      <w:sz w:val="24"/>
      <w:szCs w:val="24"/>
      <w:lang w:val="en-US" w:eastAsia="zh-CN" w:bidi="ar-SA"/>
    </w:rPr>
  </w:style>
  <w:style w:type="paragraph" w:customStyle="1" w:styleId="38">
    <w:name w:val="纯文本1"/>
    <w:basedOn w:val="1"/>
    <w:next w:val="1"/>
    <w:qFormat/>
    <w:uiPriority w:val="0"/>
    <w:pPr>
      <w:tabs>
        <w:tab w:val="left" w:pos="2760"/>
      </w:tabs>
      <w:adjustRightInd w:val="0"/>
    </w:pPr>
    <w:rPr>
      <w:rFonts w:ascii="宋体" w:hAnsi="Courier New"/>
      <w:szCs w:val="20"/>
    </w:rPr>
  </w:style>
  <w:style w:type="paragraph" w:customStyle="1" w:styleId="39">
    <w:name w:val="样式5"/>
    <w:basedOn w:val="40"/>
    <w:qFormat/>
    <w:uiPriority w:val="0"/>
    <w:pPr>
      <w:spacing w:line="360" w:lineRule="auto"/>
    </w:pPr>
    <w:rPr>
      <w:rFonts w:ascii="Times New Roman" w:hAnsi="Times New Roman"/>
      <w:sz w:val="24"/>
      <w:szCs w:val="22"/>
    </w:rPr>
  </w:style>
  <w:style w:type="paragraph" w:customStyle="1" w:styleId="40">
    <w:name w:val="正文1"/>
    <w:basedOn w:val="41"/>
    <w:next w:val="1"/>
    <w:qFormat/>
    <w:uiPriority w:val="0"/>
    <w:pPr>
      <w:spacing w:before="25" w:beforeLines="25" w:after="25" w:afterLines="25" w:line="360" w:lineRule="auto"/>
      <w:ind w:firstLine="723" w:firstLineChars="200"/>
      <w:outlineLvl w:val="9"/>
    </w:pPr>
    <w:rPr>
      <w:sz w:val="24"/>
      <w:szCs w:val="24"/>
    </w:rPr>
  </w:style>
  <w:style w:type="paragraph" w:customStyle="1" w:styleId="41">
    <w:name w:val="四级"/>
    <w:basedOn w:val="42"/>
    <w:qFormat/>
    <w:uiPriority w:val="0"/>
    <w:pPr>
      <w:ind w:firstLine="200" w:firstLineChars="200"/>
      <w:outlineLvl w:val="3"/>
    </w:pPr>
    <w:rPr>
      <w:sz w:val="28"/>
      <w:szCs w:val="28"/>
    </w:rPr>
  </w:style>
  <w:style w:type="paragraph" w:customStyle="1" w:styleId="42">
    <w:name w:val="三级"/>
    <w:basedOn w:val="43"/>
    <w:qFormat/>
    <w:uiPriority w:val="0"/>
    <w:pPr>
      <w:outlineLvl w:val="2"/>
    </w:pPr>
    <w:rPr>
      <w:sz w:val="30"/>
      <w:szCs w:val="30"/>
    </w:rPr>
  </w:style>
  <w:style w:type="paragraph" w:customStyle="1" w:styleId="43">
    <w:name w:val="二级"/>
    <w:basedOn w:val="44"/>
    <w:next w:val="40"/>
    <w:qFormat/>
    <w:uiPriority w:val="0"/>
    <w:pPr>
      <w:spacing w:before="60" w:after="60" w:line="415" w:lineRule="auto"/>
      <w:jc w:val="left"/>
      <w:outlineLvl w:val="1"/>
    </w:pPr>
    <w:rPr>
      <w:b w:val="0"/>
      <w:bCs w:val="0"/>
      <w:sz w:val="32"/>
      <w:szCs w:val="32"/>
    </w:rPr>
  </w:style>
  <w:style w:type="paragraph" w:customStyle="1" w:styleId="44">
    <w:name w:val="一级"/>
    <w:basedOn w:val="1"/>
    <w:next w:val="1"/>
    <w:qFormat/>
    <w:uiPriority w:val="0"/>
    <w:pPr>
      <w:spacing w:before="60" w:after="60" w:line="576" w:lineRule="auto"/>
      <w:jc w:val="left"/>
      <w:outlineLvl w:val="0"/>
    </w:pPr>
    <w:rPr>
      <w:b/>
      <w:bCs/>
      <w:sz w:val="36"/>
      <w:szCs w:val="36"/>
    </w:rPr>
  </w:style>
  <w:style w:type="paragraph" w:customStyle="1" w:styleId="45">
    <w:name w:val="Quote1"/>
    <w:next w:val="1"/>
    <w:qFormat/>
    <w:uiPriority w:val="0"/>
    <w:pPr>
      <w:wordWrap w:val="0"/>
      <w:spacing w:before="200" w:after="160"/>
      <w:ind w:left="864" w:right="864"/>
      <w:jc w:val="center"/>
    </w:pPr>
    <w:rPr>
      <w:rFonts w:ascii="Times New Roman" w:hAnsi="Times New Roman" w:eastAsia="宋体" w:cs="Times New Roman"/>
      <w:i/>
      <w:sz w:val="21"/>
      <w:szCs w:val="22"/>
      <w:lang w:val="en-US" w:eastAsia="zh-CN" w:bidi="ar-SA"/>
    </w:rPr>
  </w:style>
  <w:style w:type="paragraph" w:customStyle="1" w:styleId="46">
    <w:name w:val="_Style 3"/>
    <w:basedOn w:val="2"/>
    <w:next w:val="1"/>
    <w:qFormat/>
    <w:uiPriority w:val="39"/>
    <w:pPr>
      <w:keepNext w:val="0"/>
      <w:keepLines w:val="0"/>
      <w:spacing w:before="0" w:after="0" w:line="360" w:lineRule="auto"/>
      <w:jc w:val="left"/>
      <w:outlineLvl w:val="9"/>
    </w:pPr>
    <w:rPr>
      <w:kern w:val="0"/>
      <w:sz w:val="24"/>
      <w:szCs w:val="28"/>
    </w:rPr>
  </w:style>
  <w:style w:type="paragraph" w:customStyle="1" w:styleId="47">
    <w:name w:val="1 表头"/>
    <w:basedOn w:val="1"/>
    <w:qFormat/>
    <w:uiPriority w:val="0"/>
    <w:pPr>
      <w:adjustRightInd w:val="0"/>
      <w:snapToGrid w:val="0"/>
      <w:jc w:val="center"/>
    </w:pPr>
    <w:rPr>
      <w:b/>
      <w:color w:val="000000"/>
      <w:szCs w:val="21"/>
    </w:rPr>
  </w:style>
  <w:style w:type="paragraph" w:customStyle="1" w:styleId="48">
    <w:name w:val="表格内"/>
    <w:basedOn w:val="1"/>
    <w:qFormat/>
    <w:uiPriority w:val="0"/>
    <w:pPr>
      <w:widowControl/>
      <w:adjustRightInd w:val="0"/>
      <w:snapToGrid w:val="0"/>
      <w:spacing w:after="200" w:line="360" w:lineRule="exact"/>
      <w:ind w:firstLine="0" w:firstLineChars="0"/>
      <w:jc w:val="center"/>
    </w:pPr>
    <w:rPr>
      <w:rFonts w:eastAsia="微软雅黑"/>
      <w:snapToGrid w:val="0"/>
      <w:kern w:val="0"/>
      <w:sz w:val="22"/>
      <w:szCs w:val="21"/>
    </w:rPr>
  </w:style>
  <w:style w:type="paragraph" w:customStyle="1" w:styleId="49">
    <w:name w:val="Other|1"/>
    <w:basedOn w:val="1"/>
    <w:qFormat/>
    <w:uiPriority w:val="0"/>
    <w:pPr>
      <w:widowControl w:val="0"/>
      <w:shd w:val="clear" w:color="auto" w:fill="auto"/>
      <w:spacing w:line="297" w:lineRule="exact"/>
      <w:ind w:firstLine="460"/>
    </w:pPr>
    <w:rPr>
      <w:rFonts w:ascii="宋体" w:hAnsi="宋体" w:eastAsia="宋体" w:cs="宋体"/>
      <w:sz w:val="20"/>
      <w:szCs w:val="20"/>
      <w:u w:val="none"/>
      <w:shd w:val="clear" w:color="auto" w:fill="auto"/>
      <w:lang w:val="zh-CN" w:eastAsia="zh-CN" w:bidi="zh-CN"/>
    </w:rPr>
  </w:style>
  <w:style w:type="paragraph" w:customStyle="1" w:styleId="50">
    <w:name w:val="表文字"/>
    <w:basedOn w:val="1"/>
    <w:qFormat/>
    <w:uiPriority w:val="0"/>
    <w:pPr>
      <w:spacing w:line="240" w:lineRule="auto"/>
      <w:ind w:firstLine="0" w:firstLineChars="0"/>
      <w:jc w:val="center"/>
    </w:pPr>
    <w:rPr>
      <w:rFonts w:ascii="Times New Roman" w:hAnsi="Times New Roman"/>
      <w:sz w:val="21"/>
    </w:rPr>
  </w:style>
  <w:style w:type="paragraph" w:customStyle="1" w:styleId="51">
    <w:name w:val="段落1"/>
    <w:basedOn w:val="1"/>
    <w:qFormat/>
    <w:uiPriority w:val="99"/>
    <w:pPr>
      <w:spacing w:line="480" w:lineRule="exact"/>
      <w:ind w:firstLine="584" w:firstLineChars="200"/>
    </w:pPr>
    <w:rPr>
      <w:spacing w:val="6"/>
      <w:sz w:val="28"/>
    </w:rPr>
  </w:style>
  <w:style w:type="paragraph" w:customStyle="1" w:styleId="52">
    <w:name w:val="表头"/>
    <w:basedOn w:val="8"/>
    <w:next w:val="1"/>
    <w:qFormat/>
    <w:uiPriority w:val="0"/>
    <w:pPr>
      <w:keepNext w:val="0"/>
      <w:keepLines w:val="0"/>
      <w:widowControl w:val="0"/>
      <w:suppressLineNumbers w:val="0"/>
      <w:spacing w:line="360" w:lineRule="auto"/>
      <w:ind w:left="0" w:firstLine="0" w:firstLineChars="200"/>
      <w:jc w:val="center"/>
    </w:pPr>
    <w:rPr>
      <w:rFonts w:hint="default" w:ascii="Times New Roman" w:hAnsi="Times New Roman" w:eastAsia="宋体" w:cs="Times New Roman"/>
      <w:b/>
      <w:color w:val="000000"/>
      <w:kern w:val="2"/>
      <w:sz w:val="21"/>
      <w:szCs w:val="21"/>
      <w:lang w:val="en-US" w:eastAsia="zh-CN" w:bidi="ar"/>
    </w:rPr>
  </w:style>
  <w:style w:type="paragraph" w:customStyle="1" w:styleId="53">
    <w:name w:val="报告表正文"/>
    <w:basedOn w:val="54"/>
    <w:qFormat/>
    <w:uiPriority w:val="99"/>
    <w:pPr>
      <w:adjustRightInd w:val="0"/>
      <w:spacing w:line="312" w:lineRule="auto"/>
      <w:ind w:left="113" w:right="113" w:firstLine="482"/>
      <w:jc w:val="left"/>
    </w:pPr>
    <w:rPr>
      <w:kern w:val="0"/>
      <w:sz w:val="24"/>
    </w:rPr>
  </w:style>
  <w:style w:type="paragraph" w:customStyle="1" w:styleId="54">
    <w:name w:val="报告正文"/>
    <w:basedOn w:val="55"/>
    <w:qFormat/>
    <w:uiPriority w:val="0"/>
    <w:pPr>
      <w:adjustRightInd w:val="0"/>
      <w:snapToGrid w:val="0"/>
      <w:spacing w:line="460" w:lineRule="atLeast"/>
      <w:ind w:firstLine="200" w:firstLineChars="200"/>
    </w:pPr>
    <w:rPr>
      <w:spacing w:val="0"/>
      <w:kern w:val="2"/>
    </w:rPr>
  </w:style>
  <w:style w:type="paragraph" w:customStyle="1" w:styleId="55">
    <w:name w:val="p17"/>
    <w:basedOn w:val="1"/>
    <w:qFormat/>
    <w:uiPriority w:val="0"/>
    <w:pPr>
      <w:widowControl/>
    </w:pPr>
    <w:rPr>
      <w:rFonts w:ascii="宋体" w:hAnsi="宋体" w:cs="宋体"/>
      <w:kern w:val="0"/>
      <w:szCs w:val="21"/>
    </w:rPr>
  </w:style>
  <w:style w:type="paragraph" w:customStyle="1" w:styleId="56">
    <w:name w:val="图名"/>
    <w:basedOn w:val="52"/>
    <w:next w:val="1"/>
    <w:qFormat/>
    <w:uiPriority w:val="0"/>
    <w:pPr>
      <w:numPr>
        <w:ilvl w:val="0"/>
        <w:numId w:val="1"/>
      </w:numPr>
      <w:tabs>
        <w:tab w:val="left" w:pos="0"/>
      </w:tabs>
    </w:pPr>
  </w:style>
  <w:style w:type="paragraph" w:customStyle="1" w:styleId="57">
    <w:name w:val="我"/>
    <w:basedOn w:val="1"/>
    <w:qFormat/>
    <w:uiPriority w:val="0"/>
    <w:pPr>
      <w:spacing w:line="360" w:lineRule="auto"/>
      <w:ind w:firstLine="640" w:firstLineChars="200"/>
    </w:pPr>
    <w:rPr>
      <w:kern w:val="0"/>
      <w:sz w:val="24"/>
      <w:szCs w:val="20"/>
    </w:rPr>
  </w:style>
  <w:style w:type="paragraph" w:customStyle="1" w:styleId="58">
    <w:name w:val="1正文"/>
    <w:basedOn w:val="1"/>
    <w:qFormat/>
    <w:uiPriority w:val="0"/>
    <w:pPr>
      <w:widowControl/>
      <w:spacing w:line="360" w:lineRule="auto"/>
      <w:ind w:firstLine="200" w:firstLineChars="200"/>
    </w:pPr>
    <w:rPr>
      <w:kern w:val="0"/>
      <w:sz w:val="24"/>
      <w:lang w:val="en-GB"/>
    </w:rPr>
  </w:style>
  <w:style w:type="character" w:customStyle="1" w:styleId="59">
    <w:name w:val="font01"/>
    <w:basedOn w:val="30"/>
    <w:qFormat/>
    <w:uiPriority w:val="0"/>
    <w:rPr>
      <w:rFonts w:hint="default" w:ascii="Times New Roman" w:hAnsi="Times New Roman" w:cs="Times New Roman"/>
      <w:color w:val="000000"/>
      <w:sz w:val="24"/>
      <w:szCs w:val="24"/>
      <w:u w:val="none"/>
      <w:vertAlign w:val="subscript"/>
    </w:rPr>
  </w:style>
  <w:style w:type="paragraph" w:customStyle="1" w:styleId="60">
    <w:name w:val="默认段落字体 Para Char"/>
    <w:basedOn w:val="1"/>
    <w:next w:val="1"/>
    <w:qFormat/>
    <w:uiPriority w:val="0"/>
    <w:pPr>
      <w:spacing w:line="360" w:lineRule="auto"/>
      <w:ind w:firstLine="200" w:firstLineChars="200"/>
    </w:pPr>
    <w:rPr>
      <w:rFonts w:ascii="宋体" w:hAnsi="宋体" w:cs="宋体"/>
      <w:sz w:val="24"/>
      <w:szCs w:val="24"/>
    </w:rPr>
  </w:style>
  <w:style w:type="paragraph" w:customStyle="1" w:styleId="61">
    <w:name w:val="Table Paragraph"/>
    <w:basedOn w:val="1"/>
    <w:qFormat/>
    <w:uiPriority w:val="1"/>
    <w:rPr>
      <w:rFonts w:ascii="仿宋" w:hAnsi="仿宋" w:eastAsia="仿宋" w:cs="仿宋"/>
      <w:lang w:val="zh-CN" w:eastAsia="zh-CN" w:bidi="zh-CN"/>
    </w:rPr>
  </w:style>
  <w:style w:type="paragraph" w:customStyle="1" w:styleId="62">
    <w:name w:val="正文我"/>
    <w:qFormat/>
    <w:uiPriority w:val="0"/>
    <w:pPr>
      <w:widowControl w:val="0"/>
      <w:adjustRightInd w:val="0"/>
      <w:snapToGrid w:val="0"/>
      <w:spacing w:line="360" w:lineRule="auto"/>
      <w:ind w:firstLine="480" w:firstLineChars="200"/>
    </w:pPr>
    <w:rPr>
      <w:rFonts w:ascii="宋体" w:hAnsi="Times New Roman" w:eastAsia="仿宋_GB2312" w:cs="Times New Roman"/>
      <w:snapToGrid w:val="0"/>
      <w:color w:val="000000"/>
      <w:kern w:val="2"/>
      <w:sz w:val="24"/>
      <w:szCs w:val="24"/>
      <w:lang w:val="en-US" w:eastAsia="zh-CN" w:bidi="ar-SA"/>
    </w:rPr>
  </w:style>
  <w:style w:type="character" w:customStyle="1" w:styleId="63">
    <w:name w:val="textbig1"/>
    <w:basedOn w:val="30"/>
    <w:qFormat/>
    <w:uiPriority w:val="0"/>
    <w:rPr>
      <w:rFonts w:ascii="宋体" w:hAnsi="宋体" w:cs="宋体"/>
      <w:sz w:val="18"/>
      <w:szCs w:val="18"/>
    </w:rPr>
  </w:style>
  <w:style w:type="paragraph" w:customStyle="1" w:styleId="64">
    <w:name w:val="BodyText"/>
    <w:basedOn w:val="1"/>
    <w:next w:val="65"/>
    <w:qFormat/>
    <w:uiPriority w:val="0"/>
    <w:pPr>
      <w:widowControl/>
      <w:spacing w:after="200" w:line="240" w:lineRule="auto"/>
      <w:jc w:val="center"/>
      <w:textAlignment w:val="baseline"/>
    </w:pPr>
    <w:rPr>
      <w:rFonts w:ascii="Calibri" w:hAnsi="Calibri" w:eastAsia="宋体"/>
      <w:kern w:val="0"/>
      <w:sz w:val="21"/>
      <w:szCs w:val="24"/>
      <w:lang w:val="en-US" w:eastAsia="en-US" w:bidi="en-US"/>
    </w:rPr>
  </w:style>
  <w:style w:type="paragraph" w:customStyle="1" w:styleId="65">
    <w:name w:val="ListBullet5"/>
    <w:basedOn w:val="1"/>
    <w:qFormat/>
    <w:uiPriority w:val="0"/>
    <w:pPr>
      <w:numPr>
        <w:ilvl w:val="0"/>
        <w:numId w:val="2"/>
      </w:numPr>
      <w:jc w:val="both"/>
      <w:textAlignment w:val="baseline"/>
    </w:pPr>
  </w:style>
  <w:style w:type="character" w:customStyle="1" w:styleId="66">
    <w:name w:val="title"/>
    <w:basedOn w:val="30"/>
    <w:qFormat/>
    <w:uiPriority w:val="0"/>
  </w:style>
  <w:style w:type="paragraph" w:customStyle="1" w:styleId="67">
    <w:name w:val="表格"/>
    <w:basedOn w:val="1"/>
    <w:next w:val="1"/>
    <w:qFormat/>
    <w:uiPriority w:val="0"/>
    <w:pPr>
      <w:adjustRightInd w:val="0"/>
      <w:snapToGrid w:val="0"/>
      <w:spacing w:beforeLines="10" w:afterLines="10" w:line="259" w:lineRule="auto"/>
      <w:jc w:val="center"/>
    </w:pPr>
    <w:rPr>
      <w:rFonts w:ascii="宋体"/>
      <w:kern w:val="0"/>
      <w:szCs w:val="20"/>
    </w:rPr>
  </w:style>
  <w:style w:type="character" w:customStyle="1" w:styleId="68">
    <w:name w:val="font31"/>
    <w:basedOn w:val="30"/>
    <w:qFormat/>
    <w:uiPriority w:val="0"/>
    <w:rPr>
      <w:rFonts w:hint="default" w:ascii="Times New Roman" w:hAnsi="Times New Roman" w:cs="Times New Roman"/>
      <w:b/>
      <w:color w:val="FF0000"/>
      <w:sz w:val="21"/>
      <w:szCs w:val="21"/>
      <w:u w:val="none"/>
      <w:vertAlign w:val="subscript"/>
    </w:rPr>
  </w:style>
  <w:style w:type="character" w:customStyle="1" w:styleId="69">
    <w:name w:val="font81"/>
    <w:basedOn w:val="30"/>
    <w:qFormat/>
    <w:uiPriority w:val="0"/>
    <w:rPr>
      <w:rFonts w:hint="default" w:ascii="Times New Roman" w:hAnsi="Times New Roman" w:cs="Times New Roman"/>
      <w:b/>
      <w:color w:val="FF0000"/>
      <w:sz w:val="21"/>
      <w:szCs w:val="21"/>
      <w:u w:val="none"/>
    </w:rPr>
  </w:style>
  <w:style w:type="paragraph" w:customStyle="1" w:styleId="70">
    <w:name w:val="农贸市场正文"/>
    <w:basedOn w:val="71"/>
    <w:qFormat/>
    <w:uiPriority w:val="0"/>
    <w:pPr>
      <w:spacing w:line="360" w:lineRule="auto"/>
      <w:ind w:firstLine="200"/>
    </w:pPr>
    <w:rPr>
      <w:rFonts w:ascii="Times New Roman" w:hAnsi="Times New Roman"/>
      <w:b/>
      <w:snapToGrid w:val="0"/>
      <w:color w:val="000000"/>
      <w:lang w:val="en-US" w:eastAsia="zh-CN"/>
    </w:rPr>
  </w:style>
  <w:style w:type="paragraph" w:customStyle="1" w:styleId="71">
    <w:name w:val="阿拉山口正文"/>
    <w:basedOn w:val="72"/>
    <w:qFormat/>
    <w:uiPriority w:val="0"/>
  </w:style>
  <w:style w:type="paragraph" w:customStyle="1" w:styleId="72">
    <w:name w:val="中石油正文"/>
    <w:basedOn w:val="1"/>
    <w:qFormat/>
    <w:uiPriority w:val="0"/>
    <w:pPr>
      <w:spacing w:line="560" w:lineRule="exact"/>
      <w:ind w:firstLine="480" w:firstLineChars="200"/>
    </w:pPr>
    <w:rPr>
      <w:rFonts w:ascii="宋体" w:hAnsi="宋体"/>
      <w:sz w:val="24"/>
    </w:rPr>
  </w:style>
  <w:style w:type="paragraph" w:customStyle="1" w:styleId="73">
    <w:name w:val="表格文字邓"/>
    <w:basedOn w:val="1"/>
    <w:qFormat/>
    <w:uiPriority w:val="0"/>
    <w:pPr>
      <w:widowControl/>
      <w:snapToGrid w:val="0"/>
      <w:spacing w:line="240" w:lineRule="exact"/>
      <w:jc w:val="center"/>
    </w:pPr>
    <w:rPr>
      <w:rFonts w:ascii="宋体" w:hAnsi="宋体"/>
      <w:snapToGrid w:val="0"/>
      <w:color w:val="000000"/>
      <w:sz w:val="18"/>
      <w:szCs w:val="21"/>
    </w:rPr>
  </w:style>
  <w:style w:type="paragraph" w:customStyle="1" w:styleId="74">
    <w:name w:val="样式 正文文本缩进 + 行距: 1.5 倍行距"/>
    <w:basedOn w:val="1"/>
    <w:qFormat/>
    <w:uiPriority w:val="0"/>
    <w:pPr>
      <w:spacing w:after="120"/>
      <w:ind w:left="90" w:leftChars="32" w:firstLine="560" w:firstLineChars="200"/>
    </w:pPr>
    <w:rPr>
      <w:sz w:val="24"/>
    </w:rPr>
  </w:style>
  <w:style w:type="paragraph" w:customStyle="1" w:styleId="75">
    <w:name w:val="样式 首行缩进:  2 字符1"/>
    <w:basedOn w:val="1"/>
    <w:qFormat/>
    <w:uiPriority w:val="0"/>
    <w:pPr>
      <w:spacing w:before="120" w:beforeLines="0" w:line="400" w:lineRule="exact"/>
      <w:ind w:firstLine="200" w:firstLineChars="200"/>
    </w:pPr>
    <w:rPr>
      <w:rFonts w:ascii="宋体"/>
      <w:sz w:val="24"/>
      <w:szCs w:val="20"/>
    </w:rPr>
  </w:style>
  <w:style w:type="table" w:customStyle="1" w:styleId="76">
    <w:name w:val="表格样式-ls"/>
    <w:basedOn w:val="28"/>
    <w:qFormat/>
    <w:uiPriority w:val="0"/>
    <w:pPr>
      <w:widowControl w:val="0"/>
      <w:adjustRightInd w:val="0"/>
      <w:spacing w:line="360" w:lineRule="exact"/>
      <w:jc w:val="center"/>
      <w:textAlignment w:val="center"/>
    </w:pPr>
    <w:rPr>
      <w:sz w:val="21"/>
      <w:szCs w:val="21"/>
    </w:rPr>
    <w:tblPr>
      <w:tblStyle w:val="28"/>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
    <w:trPr>
      <w:jc w:val="center"/>
    </w:trPr>
    <w:tcPr>
      <w:shd w:val="clear" w:color="auto" w:fill="auto"/>
      <w:vAlign w:val="center"/>
    </w:tcPr>
    <w:tblStylePr w:type="firstRow">
      <w:pPr>
        <w:jc w:val="center"/>
      </w:pPr>
      <w:rPr>
        <w:rFonts w:eastAsia="宋体"/>
        <w:b w:val="0"/>
        <w:bCs/>
        <w:color w:val="auto"/>
        <w:sz w:val="21"/>
      </w:rPr>
      <w:tblPr>
        <w:tblStyle w:val="28"/>
      </w:tblPr>
      <w:tcPr>
        <w:tcBorders>
          <w:top w:val="nil"/>
          <w:left w:val="nil"/>
          <w:bottom w:val="nil"/>
          <w:right w:val="nil"/>
          <w:insideH w:val="nil"/>
          <w:insideV w:val="nil"/>
          <w:tl2br w:val="nil"/>
          <w:tr2bl w:val="nil"/>
        </w:tcBorders>
        <w:shd w:val="pct20" w:color="000000" w:fill="FFFFFF"/>
      </w:tcPr>
    </w:tblStylePr>
  </w:style>
  <w:style w:type="paragraph" w:customStyle="1" w:styleId="77">
    <w:name w:val="Char"/>
    <w:basedOn w:val="1"/>
    <w:qFormat/>
    <w:uiPriority w:val="0"/>
    <w:pPr>
      <w:snapToGrid w:val="0"/>
      <w:spacing w:line="440" w:lineRule="atLeast"/>
      <w:ind w:firstLine="200" w:firstLineChars="200"/>
    </w:pPr>
  </w:style>
  <w:style w:type="table" w:customStyle="1" w:styleId="78">
    <w:name w:val="Table Normal"/>
    <w:unhideWhenUsed/>
    <w:qFormat/>
    <w:uiPriority w:val="2"/>
    <w:rPr>
      <w:lang w:val="en-US" w:eastAsia="zh-CN" w:bidi="ar-SA"/>
    </w:rPr>
    <w:tblPr>
      <w:tblStyle w:val="28"/>
      <w:tblCellMar>
        <w:top w:w="0" w:type="dxa"/>
        <w:left w:w="0" w:type="dxa"/>
        <w:bottom w:w="0" w:type="dxa"/>
        <w:right w:w="0" w:type="dxa"/>
      </w:tblCellMar>
    </w:tblPr>
  </w:style>
  <w:style w:type="paragraph" w:customStyle="1" w:styleId="79">
    <w:name w:val="表头标题格式"/>
    <w:basedOn w:val="1"/>
    <w:qFormat/>
    <w:uiPriority w:val="0"/>
    <w:pPr>
      <w:widowControl/>
      <w:tabs>
        <w:tab w:val="left" w:pos="360"/>
        <w:tab w:val="left" w:pos="1620"/>
      </w:tabs>
      <w:spacing w:line="360" w:lineRule="auto"/>
      <w:jc w:val="center"/>
    </w:pPr>
    <w:rPr>
      <w:rFonts w:ascii="黑体" w:hAnsi="宋体" w:eastAsia="黑体"/>
      <w:b/>
      <w:bCs/>
      <w:spacing w:val="0"/>
      <w:kern w:val="0"/>
      <w:sz w:val="24"/>
      <w:szCs w:val="20"/>
    </w:rPr>
  </w:style>
  <w:style w:type="paragraph" w:customStyle="1" w:styleId="80">
    <w:name w:val="Table Text"/>
    <w:basedOn w:val="1"/>
    <w:semiHidden/>
    <w:qFormat/>
    <w:uiPriority w:val="0"/>
    <w:rPr>
      <w:rFonts w:ascii="宋体" w:hAnsi="宋体" w:eastAsia="宋体" w:cs="宋体"/>
      <w:sz w:val="18"/>
      <w:szCs w:val="18"/>
      <w:lang w:val="en-US" w:eastAsia="en-US" w:bidi="ar-SA"/>
    </w:rPr>
  </w:style>
  <w:style w:type="paragraph" w:customStyle="1" w:styleId="81">
    <w:name w:val="环评正文"/>
    <w:qFormat/>
    <w:uiPriority w:val="0"/>
    <w:rPr>
      <w:rFonts w:ascii="Times New Roman" w:hAnsi="Times New Roman" w:eastAsia="宋体" w:cs="Times New Roman"/>
      <w:sz w:val="24"/>
    </w:rPr>
  </w:style>
  <w:style w:type="paragraph" w:customStyle="1" w:styleId="82">
    <w:name w:val="0正文"/>
    <w:unhideWhenUsed/>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83">
    <w:name w:val="表格内容"/>
    <w:basedOn w:val="1"/>
    <w:qFormat/>
    <w:uiPriority w:val="0"/>
    <w:pPr>
      <w:spacing w:line="240" w:lineRule="auto"/>
      <w:ind w:firstLine="0" w:firstLineChars="0"/>
      <w:jc w:val="center"/>
    </w:pPr>
    <w:rPr>
      <w:sz w:val="21"/>
      <w:szCs w:val="18"/>
    </w:rPr>
  </w:style>
  <w:style w:type="paragraph" w:customStyle="1" w:styleId="84">
    <w:name w:val="正文(首行缩进)"/>
    <w:basedOn w:val="1"/>
    <w:next w:val="1"/>
    <w:qFormat/>
    <w:uiPriority w:val="0"/>
    <w:pPr>
      <w:widowControl/>
      <w:spacing w:line="360" w:lineRule="auto"/>
      <w:ind w:firstLine="540" w:firstLineChars="225"/>
      <w:jc w:val="left"/>
    </w:pPr>
    <w:rPr>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4514</Words>
  <Characters>4750</Characters>
  <Lines>1</Lines>
  <Paragraphs>1</Paragraphs>
  <TotalTime>21</TotalTime>
  <ScaleCrop>false</ScaleCrop>
  <LinksUpToDate>false</LinksUpToDate>
  <CharactersWithSpaces>4779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2021-01-04T08:37:00Z</dcterms:created>
  <dc:creator>China</dc:creator>
  <cp:lastModifiedBy>Administrator</cp:lastModifiedBy>
  <cp:lastPrinted>2024-06-30T09:03:32Z</cp:lastPrinted>
  <dcterms:modified xsi:type="dcterms:W3CDTF">2026-07-28T09:11:13Z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252286127CBE4E478B61C801CBBB8ED6_13</vt:lpwstr>
  </property>
  <property fmtid="{D5CDD505-2E9C-101B-9397-08002B2CF9AE}" pid="4" name="KSOTemplateDocerSaveRecord">
    <vt:lpwstr>eyJoZGlkIjoiNTZmNTVmMTYzZjZjMmJjZWY4MzJkOGEwYjdhNDhiODUiLCJ1c2VySWQiOiIxNjYxNjI3MjY2In0=</vt:lpwstr>
  </property>
</Properties>
</file>