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173F6">
      <w:pPr>
        <w:rPr>
          <w:rFonts w:hint="eastAsia" w:ascii="仿宋_GB2312" w:hAnsi="仿宋_GB2312" w:eastAsia="仿宋_GB2312" w:cs="仿宋_GB2312"/>
          <w:color w:val="auto"/>
          <w:sz w:val="36"/>
          <w:szCs w:val="36"/>
        </w:rPr>
      </w:pPr>
    </w:p>
    <w:p w14:paraId="09BFD18E">
      <w:pPr>
        <w:rPr>
          <w:rFonts w:hint="eastAsia" w:ascii="仿宋_GB2312" w:hAnsi="仿宋_GB2312" w:eastAsia="仿宋_GB2312" w:cs="仿宋_GB2312"/>
          <w:color w:val="auto"/>
          <w:sz w:val="36"/>
          <w:szCs w:val="36"/>
        </w:rPr>
      </w:pPr>
    </w:p>
    <w:p w14:paraId="6F076D87">
      <w:pPr>
        <w:adjustRightInd w:val="0"/>
        <w:snapToGrid w:val="0"/>
        <w:jc w:val="center"/>
        <w:outlineLvl w:val="0"/>
        <w:rPr>
          <w:rFonts w:hint="eastAsia"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40ABC0F0">
      <w:pPr>
        <w:adjustRightInd w:val="0"/>
        <w:snapToGrid w:val="0"/>
        <w:spacing w:before="192"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16A0E546">
      <w:pPr>
        <w:adjustRightInd w:val="0"/>
        <w:snapToGrid w:val="0"/>
        <w:spacing w:line="288" w:lineRule="auto"/>
        <w:jc w:val="center"/>
        <w:outlineLvl w:val="0"/>
        <w:rPr>
          <w:rFonts w:ascii="华文仿宋" w:hAnsi="华文仿宋" w:eastAsia="华文仿宋" w:cs="华文仿宋"/>
          <w:color w:val="auto"/>
          <w:kern w:val="44"/>
          <w:sz w:val="44"/>
          <w:szCs w:val="44"/>
        </w:rPr>
      </w:pPr>
    </w:p>
    <w:p w14:paraId="2206287A">
      <w:pPr>
        <w:jc w:val="center"/>
        <w:rPr>
          <w:rFonts w:eastAsia="仿宋"/>
          <w:color w:val="auto"/>
          <w:sz w:val="52"/>
          <w:szCs w:val="52"/>
        </w:rPr>
      </w:pPr>
    </w:p>
    <w:p w14:paraId="116670D3">
      <w:pPr>
        <w:ind w:firstLine="1040"/>
        <w:rPr>
          <w:rFonts w:eastAsia="仿宋"/>
          <w:color w:val="auto"/>
          <w:sz w:val="44"/>
          <w:szCs w:val="44"/>
        </w:rPr>
      </w:pPr>
    </w:p>
    <w:p w14:paraId="394B7954">
      <w:pPr>
        <w:ind w:firstLine="1040"/>
        <w:rPr>
          <w:rFonts w:eastAsia="仿宋"/>
          <w:color w:val="auto"/>
          <w:sz w:val="44"/>
          <w:szCs w:val="44"/>
        </w:rPr>
      </w:pPr>
    </w:p>
    <w:p w14:paraId="59F9B656">
      <w:pPr>
        <w:ind w:firstLine="1040"/>
        <w:rPr>
          <w:rFonts w:hint="eastAsia" w:eastAsia="仿宋"/>
          <w:color w:val="auto"/>
          <w:sz w:val="44"/>
          <w:szCs w:val="44"/>
        </w:rPr>
      </w:pPr>
    </w:p>
    <w:p w14:paraId="7E062B6E">
      <w:pPr>
        <w:ind w:firstLine="1040"/>
        <w:rPr>
          <w:rFonts w:eastAsia="仿宋"/>
          <w:color w:val="auto"/>
          <w:sz w:val="44"/>
          <w:szCs w:val="44"/>
        </w:rPr>
      </w:pPr>
    </w:p>
    <w:p w14:paraId="3DB13CC6">
      <w:pPr>
        <w:ind w:firstLine="1040"/>
        <w:rPr>
          <w:rFonts w:eastAsia="仿宋"/>
          <w:color w:val="auto"/>
          <w:sz w:val="44"/>
          <w:szCs w:val="44"/>
        </w:rPr>
      </w:pPr>
    </w:p>
    <w:p w14:paraId="418F2DE0">
      <w:pPr>
        <w:adjustRightInd w:val="0"/>
        <w:snapToGrid w:val="0"/>
        <w:spacing w:line="360" w:lineRule="auto"/>
        <w:jc w:val="center"/>
        <w:rPr>
          <w:rFonts w:hint="eastAsia" w:ascii="仿宋_GB2312" w:eastAsia="仿宋_GB2312"/>
          <w:color w:val="auto"/>
          <w:sz w:val="36"/>
          <w:szCs w:val="36"/>
          <w:u w:val="single"/>
          <w:lang w:eastAsia="zh-CN"/>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eastAsia="zh-CN"/>
        </w:rPr>
        <w:t>新疆棘弘科技有限公司石英砂深加工项目</w:t>
      </w:r>
    </w:p>
    <w:p w14:paraId="1BB0DE88">
      <w:pPr>
        <w:adjustRightInd w:val="0"/>
        <w:snapToGrid w:val="0"/>
        <w:spacing w:line="360" w:lineRule="auto"/>
        <w:ind w:firstLine="280" w:firstLineChars="78"/>
        <w:rPr>
          <w:rFonts w:ascii="仿宋_GB2312" w:eastAsia="仿宋_GB2312"/>
          <w:color w:val="auto"/>
          <w:sz w:val="36"/>
          <w:szCs w:val="36"/>
          <w:u w:val="single"/>
        </w:rPr>
      </w:pPr>
      <w:r>
        <w:rPr>
          <w:rFonts w:hint="eastAsia" w:ascii="仿宋_GB2312" w:eastAsia="仿宋_GB2312"/>
          <w:color w:val="auto"/>
          <w:sz w:val="36"/>
          <w:szCs w:val="36"/>
        </w:rPr>
        <w:t>建设单位（盖章）：</w:t>
      </w:r>
      <w:r>
        <w:rPr>
          <w:rFonts w:hint="eastAsia" w:ascii="仿宋_GB2312" w:eastAsia="仿宋_GB2312"/>
          <w:color w:val="auto"/>
          <w:sz w:val="36"/>
          <w:szCs w:val="36"/>
          <w:u w:val="single"/>
        </w:rPr>
        <w:t xml:space="preserve"> 新疆棘弘科技有限公司        </w:t>
      </w:r>
    </w:p>
    <w:p w14:paraId="588D1068">
      <w:pPr>
        <w:adjustRightInd w:val="0"/>
        <w:snapToGrid w:val="0"/>
        <w:spacing w:line="360" w:lineRule="auto"/>
        <w:ind w:firstLine="280" w:firstLineChars="78"/>
        <w:rPr>
          <w:rFonts w:hint="eastAsia"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202</w:t>
      </w:r>
      <w:r>
        <w:rPr>
          <w:rFonts w:hint="eastAsia" w:ascii="仿宋_GB2312" w:eastAsia="仿宋_GB2312"/>
          <w:color w:val="auto"/>
          <w:sz w:val="36"/>
          <w:szCs w:val="36"/>
          <w:u w:val="single"/>
          <w:lang w:val="en-US" w:eastAsia="zh-CN"/>
        </w:rPr>
        <w:t>6</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8</w:t>
      </w:r>
      <w:r>
        <w:rPr>
          <w:rFonts w:hint="eastAsia" w:ascii="仿宋_GB2312" w:eastAsia="仿宋_GB2312"/>
          <w:color w:val="auto"/>
          <w:sz w:val="36"/>
          <w:szCs w:val="36"/>
          <w:u w:val="single"/>
        </w:rPr>
        <w:t>月</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14:paraId="417CDBCB">
      <w:pPr>
        <w:adjustRightInd w:val="0"/>
        <w:snapToGrid w:val="0"/>
        <w:spacing w:line="288" w:lineRule="auto"/>
        <w:ind w:firstLine="1040"/>
        <w:rPr>
          <w:rFonts w:ascii="仿宋_GB2312" w:eastAsia="仿宋_GB2312"/>
          <w:color w:val="auto"/>
          <w:sz w:val="36"/>
          <w:szCs w:val="36"/>
          <w:u w:val="single"/>
        </w:rPr>
      </w:pPr>
      <w:bookmarkStart w:id="0" w:name="_Hlk57884087"/>
    </w:p>
    <w:p w14:paraId="1C36210A">
      <w:pPr>
        <w:adjustRightInd w:val="0"/>
        <w:snapToGrid w:val="0"/>
        <w:spacing w:line="288" w:lineRule="auto"/>
        <w:ind w:firstLine="1040"/>
        <w:rPr>
          <w:rFonts w:ascii="仿宋_GB2312" w:eastAsia="仿宋_GB2312"/>
          <w:color w:val="auto"/>
          <w:sz w:val="36"/>
          <w:szCs w:val="36"/>
        </w:rPr>
      </w:pPr>
    </w:p>
    <w:p w14:paraId="31274405">
      <w:pPr>
        <w:adjustRightInd w:val="0"/>
        <w:snapToGrid w:val="0"/>
        <w:spacing w:line="288" w:lineRule="auto"/>
        <w:ind w:firstLine="1040"/>
        <w:rPr>
          <w:rFonts w:ascii="仿宋_GB2312" w:eastAsia="仿宋_GB2312"/>
          <w:color w:val="auto"/>
          <w:sz w:val="36"/>
          <w:szCs w:val="36"/>
        </w:rPr>
      </w:pPr>
    </w:p>
    <w:p w14:paraId="31DC368E">
      <w:pPr>
        <w:adjustRightInd w:val="0"/>
        <w:snapToGrid w:val="0"/>
        <w:spacing w:line="288" w:lineRule="auto"/>
        <w:ind w:firstLine="1040"/>
        <w:rPr>
          <w:rFonts w:hint="eastAsia" w:ascii="仿宋_GB2312" w:eastAsia="仿宋_GB2312"/>
          <w:color w:val="auto"/>
          <w:sz w:val="36"/>
          <w:szCs w:val="36"/>
        </w:rPr>
      </w:pPr>
    </w:p>
    <w:p w14:paraId="38CBFFE4">
      <w:pPr>
        <w:adjustRightInd w:val="0"/>
        <w:snapToGrid w:val="0"/>
        <w:spacing w:line="288" w:lineRule="auto"/>
        <w:ind w:firstLine="1040"/>
        <w:rPr>
          <w:rFonts w:hint="eastAsia" w:ascii="仿宋_GB2312" w:eastAsia="仿宋_GB2312"/>
          <w:color w:val="auto"/>
          <w:sz w:val="36"/>
          <w:szCs w:val="36"/>
        </w:rPr>
      </w:pPr>
    </w:p>
    <w:bookmarkEnd w:id="0"/>
    <w:p w14:paraId="47839B51">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5051CA8F">
      <w:pPr>
        <w:adjustRightInd w:val="0"/>
        <w:snapToGrid w:val="0"/>
        <w:spacing w:line="288" w:lineRule="auto"/>
        <w:jc w:val="center"/>
        <w:rPr>
          <w:rFonts w:ascii="楷体_GB2312" w:eastAsia="楷体_GB2312"/>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140B2A64">
      <w:pPr>
        <w:pStyle w:val="18"/>
        <w:jc w:val="both"/>
        <w:outlineLvl w:val="0"/>
        <w:rPr>
          <w:rFonts w:hint="eastAsia" w:ascii="黑体" w:hAnsi="黑体" w:eastAsia="黑体"/>
          <w:snapToGrid w:val="0"/>
          <w:color w:val="auto"/>
          <w:sz w:val="30"/>
          <w:szCs w:val="30"/>
        </w:rPr>
      </w:pPr>
      <w:r>
        <w:rPr>
          <w:rFonts w:hint="eastAsia" w:ascii="黑体" w:hAnsi="黑体" w:eastAsia="黑体"/>
          <w:snapToGrid w:val="0"/>
          <w:color w:val="auto"/>
          <w:sz w:val="30"/>
          <w:szCs w:val="30"/>
        </w:rPr>
        <w:t>建设项目基本情况</w:t>
      </w:r>
    </w:p>
    <w:tbl>
      <w:tblPr>
        <w:tblStyle w:val="22"/>
        <w:tblW w:w="498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55"/>
        <w:gridCol w:w="1135"/>
        <w:gridCol w:w="2200"/>
        <w:gridCol w:w="1899"/>
        <w:gridCol w:w="2753"/>
      </w:tblGrid>
      <w:tr w14:paraId="5A374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1CAAD524">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 w:val="24"/>
                <w:szCs w:val="24"/>
              </w:rPr>
              <w:t>建设项目名称</w:t>
            </w:r>
          </w:p>
        </w:tc>
        <w:tc>
          <w:tcPr>
            <w:tcW w:w="6856" w:type="dxa"/>
            <w:gridSpan w:val="3"/>
            <w:noWrap w:val="0"/>
            <w:vAlign w:val="center"/>
          </w:tcPr>
          <w:p w14:paraId="7694EAA8">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新疆棘弘科技有限公司石英砂深加工项目</w:t>
            </w:r>
          </w:p>
        </w:tc>
      </w:tr>
      <w:tr w14:paraId="5942E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373107A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项目代码</w:t>
            </w:r>
          </w:p>
        </w:tc>
        <w:tc>
          <w:tcPr>
            <w:tcW w:w="6856" w:type="dxa"/>
            <w:gridSpan w:val="3"/>
            <w:noWrap w:val="0"/>
            <w:vAlign w:val="center"/>
          </w:tcPr>
          <w:p w14:paraId="283A16DA">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2303-654226-89-01-306471</w:t>
            </w:r>
          </w:p>
        </w:tc>
      </w:tr>
      <w:tr w14:paraId="43B45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4EE303D6">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建设单位联系人</w:t>
            </w:r>
          </w:p>
        </w:tc>
        <w:tc>
          <w:tcPr>
            <w:tcW w:w="2201" w:type="dxa"/>
            <w:noWrap w:val="0"/>
            <w:vAlign w:val="center"/>
          </w:tcPr>
          <w:p w14:paraId="39D30439">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黄</w:t>
            </w:r>
            <w:r>
              <w:rPr>
                <w:rFonts w:hint="eastAsia" w:ascii="Times New Roman" w:hAnsi="Times New Roman" w:cs="Times New Roman"/>
                <w:color w:val="auto"/>
                <w:szCs w:val="21"/>
                <w:lang w:val="en-US" w:eastAsia="zh-CN"/>
              </w:rPr>
              <w:t>****</w:t>
            </w:r>
          </w:p>
        </w:tc>
        <w:tc>
          <w:tcPr>
            <w:tcW w:w="1900" w:type="dxa"/>
            <w:noWrap w:val="0"/>
            <w:vAlign w:val="center"/>
          </w:tcPr>
          <w:p w14:paraId="3DB3DBB3">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联系方式</w:t>
            </w:r>
          </w:p>
        </w:tc>
        <w:tc>
          <w:tcPr>
            <w:tcW w:w="2755" w:type="dxa"/>
            <w:noWrap w:val="0"/>
            <w:vAlign w:val="center"/>
          </w:tcPr>
          <w:p w14:paraId="16FFEC69">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w:t>
            </w:r>
          </w:p>
        </w:tc>
      </w:tr>
      <w:tr w14:paraId="354330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1C8E2776">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建设地点</w:t>
            </w:r>
          </w:p>
        </w:tc>
        <w:tc>
          <w:tcPr>
            <w:tcW w:w="6856" w:type="dxa"/>
            <w:gridSpan w:val="3"/>
            <w:noWrap w:val="0"/>
            <w:vAlign w:val="center"/>
          </w:tcPr>
          <w:p w14:paraId="1A54047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新疆维吾尔自治区塔城地区和布克赛尔蒙古自治县</w:t>
            </w:r>
            <w:r>
              <w:rPr>
                <w:rFonts w:hint="eastAsia" w:ascii="Times New Roman" w:hAnsi="Times New Roman" w:cs="Times New Roman"/>
                <w:color w:val="auto"/>
                <w:szCs w:val="21"/>
                <w:lang w:val="en-US" w:eastAsia="zh-CN"/>
              </w:rPr>
              <w:t>和丰</w:t>
            </w:r>
            <w:r>
              <w:rPr>
                <w:rFonts w:hint="default" w:ascii="Times New Roman" w:hAnsi="Times New Roman" w:eastAsia="宋体" w:cs="Times New Roman"/>
                <w:color w:val="auto"/>
                <w:szCs w:val="21"/>
              </w:rPr>
              <w:t>工业园区</w:t>
            </w:r>
          </w:p>
        </w:tc>
      </w:tr>
      <w:tr w14:paraId="505B2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46D35291">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地理坐标</w:t>
            </w:r>
          </w:p>
        </w:tc>
        <w:tc>
          <w:tcPr>
            <w:tcW w:w="6856" w:type="dxa"/>
            <w:gridSpan w:val="3"/>
            <w:noWrap w:val="0"/>
            <w:vAlign w:val="center"/>
          </w:tcPr>
          <w:p w14:paraId="7FA60DD3">
            <w:pPr>
              <w:jc w:val="center"/>
              <w:rPr>
                <w:rFonts w:hint="default" w:ascii="Times New Roman" w:hAnsi="Times New Roman" w:eastAsia="宋体" w:cs="Times New Roman"/>
                <w:color w:val="auto"/>
                <w:szCs w:val="21"/>
                <w:highlight w:val="none"/>
              </w:rPr>
            </w:pPr>
          </w:p>
        </w:tc>
      </w:tr>
      <w:tr w14:paraId="2B05C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92" w:type="dxa"/>
            <w:gridSpan w:val="2"/>
            <w:noWrap w:val="0"/>
            <w:tcMar>
              <w:top w:w="16" w:type="dxa"/>
              <w:left w:w="16" w:type="dxa"/>
              <w:right w:w="16" w:type="dxa"/>
            </w:tcMar>
            <w:vAlign w:val="center"/>
          </w:tcPr>
          <w:p w14:paraId="0D19793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国民经济</w:t>
            </w:r>
          </w:p>
          <w:p w14:paraId="36A698FC">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行业类别</w:t>
            </w:r>
          </w:p>
        </w:tc>
        <w:tc>
          <w:tcPr>
            <w:tcW w:w="2201" w:type="dxa"/>
            <w:noWrap w:val="0"/>
            <w:vAlign w:val="center"/>
          </w:tcPr>
          <w:p w14:paraId="026F973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C3099 其他</w:t>
            </w:r>
            <w:bookmarkStart w:id="1" w:name="OLE_LINK1"/>
            <w:r>
              <w:rPr>
                <w:rFonts w:hint="default" w:ascii="Times New Roman" w:hAnsi="Times New Roman" w:eastAsia="宋体" w:cs="Times New Roman"/>
                <w:color w:val="auto"/>
                <w:szCs w:val="21"/>
              </w:rPr>
              <w:t>非金属矿物制品制造</w:t>
            </w:r>
            <w:bookmarkEnd w:id="1"/>
          </w:p>
        </w:tc>
        <w:tc>
          <w:tcPr>
            <w:tcW w:w="1900" w:type="dxa"/>
            <w:noWrap w:val="0"/>
            <w:vAlign w:val="center"/>
          </w:tcPr>
          <w:p w14:paraId="0EF96D73">
            <w:pPr>
              <w:adjustRightInd w:val="0"/>
              <w:snapToGrid w:val="0"/>
              <w:jc w:val="center"/>
              <w:rPr>
                <w:rFonts w:hint="default" w:ascii="Times New Roman" w:hAnsi="Times New Roman" w:eastAsia="宋体" w:cs="Times New Roman"/>
                <w:color w:val="auto"/>
                <w:szCs w:val="21"/>
              </w:rPr>
            </w:pPr>
            <w:bookmarkStart w:id="2" w:name="_Hlk49843745"/>
            <w:r>
              <w:rPr>
                <w:rFonts w:hint="default" w:ascii="Times New Roman" w:hAnsi="Times New Roman" w:eastAsia="宋体" w:cs="Times New Roman"/>
                <w:color w:val="auto"/>
                <w:szCs w:val="21"/>
              </w:rPr>
              <w:t>建设项目</w:t>
            </w:r>
          </w:p>
          <w:p w14:paraId="3B05700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行业类别</w:t>
            </w:r>
            <w:bookmarkEnd w:id="2"/>
          </w:p>
        </w:tc>
        <w:tc>
          <w:tcPr>
            <w:tcW w:w="2755" w:type="dxa"/>
            <w:noWrap w:val="0"/>
            <w:vAlign w:val="center"/>
          </w:tcPr>
          <w:p w14:paraId="5E24878D">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lang w:val="en-US" w:eastAsia="zh-CN"/>
              </w:rPr>
              <w:t xml:space="preserve">二十七、非金属矿物制品业 </w:t>
            </w:r>
            <w:r>
              <w:rPr>
                <w:rFonts w:hint="default" w:ascii="Times New Roman" w:hAnsi="Times New Roman" w:eastAsia="宋体" w:cs="Times New Roman"/>
                <w:color w:val="auto"/>
                <w:szCs w:val="21"/>
              </w:rPr>
              <w:t>60石墨及其他非金属矿物制品制造309</w:t>
            </w:r>
          </w:p>
        </w:tc>
      </w:tr>
      <w:tr w14:paraId="2E217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11D197C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建设性质</w:t>
            </w:r>
          </w:p>
        </w:tc>
        <w:tc>
          <w:tcPr>
            <w:tcW w:w="2201" w:type="dxa"/>
            <w:noWrap w:val="0"/>
            <w:vAlign w:val="center"/>
          </w:tcPr>
          <w:p w14:paraId="5E5F4FAD">
            <w:pPr>
              <w:pStyle w:val="48"/>
              <w:rPr>
                <w:rFonts w:hint="default" w:ascii="Times New Roman" w:hAnsi="Times New Roman" w:eastAsia="宋体" w:cs="Times New Roman"/>
                <w:color w:val="auto"/>
              </w:rPr>
            </w:pP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kern w:val="2"/>
                <w:sz w:val="24"/>
                <w:szCs w:val="24"/>
              </w:rPr>
              <w:t>新建（迁建）</w:t>
            </w:r>
          </w:p>
          <w:p w14:paraId="1079B874">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□改建</w:t>
            </w:r>
          </w:p>
          <w:p w14:paraId="775AEC4C">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□扩建</w:t>
            </w:r>
          </w:p>
          <w:p w14:paraId="6AC59B83">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□技术改造</w:t>
            </w:r>
          </w:p>
        </w:tc>
        <w:tc>
          <w:tcPr>
            <w:tcW w:w="1900" w:type="dxa"/>
            <w:noWrap w:val="0"/>
            <w:vAlign w:val="center"/>
          </w:tcPr>
          <w:p w14:paraId="470F24E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建设项目</w:t>
            </w:r>
          </w:p>
          <w:p w14:paraId="359D77B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申报情形</w:t>
            </w:r>
          </w:p>
        </w:tc>
        <w:tc>
          <w:tcPr>
            <w:tcW w:w="2755" w:type="dxa"/>
            <w:noWrap w:val="0"/>
            <w:vAlign w:val="center"/>
          </w:tcPr>
          <w:p w14:paraId="3A8C2D1F">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 xml:space="preserve">首次申报项目             </w:t>
            </w:r>
          </w:p>
          <w:p w14:paraId="65E2A4CC">
            <w:pPr>
              <w:rPr>
                <w:rFonts w:hint="default" w:ascii="Times New Roman" w:hAnsi="Times New Roman" w:eastAsia="宋体" w:cs="Times New Roman"/>
                <w:color w:val="auto"/>
                <w:spacing w:val="-6"/>
                <w:sz w:val="24"/>
                <w:szCs w:val="21"/>
              </w:rPr>
            </w:pPr>
            <w:r>
              <w:rPr>
                <w:rFonts w:hint="default" w:ascii="Times New Roman" w:hAnsi="Times New Roman" w:eastAsia="宋体" w:cs="Times New Roman"/>
                <w:color w:val="auto"/>
                <w:spacing w:val="-6"/>
                <w:sz w:val="24"/>
                <w:szCs w:val="21"/>
                <w:lang w:eastAsia="zh-CN"/>
              </w:rPr>
              <w:t>□</w:t>
            </w:r>
            <w:r>
              <w:rPr>
                <w:rFonts w:hint="default" w:ascii="Times New Roman" w:hAnsi="Times New Roman" w:eastAsia="宋体" w:cs="Times New Roman"/>
                <w:color w:val="auto"/>
                <w:spacing w:val="-6"/>
                <w:sz w:val="24"/>
                <w:szCs w:val="21"/>
              </w:rPr>
              <w:t>不予批准后再次申报项目</w:t>
            </w:r>
          </w:p>
          <w:p w14:paraId="7DC2AEE3">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□超五年重新审核项目     </w:t>
            </w:r>
          </w:p>
          <w:p w14:paraId="5ABD43F5">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□重大变动重新报批项目</w:t>
            </w:r>
          </w:p>
        </w:tc>
      </w:tr>
      <w:tr w14:paraId="01B91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0AD1CA1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项目审批（核准/</w:t>
            </w:r>
          </w:p>
          <w:p w14:paraId="325A383F">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备案）部门（选填）</w:t>
            </w:r>
          </w:p>
        </w:tc>
        <w:tc>
          <w:tcPr>
            <w:tcW w:w="2201" w:type="dxa"/>
            <w:noWrap w:val="0"/>
            <w:vAlign w:val="center"/>
          </w:tcPr>
          <w:p w14:paraId="6BCCEDF6">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和布克赛尔蒙古自治县发展和改革委员会</w:t>
            </w:r>
          </w:p>
        </w:tc>
        <w:tc>
          <w:tcPr>
            <w:tcW w:w="1900" w:type="dxa"/>
            <w:noWrap w:val="0"/>
            <w:vAlign w:val="center"/>
          </w:tcPr>
          <w:p w14:paraId="23C8252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项目审批（核准/</w:t>
            </w:r>
          </w:p>
          <w:p w14:paraId="066C5AC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备案）文号（选填）</w:t>
            </w:r>
          </w:p>
        </w:tc>
        <w:tc>
          <w:tcPr>
            <w:tcW w:w="2755" w:type="dxa"/>
            <w:noWrap w:val="0"/>
            <w:vAlign w:val="center"/>
          </w:tcPr>
          <w:p w14:paraId="771C49F4">
            <w:pPr>
              <w:adjustRightInd w:val="0"/>
              <w:snapToGrid w:val="0"/>
              <w:jc w:val="center"/>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szCs w:val="21"/>
              </w:rPr>
              <w:t>和发改备2023</w:t>
            </w:r>
            <w:r>
              <w:rPr>
                <w:rFonts w:hint="default" w:ascii="Times New Roman" w:hAnsi="Times New Roman" w:eastAsia="宋体" w:cs="Times New Roman"/>
                <w:color w:val="auto"/>
                <w:szCs w:val="21"/>
                <w:lang w:val="en-US" w:eastAsia="zh-CN"/>
              </w:rPr>
              <w:t>05</w:t>
            </w:r>
          </w:p>
        </w:tc>
      </w:tr>
      <w:tr w14:paraId="6EC6A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18C3E17D">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总投资（万元）</w:t>
            </w:r>
          </w:p>
        </w:tc>
        <w:tc>
          <w:tcPr>
            <w:tcW w:w="2201" w:type="dxa"/>
            <w:noWrap w:val="0"/>
            <w:vAlign w:val="center"/>
          </w:tcPr>
          <w:p w14:paraId="3C1ED56B">
            <w:pPr>
              <w:adjustRightInd w:val="0"/>
              <w:snapToGrid w:val="0"/>
              <w:jc w:val="center"/>
              <w:rPr>
                <w:rFonts w:hint="default" w:ascii="Times New Roman" w:hAnsi="Times New Roman" w:eastAsia="宋体" w:cs="Times New Roman"/>
                <w:color w:val="auto"/>
                <w:szCs w:val="21"/>
                <w:highlight w:val="none"/>
              </w:rPr>
            </w:pPr>
          </w:p>
        </w:tc>
        <w:tc>
          <w:tcPr>
            <w:tcW w:w="1900" w:type="dxa"/>
            <w:noWrap w:val="0"/>
            <w:tcMar>
              <w:top w:w="16" w:type="dxa"/>
              <w:left w:w="16" w:type="dxa"/>
              <w:right w:w="16" w:type="dxa"/>
            </w:tcMar>
            <w:vAlign w:val="center"/>
          </w:tcPr>
          <w:p w14:paraId="47C93DF6">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环保投资（万元）</w:t>
            </w:r>
          </w:p>
        </w:tc>
        <w:tc>
          <w:tcPr>
            <w:tcW w:w="2755" w:type="dxa"/>
            <w:noWrap w:val="0"/>
            <w:vAlign w:val="center"/>
          </w:tcPr>
          <w:p w14:paraId="08A51536">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r>
      <w:tr w14:paraId="2CA83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5ED57A98">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环保投资占比（%）</w:t>
            </w:r>
          </w:p>
        </w:tc>
        <w:tc>
          <w:tcPr>
            <w:tcW w:w="2201" w:type="dxa"/>
            <w:noWrap w:val="0"/>
            <w:vAlign w:val="center"/>
          </w:tcPr>
          <w:p w14:paraId="31E0F4FB">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c>
          <w:tcPr>
            <w:tcW w:w="1900" w:type="dxa"/>
            <w:noWrap w:val="0"/>
            <w:tcMar>
              <w:top w:w="16" w:type="dxa"/>
              <w:left w:w="16" w:type="dxa"/>
              <w:right w:w="16" w:type="dxa"/>
            </w:tcMar>
            <w:vAlign w:val="center"/>
          </w:tcPr>
          <w:p w14:paraId="3A5EDB5C">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施工工期</w:t>
            </w:r>
          </w:p>
        </w:tc>
        <w:tc>
          <w:tcPr>
            <w:tcW w:w="2755" w:type="dxa"/>
            <w:noWrap w:val="0"/>
            <w:vAlign w:val="center"/>
          </w:tcPr>
          <w:p w14:paraId="1685F487">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pacing w:val="-6"/>
                <w:sz w:val="24"/>
                <w:szCs w:val="21"/>
                <w:highlight w:val="none"/>
                <w:lang w:val="en-US" w:eastAsia="zh-CN"/>
              </w:rPr>
              <w:t>12个月</w:t>
            </w:r>
          </w:p>
        </w:tc>
      </w:tr>
      <w:tr w14:paraId="6AE68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92" w:type="dxa"/>
            <w:gridSpan w:val="2"/>
            <w:noWrap w:val="0"/>
            <w:tcMar>
              <w:top w:w="16" w:type="dxa"/>
              <w:left w:w="16" w:type="dxa"/>
              <w:right w:w="16" w:type="dxa"/>
            </w:tcMar>
            <w:vAlign w:val="center"/>
          </w:tcPr>
          <w:p w14:paraId="64C10733">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是否开工建设</w:t>
            </w:r>
          </w:p>
        </w:tc>
        <w:tc>
          <w:tcPr>
            <w:tcW w:w="2201" w:type="dxa"/>
            <w:noWrap w:val="0"/>
            <w:vAlign w:val="center"/>
          </w:tcPr>
          <w:p w14:paraId="47770093">
            <w:pPr>
              <w:adjustRightInd w:val="0"/>
              <w:snapToGri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6"/>
                <w:sz w:val="24"/>
                <w:szCs w:val="21"/>
                <w:highlight w:val="none"/>
                <w:lang w:eastAsia="zh-CN"/>
              </w:rPr>
              <w:t>☑</w:t>
            </w:r>
            <w:r>
              <w:rPr>
                <w:rFonts w:hint="default" w:ascii="Times New Roman" w:hAnsi="Times New Roman" w:eastAsia="宋体" w:cs="Times New Roman"/>
                <w:color w:val="auto"/>
                <w:szCs w:val="21"/>
                <w:highlight w:val="none"/>
              </w:rPr>
              <w:t>否</w:t>
            </w:r>
          </w:p>
          <w:p w14:paraId="3952AB0F">
            <w:pPr>
              <w:adjustRightInd w:val="0"/>
              <w:snapToGrid w:val="0"/>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pacing w:val="-6"/>
                <w:sz w:val="24"/>
                <w:szCs w:val="21"/>
                <w:highlight w:val="none"/>
                <w:lang w:eastAsia="zh-CN"/>
              </w:rPr>
              <w:t>□</w:t>
            </w:r>
            <w:r>
              <w:rPr>
                <w:rFonts w:hint="default" w:ascii="Times New Roman" w:hAnsi="Times New Roman" w:eastAsia="宋体" w:cs="Times New Roman"/>
                <w:color w:val="auto"/>
                <w:szCs w:val="21"/>
                <w:highlight w:val="none"/>
              </w:rPr>
              <w:t>是：</w:t>
            </w:r>
            <w:r>
              <w:rPr>
                <w:rFonts w:hint="default" w:ascii="Times New Roman" w:hAnsi="Times New Roman" w:eastAsia="宋体" w:cs="Times New Roman"/>
                <w:color w:val="auto"/>
                <w:szCs w:val="21"/>
                <w:highlight w:val="none"/>
                <w:u w:val="single"/>
              </w:rPr>
              <w:t xml:space="preserve">         </w:t>
            </w:r>
          </w:p>
        </w:tc>
        <w:tc>
          <w:tcPr>
            <w:tcW w:w="1900" w:type="dxa"/>
            <w:noWrap w:val="0"/>
            <w:tcMar>
              <w:top w:w="16" w:type="dxa"/>
              <w:left w:w="16" w:type="dxa"/>
              <w:right w:w="16" w:type="dxa"/>
            </w:tcMar>
            <w:vAlign w:val="center"/>
          </w:tcPr>
          <w:p w14:paraId="6B56AE5F">
            <w:pPr>
              <w:adjustRightInd w:val="0"/>
              <w:snapToGrid w:val="0"/>
              <w:jc w:val="center"/>
              <w:rPr>
                <w:rFonts w:hint="default" w:ascii="Times New Roman" w:hAnsi="Times New Roman" w:eastAsia="宋体" w:cs="Times New Roman"/>
                <w:color w:val="auto"/>
                <w:spacing w:val="-6"/>
                <w:szCs w:val="21"/>
                <w:highlight w:val="none"/>
              </w:rPr>
            </w:pPr>
            <w:r>
              <w:rPr>
                <w:rFonts w:hint="default" w:ascii="Times New Roman" w:hAnsi="Times New Roman" w:eastAsia="宋体" w:cs="Times New Roman"/>
                <w:color w:val="auto"/>
                <w:spacing w:val="-6"/>
                <w:szCs w:val="21"/>
                <w:highlight w:val="none"/>
              </w:rPr>
              <w:t>用地（用海）</w:t>
            </w:r>
          </w:p>
          <w:p w14:paraId="127B8680">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6"/>
                <w:szCs w:val="21"/>
                <w:highlight w:val="none"/>
              </w:rPr>
              <w:t>面积（</w:t>
            </w:r>
            <w:bookmarkStart w:id="3" w:name="OLE_LINK4"/>
            <w:r>
              <w:rPr>
                <w:rFonts w:hint="default" w:ascii="Times New Roman" w:hAnsi="Times New Roman" w:eastAsia="宋体" w:cs="Times New Roman"/>
                <w:color w:val="auto"/>
                <w:spacing w:val="-6"/>
                <w:szCs w:val="21"/>
                <w:highlight w:val="none"/>
              </w:rPr>
              <w:t>m</w:t>
            </w:r>
            <w:r>
              <w:rPr>
                <w:rFonts w:hint="default" w:ascii="Times New Roman" w:hAnsi="Times New Roman" w:eastAsia="宋体" w:cs="Times New Roman"/>
                <w:color w:val="auto"/>
                <w:spacing w:val="-6"/>
                <w:szCs w:val="21"/>
                <w:highlight w:val="none"/>
                <w:vertAlign w:val="superscript"/>
              </w:rPr>
              <w:t>2</w:t>
            </w:r>
            <w:bookmarkEnd w:id="3"/>
            <w:r>
              <w:rPr>
                <w:rFonts w:hint="default" w:ascii="Times New Roman" w:hAnsi="Times New Roman" w:eastAsia="宋体" w:cs="Times New Roman"/>
                <w:color w:val="auto"/>
                <w:spacing w:val="-6"/>
                <w:szCs w:val="21"/>
                <w:highlight w:val="none"/>
              </w:rPr>
              <w:t>）</w:t>
            </w:r>
          </w:p>
        </w:tc>
        <w:tc>
          <w:tcPr>
            <w:tcW w:w="2755" w:type="dxa"/>
            <w:noWrap w:val="0"/>
            <w:vAlign w:val="center"/>
          </w:tcPr>
          <w:p w14:paraId="6EFF9612">
            <w:pPr>
              <w:adjustRightInd w:val="0"/>
              <w:snapToGrid w:val="0"/>
              <w:jc w:val="center"/>
              <w:rPr>
                <w:rFonts w:hint="default" w:ascii="Times New Roman" w:hAnsi="Times New Roman" w:eastAsia="宋体" w:cs="Times New Roman"/>
                <w:color w:val="auto"/>
                <w:szCs w:val="21"/>
                <w:highlight w:val="none"/>
                <w:lang w:val="en-US"/>
              </w:rPr>
            </w:pPr>
            <w:bookmarkStart w:id="10" w:name="_GoBack"/>
            <w:bookmarkEnd w:id="10"/>
          </w:p>
        </w:tc>
      </w:tr>
      <w:tr w14:paraId="7FD29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92" w:type="dxa"/>
            <w:gridSpan w:val="2"/>
            <w:noWrap w:val="0"/>
            <w:vAlign w:val="center"/>
          </w:tcPr>
          <w:p w14:paraId="6EAD60B3">
            <w:pPr>
              <w:keepNext w:val="0"/>
              <w:keepLines w:val="0"/>
              <w:pageBreakBefore w:val="0"/>
              <w:widowControl/>
              <w:kinsoku/>
              <w:wordWrap/>
              <w:overflowPunct/>
              <w:topLinePunct w:val="0"/>
              <w:autoSpaceDE w:val="0"/>
              <w:autoSpaceDN w:val="0"/>
              <w:bidi w:val="0"/>
              <w:adjustRightInd w:val="0"/>
              <w:snapToGrid w:val="0"/>
              <w:ind w:left="-120" w:leftChars="-50" w:right="-120" w:rightChars="-5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pacing w:val="-6"/>
                <w:sz w:val="24"/>
                <w:szCs w:val="21"/>
              </w:rPr>
              <w:t>专项评价设置情况</w:t>
            </w:r>
          </w:p>
        </w:tc>
        <w:tc>
          <w:tcPr>
            <w:tcW w:w="6856" w:type="dxa"/>
            <w:gridSpan w:val="3"/>
            <w:noWrap w:val="0"/>
            <w:vAlign w:val="center"/>
          </w:tcPr>
          <w:p w14:paraId="5532E866">
            <w:pPr>
              <w:autoSpaceDE w:val="0"/>
              <w:autoSpaceDN w:val="0"/>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无</w:t>
            </w:r>
          </w:p>
        </w:tc>
      </w:tr>
      <w:tr w14:paraId="08CDF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992" w:type="dxa"/>
            <w:gridSpan w:val="2"/>
            <w:noWrap w:val="0"/>
            <w:vAlign w:val="center"/>
          </w:tcPr>
          <w:p w14:paraId="38C66BA0">
            <w:pPr>
              <w:autoSpaceDE w:val="0"/>
              <w:autoSpaceDN w:val="0"/>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规划情况</w:t>
            </w:r>
          </w:p>
        </w:tc>
        <w:tc>
          <w:tcPr>
            <w:tcW w:w="6856" w:type="dxa"/>
            <w:gridSpan w:val="3"/>
            <w:noWrap w:val="0"/>
            <w:vAlign w:val="center"/>
          </w:tcPr>
          <w:p w14:paraId="37284C8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规划名称：《塔城地区和丰工业园区国土空间专项规划修编(2024-2035年)》</w:t>
            </w:r>
          </w:p>
          <w:p w14:paraId="280468E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规划审批部门：</w:t>
            </w:r>
            <w:r>
              <w:rPr>
                <w:rFonts w:hint="eastAsia" w:ascii="Times New Roman" w:hAnsi="Times New Roman" w:cs="Times New Roman"/>
                <w:color w:val="auto"/>
                <w:szCs w:val="21"/>
                <w:highlight w:val="none"/>
                <w:lang w:eastAsia="zh-CN"/>
              </w:rPr>
              <w:t>和布克赛尔蒙古自治县</w:t>
            </w:r>
            <w:r>
              <w:rPr>
                <w:rFonts w:hint="default" w:ascii="Times New Roman" w:hAnsi="Times New Roman" w:eastAsia="宋体" w:cs="Times New Roman"/>
                <w:color w:val="auto"/>
                <w:szCs w:val="21"/>
                <w:highlight w:val="none"/>
                <w:lang w:eastAsia="zh-CN"/>
              </w:rPr>
              <w:t>人民政府办公室</w:t>
            </w:r>
          </w:p>
          <w:p w14:paraId="48DBDD6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highlight w:val="none"/>
                <w:lang w:val="en-US" w:eastAsia="zh-CN"/>
              </w:rPr>
              <w:t>审批文件名称及文号：</w:t>
            </w:r>
            <w:r>
              <w:rPr>
                <w:rFonts w:hint="default" w:ascii="Times New Roman" w:hAnsi="Times New Roman" w:eastAsia="宋体" w:cs="Times New Roman"/>
                <w:color w:val="auto"/>
                <w:szCs w:val="21"/>
                <w:highlight w:val="none"/>
                <w:lang w:eastAsia="zh-CN"/>
              </w:rPr>
              <w:t>《关于审批</w:t>
            </w:r>
            <w:r>
              <w:rPr>
                <w:rFonts w:hint="default" w:ascii="Times New Roman" w:hAnsi="Times New Roman" w:eastAsia="宋体" w:cs="Times New Roman"/>
                <w:color w:val="auto"/>
                <w:szCs w:val="21"/>
                <w:highlight w:val="none"/>
                <w:lang w:val="en-US" w:eastAsia="zh-CN"/>
              </w:rPr>
              <w:t>&lt;</w:t>
            </w:r>
            <w:r>
              <w:rPr>
                <w:rFonts w:hint="default" w:ascii="Times New Roman" w:hAnsi="Times New Roman" w:eastAsia="宋体" w:cs="Times New Roman"/>
                <w:color w:val="auto"/>
                <w:szCs w:val="21"/>
                <w:highlight w:val="none"/>
                <w:lang w:eastAsia="zh-CN"/>
              </w:rPr>
              <w:t>塔城地区和丰工业园区国土空间专项规划修编(2024-2035年)</w:t>
            </w:r>
            <w:r>
              <w:rPr>
                <w:rFonts w:hint="default" w:ascii="Times New Roman" w:hAnsi="Times New Roman" w:eastAsia="宋体" w:cs="Times New Roman"/>
                <w:color w:val="auto"/>
                <w:szCs w:val="21"/>
                <w:highlight w:val="none"/>
                <w:lang w:val="en-US" w:eastAsia="zh-CN"/>
              </w:rPr>
              <w:t>&gt;</w:t>
            </w:r>
            <w:r>
              <w:rPr>
                <w:rFonts w:hint="default" w:ascii="Times New Roman" w:hAnsi="Times New Roman" w:eastAsia="宋体" w:cs="Times New Roman"/>
                <w:color w:val="auto"/>
                <w:szCs w:val="21"/>
                <w:highlight w:val="none"/>
                <w:lang w:eastAsia="zh-CN"/>
              </w:rPr>
              <w:t>的批复》</w:t>
            </w:r>
            <w:r>
              <w:rPr>
                <w:rFonts w:hint="default" w:ascii="Times New Roman" w:hAnsi="Times New Roman" w:eastAsia="宋体" w:cs="Times New Roman"/>
                <w:color w:val="auto"/>
                <w:szCs w:val="21"/>
                <w:highlight w:val="none"/>
                <w:lang w:val="en-US" w:eastAsia="zh-CN"/>
              </w:rPr>
              <w:t>2025年1月20日</w:t>
            </w:r>
          </w:p>
        </w:tc>
      </w:tr>
      <w:tr w14:paraId="57637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2" w:type="dxa"/>
            <w:gridSpan w:val="2"/>
            <w:noWrap w:val="0"/>
            <w:vAlign w:val="center"/>
          </w:tcPr>
          <w:p w14:paraId="25DF116B">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规划环境影响</w:t>
            </w:r>
          </w:p>
          <w:p w14:paraId="2C3E637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评价情况</w:t>
            </w:r>
          </w:p>
        </w:tc>
        <w:tc>
          <w:tcPr>
            <w:tcW w:w="6856" w:type="dxa"/>
            <w:gridSpan w:val="3"/>
            <w:noWrap w:val="0"/>
            <w:vAlign w:val="center"/>
          </w:tcPr>
          <w:p w14:paraId="5F7562A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规划环境影响评价文件名称：《塔城地区和丰工业园国土空间专项规划修编(2024-2035年)环境影响报告书》</w:t>
            </w:r>
          </w:p>
          <w:p w14:paraId="723433C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召集审查机关：和丰工业园区规划建设和生态环境局</w:t>
            </w:r>
          </w:p>
          <w:p w14:paraId="11BA0E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审查文件名称：《关于</w:t>
            </w:r>
            <w:r>
              <w:rPr>
                <w:rFonts w:hint="default" w:ascii="Times New Roman" w:hAnsi="Times New Roman" w:eastAsia="宋体" w:cs="Times New Roman"/>
                <w:color w:val="auto"/>
                <w:szCs w:val="21"/>
                <w:highlight w:val="none"/>
                <w:lang w:val="en-US" w:eastAsia="zh-CN"/>
              </w:rPr>
              <w:t>&lt;</w:t>
            </w:r>
            <w:r>
              <w:rPr>
                <w:rFonts w:hint="default" w:ascii="Times New Roman" w:hAnsi="Times New Roman" w:eastAsia="宋体" w:cs="Times New Roman"/>
                <w:color w:val="auto"/>
                <w:szCs w:val="21"/>
                <w:highlight w:val="none"/>
                <w:lang w:eastAsia="zh-CN"/>
              </w:rPr>
              <w:t>塔城地区和丰工业园国土空间专项规划修编(2024-2035年)环境影响报告书</w:t>
            </w:r>
            <w:r>
              <w:rPr>
                <w:rFonts w:hint="default" w:ascii="Times New Roman" w:hAnsi="Times New Roman" w:eastAsia="宋体" w:cs="Times New Roman"/>
                <w:color w:val="auto"/>
                <w:szCs w:val="21"/>
                <w:highlight w:val="none"/>
                <w:lang w:val="en-US" w:eastAsia="zh-CN"/>
              </w:rPr>
              <w:t>&gt;</w:t>
            </w:r>
            <w:r>
              <w:rPr>
                <w:rFonts w:hint="default" w:ascii="Times New Roman" w:hAnsi="Times New Roman" w:eastAsia="宋体" w:cs="Times New Roman"/>
                <w:color w:val="auto"/>
                <w:szCs w:val="21"/>
                <w:highlight w:val="none"/>
                <w:lang w:eastAsia="zh-CN"/>
              </w:rPr>
              <w:t>的审查意见》</w:t>
            </w:r>
          </w:p>
          <w:p w14:paraId="528B95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lang w:eastAsia="zh-CN"/>
              </w:rPr>
              <w:t>文号：新环审〔20</w:t>
            </w:r>
            <w:r>
              <w:rPr>
                <w:rFonts w:hint="default" w:ascii="Times New Roman" w:hAnsi="Times New Roman" w:eastAsia="宋体" w:cs="Times New Roman"/>
                <w:color w:val="auto"/>
                <w:szCs w:val="21"/>
                <w:highlight w:val="none"/>
                <w:lang w:val="en-US" w:eastAsia="zh-CN"/>
              </w:rPr>
              <w:t>24</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195</w:t>
            </w:r>
            <w:r>
              <w:rPr>
                <w:rFonts w:hint="default" w:ascii="Times New Roman" w:hAnsi="Times New Roman" w:eastAsia="宋体" w:cs="Times New Roman"/>
                <w:color w:val="auto"/>
                <w:szCs w:val="21"/>
                <w:highlight w:val="none"/>
                <w:lang w:eastAsia="zh-CN"/>
              </w:rPr>
              <w:t>号</w:t>
            </w:r>
          </w:p>
        </w:tc>
      </w:tr>
      <w:tr w14:paraId="473FB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2" w:hRule="atLeast"/>
          <w:jc w:val="center"/>
        </w:trPr>
        <w:tc>
          <w:tcPr>
            <w:tcW w:w="856" w:type="dxa"/>
            <w:noWrap w:val="0"/>
            <w:vAlign w:val="center"/>
          </w:tcPr>
          <w:p w14:paraId="1986C046">
            <w:pPr>
              <w:autoSpaceDE w:val="0"/>
              <w:autoSpaceDN w:val="0"/>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规划及规划环境影响评价符合性分析</w:t>
            </w:r>
          </w:p>
        </w:tc>
        <w:tc>
          <w:tcPr>
            <w:tcW w:w="7992" w:type="dxa"/>
            <w:gridSpan w:val="4"/>
            <w:noWrap w:val="0"/>
            <w:vAlign w:val="center"/>
          </w:tcPr>
          <w:p w14:paraId="29CE83B3">
            <w:pPr>
              <w:autoSpaceDE w:val="0"/>
              <w:autoSpaceDN w:val="0"/>
              <w:adjustRightInd w:val="0"/>
              <w:snapToGrid w:val="0"/>
              <w:spacing w:line="36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w:t>
            </w:r>
            <w:r>
              <w:rPr>
                <w:rFonts w:hint="default" w:ascii="Times New Roman" w:hAnsi="Times New Roman" w:eastAsia="宋体" w:cs="Times New Roman"/>
                <w:b/>
                <w:bCs/>
                <w:color w:val="auto"/>
                <w:highlight w:val="none"/>
                <w:lang w:eastAsia="zh-CN"/>
              </w:rPr>
              <w:t>园区</w:t>
            </w:r>
            <w:r>
              <w:rPr>
                <w:rFonts w:hint="default" w:ascii="Times New Roman" w:hAnsi="Times New Roman" w:eastAsia="宋体" w:cs="Times New Roman"/>
                <w:b/>
                <w:bCs/>
                <w:color w:val="auto"/>
                <w:highlight w:val="none"/>
              </w:rPr>
              <w:t>规划符合性分析</w:t>
            </w:r>
          </w:p>
          <w:p w14:paraId="702D42E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2025年8月29日，和布克赛尔蒙古自治县批复了《塔城和丰工业园区总体规划修编(2024-2035年)》(和政办函</w:t>
            </w:r>
            <w:r>
              <w:rPr>
                <w:rFonts w:hint="eastAsia" w:ascii="Times New Roman" w:hAnsi="Times New Roman" w:cs="Times New Roman"/>
                <w:color w:val="auto"/>
                <w:szCs w:val="21"/>
                <w:highlight w:val="none"/>
                <w:lang w:eastAsia="zh-CN"/>
              </w:rPr>
              <w:t>〔2025〕198号</w:t>
            </w:r>
            <w:r>
              <w:rPr>
                <w:rFonts w:hint="default" w:ascii="Times New Roman" w:hAnsi="Times New Roman" w:eastAsia="宋体" w:cs="Times New Roman"/>
                <w:color w:val="auto"/>
                <w:szCs w:val="21"/>
                <w:highlight w:val="none"/>
                <w:lang w:eastAsia="zh-CN"/>
              </w:rPr>
              <w:t>)，具体内容如下：</w:t>
            </w:r>
          </w:p>
          <w:p w14:paraId="37B0D06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一、规划年限规划期限为2024-2035年，其中</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eastAsia="zh-CN"/>
              </w:rPr>
              <w:t>近期为2024-2030年，远期为2031-2035。</w:t>
            </w:r>
          </w:p>
          <w:p w14:paraId="5217F26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二、规划范围规划范围为赛尔北一路、和布克三路、赛尔南二路、和布克一路围合的区域与南部庆华集团新疆和丰能源化工有限公司用地范围，总用地面积为10平方公里。</w:t>
            </w:r>
          </w:p>
          <w:p w14:paraId="3CBBB15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三、功能定位</w:t>
            </w:r>
          </w:p>
          <w:p w14:paraId="470BCAE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规划将园区打造为自治区优势资源转换的平台、新型工业化重要基地、国际资源加工基地、飞地园区、共建园区、示范园区的一个平台、两个基地、一个示范区的新疆第一绿色示范园区构建以现代煤化工、石油化工、硅化工、盐化工(适度发展)为核心产业及新能源、新材料、装备制造产业和信息、配套服务产业等为一体的产业体系，依托和丰工业园增量配电网，跟随和承接阿勒泰地区清洁能源产业的溢出，引进大数据、新能源制氢项目，积极发展清洁能源产业，以晶硅光伏发电为主。优先发展具有竞争优势的现代煤化工产业，以煤直接液化、煤间接液化、煤制天然气、煤制烯烃、煤制乙二醇等产品为重点，兼顾煤炭分质利用、煤制芳烃等行业的发展;大力发展石油化工产业的烯烃下游产品和煤化工副产品的深加工，特别是合成树脂、工程塑料新材料等；重点发展硅化工产业，主要发展硅化工产业的下游产品有机硅、</w:t>
            </w:r>
            <w:r>
              <w:rPr>
                <w:rFonts w:hint="eastAsia" w:ascii="Times New Roman" w:hAnsi="Times New Roman" w:cs="Times New Roman"/>
                <w:color w:val="auto"/>
                <w:szCs w:val="21"/>
                <w:highlight w:val="none"/>
                <w:lang w:eastAsia="zh-CN"/>
              </w:rPr>
              <w:t>多晶硅</w:t>
            </w:r>
            <w:r>
              <w:rPr>
                <w:rFonts w:hint="default" w:ascii="Times New Roman" w:hAnsi="Times New Roman" w:eastAsia="宋体" w:cs="Times New Roman"/>
                <w:color w:val="auto"/>
                <w:szCs w:val="21"/>
                <w:highlight w:val="none"/>
                <w:lang w:eastAsia="zh-CN"/>
              </w:rPr>
              <w:t>、铝硅合金；盐化工产业以适度发展为宜，以精细化工产品、新材料产品为方向，发展高附加值产品。</w:t>
            </w:r>
          </w:p>
          <w:p w14:paraId="0C3A16E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本项目</w:t>
            </w:r>
            <w:r>
              <w:rPr>
                <w:rFonts w:hint="default" w:ascii="Times New Roman" w:hAnsi="Times New Roman" w:eastAsia="宋体" w:cs="Times New Roman"/>
                <w:color w:val="auto"/>
                <w:szCs w:val="21"/>
                <w:highlight w:val="none"/>
                <w:lang w:val="en-US" w:eastAsia="zh-CN"/>
              </w:rPr>
              <w:t>为</w:t>
            </w:r>
            <w:r>
              <w:rPr>
                <w:rFonts w:hint="default" w:ascii="Times New Roman" w:hAnsi="Times New Roman" w:eastAsia="宋体" w:cs="Times New Roman"/>
                <w:color w:val="auto"/>
                <w:szCs w:val="21"/>
                <w:highlight w:val="none"/>
                <w:lang w:eastAsia="zh-CN"/>
              </w:rPr>
              <w:t>石英砂深加工项目，</w:t>
            </w:r>
            <w:r>
              <w:rPr>
                <w:rFonts w:hint="default" w:ascii="Times New Roman" w:hAnsi="Times New Roman" w:eastAsia="宋体" w:cs="Times New Roman"/>
                <w:color w:val="auto"/>
                <w:szCs w:val="21"/>
                <w:highlight w:val="none"/>
                <w:lang w:val="en-US" w:eastAsia="zh-CN"/>
              </w:rPr>
              <w:t>属于</w:t>
            </w:r>
            <w:r>
              <w:rPr>
                <w:rFonts w:hint="default" w:ascii="Times New Roman" w:hAnsi="Times New Roman" w:eastAsia="宋体" w:cs="Times New Roman"/>
                <w:color w:val="auto"/>
                <w:szCs w:val="21"/>
                <w:highlight w:val="none"/>
                <w:lang w:eastAsia="zh-CN"/>
              </w:rPr>
              <w:t>其他非金属矿物制品制造</w:t>
            </w:r>
            <w:r>
              <w:rPr>
                <w:rFonts w:hint="default" w:ascii="Times New Roman" w:hAnsi="Times New Roman" w:eastAsia="宋体" w:cs="Times New Roman"/>
                <w:color w:val="auto"/>
                <w:szCs w:val="21"/>
                <w:highlight w:val="none"/>
                <w:lang w:val="en-US" w:eastAsia="zh-CN"/>
              </w:rPr>
              <w:t>业，通过将石英砂</w:t>
            </w:r>
            <w:r>
              <w:rPr>
                <w:rFonts w:hint="eastAsia" w:ascii="Times New Roman" w:hAnsi="Times New Roman" w:eastAsia="宋体" w:cs="Times New Roman"/>
                <w:color w:val="auto"/>
                <w:szCs w:val="21"/>
                <w:highlight w:val="none"/>
                <w:lang w:val="en-US" w:eastAsia="zh-CN"/>
              </w:rPr>
              <w:t>研磨</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筛分</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eastAsia="zh-CN"/>
              </w:rPr>
              <w:t>板式磁选机初选</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eastAsia="zh-CN"/>
              </w:rPr>
              <w:t>分级桶分级</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eastAsia="zh-CN"/>
              </w:rPr>
              <w:t>螺旋溜槽重选</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eastAsia="zh-CN"/>
              </w:rPr>
              <w:t>电磁磁选机精选</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eastAsia="zh-CN"/>
              </w:rPr>
              <w:t>脱水筛脱水</w:t>
            </w:r>
            <w:r>
              <w:rPr>
                <w:rFonts w:hint="default" w:ascii="Times New Roman" w:hAnsi="Times New Roman" w:eastAsia="宋体" w:cs="Times New Roman"/>
                <w:color w:val="auto"/>
                <w:szCs w:val="21"/>
                <w:highlight w:val="none"/>
                <w:lang w:val="en-US" w:eastAsia="zh-CN"/>
              </w:rPr>
              <w:t>得到</w:t>
            </w:r>
            <w:r>
              <w:rPr>
                <w:rFonts w:hint="eastAsia" w:ascii="Times New Roman" w:hAnsi="Times New Roman" w:cs="Times New Roman"/>
                <w:color w:val="auto"/>
                <w:szCs w:val="21"/>
                <w:highlight w:val="none"/>
                <w:lang w:val="en-US" w:eastAsia="zh-CN"/>
              </w:rPr>
              <w:t>水洗石英砂</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水洗石英砂经烘干机烘干、方形摇摆筛分选后得到各类目数的板材石英砂</w:t>
            </w:r>
            <w:r>
              <w:rPr>
                <w:rFonts w:hint="default" w:ascii="Times New Roman" w:hAnsi="Times New Roman" w:eastAsia="宋体" w:cs="Times New Roman"/>
                <w:color w:val="auto"/>
                <w:szCs w:val="21"/>
                <w:highlight w:val="none"/>
                <w:lang w:val="en-US" w:eastAsia="zh-CN"/>
              </w:rPr>
              <w:t>。项目所在位置为园区规划的新型建材和装备制造产业区，项目用地为规划的三类工业用地。</w:t>
            </w:r>
          </w:p>
          <w:p w14:paraId="55F09A5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本项目符合《塔城和丰工业园区总体规划修编(2024-2035年)》土地利用与产业布局。</w:t>
            </w:r>
          </w:p>
          <w:p w14:paraId="37494173">
            <w:pPr>
              <w:autoSpaceDE w:val="0"/>
              <w:autoSpaceDN w:val="0"/>
              <w:adjustRightInd w:val="0"/>
              <w:snapToGrid w:val="0"/>
              <w:spacing w:line="36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2、规划环评及规划环评审查意见符合性</w:t>
            </w:r>
          </w:p>
          <w:p w14:paraId="2A759EE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《关于新疆</w:t>
            </w:r>
            <w:r>
              <w:rPr>
                <w:rFonts w:hint="eastAsia" w:ascii="Times New Roman" w:hAnsi="Times New Roman" w:cs="Times New Roman"/>
                <w:color w:val="auto"/>
                <w:highlight w:val="none"/>
                <w:lang w:eastAsia="zh-CN"/>
              </w:rPr>
              <w:t>和布克赛尔蒙古自治县</w:t>
            </w:r>
            <w:r>
              <w:rPr>
                <w:rFonts w:hint="default" w:ascii="Times New Roman" w:hAnsi="Times New Roman" w:eastAsia="宋体" w:cs="Times New Roman"/>
                <w:color w:val="auto"/>
                <w:highlight w:val="none"/>
              </w:rPr>
              <w:t>工业园区总体规划环境影响报告书的审查意见》（新环评价函〔2011〕814号）中的主要审查意见如下：</w:t>
            </w:r>
          </w:p>
          <w:p w14:paraId="6D32A11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项目生产过程中的废气主要为粉尘，</w:t>
            </w:r>
            <w:r>
              <w:rPr>
                <w:rFonts w:hint="eastAsia" w:ascii="Times New Roman" w:hAnsi="Times New Roman" w:cs="Times New Roman"/>
                <w:color w:val="auto"/>
                <w:highlight w:val="none"/>
                <w:lang w:val="en-US" w:eastAsia="zh-CN"/>
              </w:rPr>
              <w:t>生产</w:t>
            </w:r>
            <w:r>
              <w:rPr>
                <w:rFonts w:hint="default" w:ascii="Times New Roman" w:hAnsi="Times New Roman" w:eastAsia="宋体" w:cs="Times New Roman"/>
                <w:color w:val="auto"/>
                <w:highlight w:val="none"/>
                <w:lang w:eastAsia="zh-CN"/>
              </w:rPr>
              <w:t>废水</w:t>
            </w:r>
            <w:r>
              <w:rPr>
                <w:rFonts w:hint="default" w:ascii="Times New Roman" w:hAnsi="Times New Roman" w:eastAsia="宋体" w:cs="Times New Roman"/>
                <w:color w:val="auto"/>
                <w:highlight w:val="none"/>
                <w:lang w:val="en-US" w:eastAsia="zh-CN"/>
              </w:rPr>
              <w:t>经厂</w:t>
            </w:r>
            <w:r>
              <w:rPr>
                <w:rFonts w:hint="eastAsia" w:ascii="Times New Roman" w:hAnsi="Times New Roman" w:cs="Times New Roman"/>
                <w:color w:val="auto"/>
                <w:highlight w:val="none"/>
                <w:lang w:val="en-US" w:eastAsia="zh-CN"/>
              </w:rPr>
              <w:t>内</w:t>
            </w:r>
            <w:r>
              <w:rPr>
                <w:rFonts w:hint="default" w:ascii="Times New Roman" w:hAnsi="Times New Roman" w:eastAsia="宋体" w:cs="Times New Roman"/>
                <w:color w:val="auto"/>
                <w:highlight w:val="none"/>
                <w:lang w:val="en-US" w:eastAsia="zh-CN"/>
              </w:rPr>
              <w:t>污水处理</w:t>
            </w:r>
            <w:r>
              <w:rPr>
                <w:rFonts w:hint="eastAsia" w:ascii="Times New Roman" w:hAnsi="Times New Roman" w:cs="Times New Roman"/>
                <w:color w:val="auto"/>
                <w:highlight w:val="none"/>
                <w:lang w:val="en-US" w:eastAsia="zh-CN"/>
              </w:rPr>
              <w:t>设施</w:t>
            </w:r>
            <w:r>
              <w:rPr>
                <w:rFonts w:hint="default" w:ascii="Times New Roman" w:hAnsi="Times New Roman" w:eastAsia="宋体" w:cs="Times New Roman"/>
                <w:color w:val="auto"/>
                <w:highlight w:val="none"/>
                <w:lang w:val="en-US" w:eastAsia="zh-CN"/>
              </w:rPr>
              <w:t>处理后全部回用，</w:t>
            </w:r>
            <w:r>
              <w:rPr>
                <w:rFonts w:hint="default" w:ascii="Times New Roman" w:hAnsi="Times New Roman" w:eastAsia="宋体" w:cs="Times New Roman"/>
                <w:color w:val="auto"/>
                <w:highlight w:val="none"/>
              </w:rPr>
              <w:t>采取相应的治理措施后可达标排放。同时项目建立相应的环境管理制度和应急预案。故项目建设符合园区规划环评的相关要求。</w:t>
            </w:r>
          </w:p>
          <w:p w14:paraId="194C6160">
            <w:pPr>
              <w:autoSpaceDE w:val="0"/>
              <w:autoSpaceDN w:val="0"/>
              <w:adjustRightInd w:val="0"/>
              <w:snapToGrid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表1-1与</w:t>
            </w:r>
            <w:r>
              <w:rPr>
                <w:rFonts w:hint="default" w:ascii="Times New Roman" w:hAnsi="Times New Roman" w:eastAsia="宋体" w:cs="Times New Roman"/>
                <w:b/>
                <w:bCs/>
                <w:color w:val="auto"/>
                <w:sz w:val="21"/>
                <w:szCs w:val="21"/>
                <w:highlight w:val="none"/>
              </w:rPr>
              <w:t>新疆</w:t>
            </w:r>
            <w:r>
              <w:rPr>
                <w:rFonts w:hint="eastAsia" w:ascii="Times New Roman" w:hAnsi="Times New Roman" w:cs="Times New Roman"/>
                <w:b/>
                <w:bCs/>
                <w:color w:val="auto"/>
                <w:sz w:val="21"/>
                <w:szCs w:val="21"/>
                <w:highlight w:val="none"/>
                <w:lang w:eastAsia="zh-CN"/>
              </w:rPr>
              <w:t>和布克赛尔蒙古自治县</w:t>
            </w:r>
            <w:r>
              <w:rPr>
                <w:rFonts w:hint="default" w:ascii="Times New Roman" w:hAnsi="Times New Roman" w:eastAsia="宋体" w:cs="Times New Roman"/>
                <w:b/>
                <w:bCs/>
                <w:color w:val="auto"/>
                <w:sz w:val="21"/>
                <w:szCs w:val="21"/>
                <w:highlight w:val="none"/>
              </w:rPr>
              <w:t>工业园区总体规划环境影响报告书</w:t>
            </w:r>
            <w:r>
              <w:rPr>
                <w:rFonts w:hint="eastAsia" w:ascii="Times New Roman" w:hAnsi="Times New Roman" w:eastAsia="宋体" w:cs="Times New Roman"/>
                <w:b/>
                <w:bCs/>
                <w:color w:val="auto"/>
                <w:sz w:val="21"/>
                <w:szCs w:val="21"/>
                <w:highlight w:val="none"/>
                <w:lang w:val="en-US" w:eastAsia="zh-CN"/>
              </w:rPr>
              <w:t>及</w:t>
            </w:r>
            <w:r>
              <w:rPr>
                <w:rFonts w:hint="default" w:ascii="Times New Roman" w:hAnsi="Times New Roman" w:eastAsia="宋体" w:cs="Times New Roman"/>
                <w:b/>
                <w:bCs/>
                <w:color w:val="auto"/>
                <w:sz w:val="21"/>
                <w:szCs w:val="21"/>
                <w:highlight w:val="none"/>
              </w:rPr>
              <w:t>审查意见符合性</w:t>
            </w:r>
            <w:r>
              <w:rPr>
                <w:rFonts w:hint="eastAsia" w:ascii="Times New Roman" w:hAnsi="Times New Roman" w:eastAsia="宋体" w:cs="Times New Roman"/>
                <w:b/>
                <w:bCs/>
                <w:color w:val="auto"/>
                <w:sz w:val="21"/>
                <w:szCs w:val="21"/>
                <w:highlight w:val="none"/>
                <w:lang w:val="en-US" w:eastAsia="zh-CN"/>
              </w:rPr>
              <w:t>分析</w:t>
            </w:r>
          </w:p>
          <w:tbl>
            <w:tblPr>
              <w:tblStyle w:val="23"/>
              <w:tblW w:w="764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873"/>
              <w:gridCol w:w="2280"/>
              <w:gridCol w:w="735"/>
            </w:tblGrid>
            <w:tr w14:paraId="764269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60" w:type="dxa"/>
                  <w:tcBorders>
                    <w:bottom w:val="single" w:color="auto" w:sz="12" w:space="0"/>
                  </w:tcBorders>
                  <w:noWrap w:val="0"/>
                  <w:vAlign w:val="center"/>
                </w:tcPr>
                <w:p w14:paraId="340673E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3873" w:type="dxa"/>
                  <w:tcBorders>
                    <w:bottom w:val="single" w:color="auto" w:sz="12" w:space="0"/>
                  </w:tcBorders>
                  <w:noWrap w:val="0"/>
                  <w:vAlign w:val="center"/>
                </w:tcPr>
                <w:p w14:paraId="3F83D891">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lang w:val="en-US" w:eastAsia="zh-CN"/>
                    </w:rPr>
                    <w:t>园区规划环评结论及审查意见要求</w:t>
                  </w:r>
                </w:p>
              </w:tc>
              <w:tc>
                <w:tcPr>
                  <w:tcW w:w="2280" w:type="dxa"/>
                  <w:tcBorders>
                    <w:bottom w:val="single" w:color="auto" w:sz="12" w:space="0"/>
                  </w:tcBorders>
                  <w:noWrap w:val="0"/>
                  <w:vAlign w:val="center"/>
                </w:tcPr>
                <w:p w14:paraId="0D6A2EC5">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lang w:val="en-US" w:eastAsia="zh-CN"/>
                    </w:rPr>
                    <w:t>本项目情况</w:t>
                  </w:r>
                </w:p>
              </w:tc>
              <w:tc>
                <w:tcPr>
                  <w:tcW w:w="735" w:type="dxa"/>
                  <w:tcBorders>
                    <w:bottom w:val="single" w:color="auto" w:sz="12" w:space="0"/>
                  </w:tcBorders>
                  <w:noWrap w:val="0"/>
                  <w:vAlign w:val="center"/>
                </w:tcPr>
                <w:p w14:paraId="3C8EC7D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rPr>
                  </w:pPr>
                  <w:r>
                    <w:rPr>
                      <w:rFonts w:hint="default" w:ascii="Times New Roman" w:hAnsi="Times New Roman" w:eastAsia="宋体" w:cs="Times New Roman"/>
                      <w:color w:val="auto"/>
                      <w:sz w:val="21"/>
                      <w:szCs w:val="21"/>
                      <w:highlight w:val="none"/>
                      <w:lang w:val="en-US" w:eastAsia="zh-CN"/>
                    </w:rPr>
                    <w:t>符合性分析</w:t>
                  </w:r>
                </w:p>
              </w:tc>
            </w:tr>
            <w:tr w14:paraId="1F3310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12" w:space="0"/>
                    <w:tl2br w:val="nil"/>
                    <w:tr2bl w:val="nil"/>
                  </w:tcBorders>
                  <w:noWrap w:val="0"/>
                  <w:vAlign w:val="center"/>
                </w:tcPr>
                <w:p w14:paraId="61103748">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3873" w:type="dxa"/>
                  <w:tcBorders>
                    <w:top w:val="single" w:color="auto" w:sz="12" w:space="0"/>
                    <w:tl2br w:val="nil"/>
                    <w:tr2bl w:val="nil"/>
                  </w:tcBorders>
                  <w:noWrap w:val="0"/>
                  <w:vAlign w:val="top"/>
                </w:tcPr>
                <w:p w14:paraId="4AD4A741">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坚持以环境质量改善为核心，遵循环保优先和绿色发展原则，结合当地区域发展特点、资源禀赋以及园区现状企业生产运行情况，进一步优化《规划》产业发展定位，进一步健全土地宏观调控体系，合理控制建设用地开发规模和发展速度，严格按照集约开发的原则，优化土地用地布局，促进产业集聚，提高土地集约利用效率。</w:t>
                  </w:r>
                </w:p>
              </w:tc>
              <w:tc>
                <w:tcPr>
                  <w:tcW w:w="2280" w:type="dxa"/>
                  <w:tcBorders>
                    <w:top w:val="single" w:color="auto" w:sz="12" w:space="0"/>
                    <w:tl2br w:val="nil"/>
                    <w:tr2bl w:val="nil"/>
                  </w:tcBorders>
                  <w:noWrap w:val="0"/>
                  <w:vAlign w:val="top"/>
                </w:tcPr>
                <w:p w14:paraId="31F80F69">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本项目为石英砂深加工项目，</w:t>
                  </w:r>
                  <w:r>
                    <w:rPr>
                      <w:rFonts w:hint="default" w:ascii="Times New Roman" w:hAnsi="Times New Roman" w:eastAsia="宋体" w:cs="Times New Roman"/>
                      <w:color w:val="auto"/>
                      <w:sz w:val="21"/>
                      <w:szCs w:val="21"/>
                      <w:highlight w:val="none"/>
                      <w:vertAlign w:val="baseline"/>
                      <w:lang w:val="en-US" w:eastAsia="zh-CN"/>
                    </w:rPr>
                    <w:t>属于</w:t>
                  </w:r>
                  <w:r>
                    <w:rPr>
                      <w:rFonts w:hint="default" w:ascii="Times New Roman" w:hAnsi="Times New Roman" w:eastAsia="宋体" w:cs="Times New Roman"/>
                      <w:color w:val="auto"/>
                      <w:sz w:val="21"/>
                      <w:szCs w:val="21"/>
                      <w:highlight w:val="none"/>
                      <w:vertAlign w:val="baseline"/>
                      <w:lang w:eastAsia="zh-CN"/>
                    </w:rPr>
                    <w:t>其他非金属矿物制品制造</w:t>
                  </w:r>
                  <w:r>
                    <w:rPr>
                      <w:rFonts w:hint="default" w:ascii="Times New Roman" w:hAnsi="Times New Roman" w:eastAsia="宋体" w:cs="Times New Roman"/>
                      <w:color w:val="auto"/>
                      <w:sz w:val="21"/>
                      <w:szCs w:val="21"/>
                      <w:highlight w:val="none"/>
                      <w:vertAlign w:val="baseline"/>
                      <w:lang w:val="en-US" w:eastAsia="zh-CN"/>
                    </w:rPr>
                    <w:t>业，所需原材料供应充足。</w:t>
                  </w:r>
                </w:p>
              </w:tc>
              <w:tc>
                <w:tcPr>
                  <w:tcW w:w="735" w:type="dxa"/>
                  <w:tcBorders>
                    <w:top w:val="single" w:color="auto" w:sz="12" w:space="0"/>
                    <w:tl2br w:val="nil"/>
                    <w:tr2bl w:val="nil"/>
                  </w:tcBorders>
                  <w:noWrap w:val="0"/>
                  <w:vAlign w:val="center"/>
                </w:tcPr>
                <w:p w14:paraId="217A09F3">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符合</w:t>
                  </w:r>
                </w:p>
              </w:tc>
            </w:tr>
            <w:tr w14:paraId="322304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0" w:type="dxa"/>
                  <w:tcBorders>
                    <w:tl2br w:val="nil"/>
                    <w:tr2bl w:val="nil"/>
                  </w:tcBorders>
                  <w:noWrap w:val="0"/>
                  <w:vAlign w:val="center"/>
                </w:tcPr>
                <w:p w14:paraId="22905F4A">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3873" w:type="dxa"/>
                  <w:tcBorders>
                    <w:tl2br w:val="nil"/>
                    <w:tr2bl w:val="nil"/>
                  </w:tcBorders>
                  <w:noWrap w:val="0"/>
                  <w:vAlign w:val="top"/>
                </w:tcPr>
                <w:p w14:paraId="13F23AAD">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加强空间管控，严守生态保护红线。衔接塔城地区“三线一单”生态环境分区管控动态更新成果，严格控制园区开发范围，明确各功能区用地要求，合理开发利用。</w:t>
                  </w:r>
                </w:p>
              </w:tc>
              <w:tc>
                <w:tcPr>
                  <w:tcW w:w="2280" w:type="dxa"/>
                  <w:tcBorders>
                    <w:tl2br w:val="nil"/>
                    <w:tr2bl w:val="nil"/>
                  </w:tcBorders>
                  <w:noWrap w:val="0"/>
                  <w:vAlign w:val="top"/>
                </w:tcPr>
                <w:p w14:paraId="151BEF52">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rPr>
                    <w:t>本项目为国家</w:t>
                  </w:r>
                  <w:r>
                    <w:rPr>
                      <w:rFonts w:hint="default" w:ascii="Times New Roman" w:hAnsi="Times New Roman" w:eastAsia="宋体" w:cs="Times New Roman"/>
                      <w:color w:val="auto"/>
                      <w:sz w:val="21"/>
                      <w:szCs w:val="21"/>
                      <w:highlight w:val="none"/>
                      <w:lang w:eastAsia="zh-CN"/>
                    </w:rPr>
                    <w:t>允许类</w:t>
                  </w:r>
                  <w:r>
                    <w:rPr>
                      <w:rFonts w:hint="default" w:ascii="Times New Roman" w:hAnsi="Times New Roman" w:eastAsia="宋体" w:cs="Times New Roman"/>
                      <w:color w:val="auto"/>
                      <w:sz w:val="21"/>
                      <w:szCs w:val="21"/>
                      <w:highlight w:val="none"/>
                    </w:rPr>
                    <w:t>项目，位于</w:t>
                  </w:r>
                  <w:r>
                    <w:rPr>
                      <w:rFonts w:hint="eastAsia" w:ascii="Times New Roman" w:hAnsi="Times New Roman" w:cs="Times New Roman"/>
                      <w:color w:val="auto"/>
                      <w:sz w:val="21"/>
                      <w:szCs w:val="21"/>
                      <w:highlight w:val="none"/>
                      <w:lang w:eastAsia="zh-CN"/>
                    </w:rPr>
                    <w:t>和布克赛尔蒙古自治县</w:t>
                  </w:r>
                  <w:r>
                    <w:rPr>
                      <w:rFonts w:hint="eastAsia" w:ascii="Times New Roman" w:hAnsi="Times New Roman" w:cs="Times New Roman"/>
                      <w:color w:val="auto"/>
                      <w:sz w:val="21"/>
                      <w:szCs w:val="21"/>
                      <w:highlight w:val="none"/>
                      <w:lang w:val="en-US" w:eastAsia="zh-CN"/>
                    </w:rPr>
                    <w:t>和丰</w:t>
                  </w:r>
                  <w:r>
                    <w:rPr>
                      <w:rFonts w:hint="default" w:ascii="Times New Roman" w:hAnsi="Times New Roman" w:eastAsia="宋体" w:cs="Times New Roman"/>
                      <w:color w:val="auto"/>
                      <w:sz w:val="21"/>
                      <w:szCs w:val="21"/>
                      <w:highlight w:val="none"/>
                    </w:rPr>
                    <w:t>工业园区内，占地类型为工业用地，项目占地不涉及环境敏感目标。</w:t>
                  </w:r>
                </w:p>
              </w:tc>
              <w:tc>
                <w:tcPr>
                  <w:tcW w:w="735" w:type="dxa"/>
                  <w:tcBorders>
                    <w:tl2br w:val="nil"/>
                    <w:tr2bl w:val="nil"/>
                  </w:tcBorders>
                  <w:noWrap w:val="0"/>
                  <w:vAlign w:val="center"/>
                </w:tcPr>
                <w:p w14:paraId="02068841">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符合</w:t>
                  </w:r>
                </w:p>
              </w:tc>
            </w:tr>
            <w:tr w14:paraId="6FE39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60" w:type="dxa"/>
                  <w:tcBorders>
                    <w:tl2br w:val="nil"/>
                    <w:tr2bl w:val="nil"/>
                  </w:tcBorders>
                  <w:noWrap w:val="0"/>
                  <w:vAlign w:val="center"/>
                </w:tcPr>
                <w:p w14:paraId="27365EBB">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3873" w:type="dxa"/>
                  <w:tcBorders>
                    <w:tl2br w:val="nil"/>
                    <w:tr2bl w:val="nil"/>
                  </w:tcBorders>
                  <w:noWrap w:val="0"/>
                  <w:vAlign w:val="top"/>
                </w:tcPr>
                <w:p w14:paraId="552DDDEB">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格管控区域污染物排放总量。严格控制开发强度，优化项目建设时序，落实污染物总量控制、减排任务。采取有效措施减少氮氧化物、颗粒物、挥发性有机物等污染物排放量，各类污染物排放须满足国家及自治区最新污染物排放标准要求。严格落实主要污染物区域削减要求，落实污染物总量控制和减排任务，确保实现区域环境空气质量改善目标，将污染物区域削减纳入日常环境管理工作。</w:t>
                  </w:r>
                </w:p>
              </w:tc>
              <w:tc>
                <w:tcPr>
                  <w:tcW w:w="2280" w:type="dxa"/>
                  <w:tcBorders>
                    <w:tl2br w:val="nil"/>
                    <w:tr2bl w:val="nil"/>
                  </w:tcBorders>
                  <w:noWrap w:val="0"/>
                  <w:vAlign w:val="top"/>
                </w:tcPr>
                <w:p w14:paraId="157616BB">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本项目在采取相应环保措施后，各污染物均可实现达标排放。</w:t>
                  </w:r>
                </w:p>
              </w:tc>
              <w:tc>
                <w:tcPr>
                  <w:tcW w:w="735" w:type="dxa"/>
                  <w:tcBorders>
                    <w:tl2br w:val="nil"/>
                    <w:tr2bl w:val="nil"/>
                  </w:tcBorders>
                  <w:noWrap w:val="0"/>
                  <w:vAlign w:val="center"/>
                </w:tcPr>
                <w:p w14:paraId="37EF8194">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符合</w:t>
                  </w:r>
                </w:p>
              </w:tc>
            </w:tr>
            <w:tr w14:paraId="065ED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760" w:type="dxa"/>
                  <w:tcBorders>
                    <w:tl2br w:val="nil"/>
                    <w:tr2bl w:val="nil"/>
                  </w:tcBorders>
                  <w:noWrap w:val="0"/>
                  <w:vAlign w:val="center"/>
                </w:tcPr>
                <w:p w14:paraId="6081C474">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3873" w:type="dxa"/>
                  <w:tcBorders>
                    <w:tl2br w:val="nil"/>
                    <w:tr2bl w:val="nil"/>
                  </w:tcBorders>
                  <w:noWrap w:val="0"/>
                  <w:vAlign w:val="top"/>
                </w:tcPr>
                <w:p w14:paraId="6034697E">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严格资源利用总量，制定入园产业准入条件。坚持“以水定产、以水定量”</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综合考虑区域水资源、土地资源、环境承载能力，强化生态环境管控、环境风险防范要求，对园区企业实施清单式管理，制定产业发展负面清单，入园企业应符合规划产业定位及功能布局要求，不符合产业政策、行业准入条件、生态环境准入清单及国家、自治区明令禁止的项目一律不得入驻园区。引进项目的生产工艺、设备、污染治理技术，以及单位产品能耗、物耗、污染物排放和资源利用率均需达到同行业国内先进水平。</w:t>
                  </w:r>
                </w:p>
              </w:tc>
              <w:tc>
                <w:tcPr>
                  <w:tcW w:w="2280" w:type="dxa"/>
                  <w:tcBorders>
                    <w:tl2br w:val="nil"/>
                    <w:tr2bl w:val="nil"/>
                  </w:tcBorders>
                  <w:noWrap w:val="0"/>
                  <w:vAlign w:val="top"/>
                </w:tcPr>
                <w:p w14:paraId="51CFDF95">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本项目为石英砂深加工项目，</w:t>
                  </w:r>
                  <w:r>
                    <w:rPr>
                      <w:rFonts w:hint="default" w:ascii="Times New Roman" w:hAnsi="Times New Roman" w:eastAsia="宋体" w:cs="Times New Roman"/>
                      <w:color w:val="auto"/>
                      <w:sz w:val="21"/>
                      <w:szCs w:val="21"/>
                      <w:highlight w:val="none"/>
                      <w:vertAlign w:val="baseline"/>
                      <w:lang w:val="en-US" w:eastAsia="zh-CN"/>
                    </w:rPr>
                    <w:t>属于</w:t>
                  </w:r>
                  <w:r>
                    <w:rPr>
                      <w:rFonts w:hint="default" w:ascii="Times New Roman" w:hAnsi="Times New Roman" w:eastAsia="宋体" w:cs="Times New Roman"/>
                      <w:color w:val="auto"/>
                      <w:sz w:val="21"/>
                      <w:szCs w:val="21"/>
                      <w:highlight w:val="none"/>
                      <w:vertAlign w:val="baseline"/>
                      <w:lang w:eastAsia="zh-CN"/>
                    </w:rPr>
                    <w:t>其他非金属矿物制品制造</w:t>
                  </w:r>
                  <w:r>
                    <w:rPr>
                      <w:rFonts w:hint="default" w:ascii="Times New Roman" w:hAnsi="Times New Roman" w:eastAsia="宋体" w:cs="Times New Roman"/>
                      <w:color w:val="auto"/>
                      <w:sz w:val="21"/>
                      <w:szCs w:val="21"/>
                      <w:highlight w:val="none"/>
                      <w:vertAlign w:val="baseline"/>
                      <w:lang w:val="en-US" w:eastAsia="zh-CN"/>
                    </w:rPr>
                    <w:t>业，</w:t>
                  </w:r>
                  <w:r>
                    <w:rPr>
                      <w:rFonts w:hint="default" w:ascii="Times New Roman" w:hAnsi="Times New Roman" w:eastAsia="宋体" w:cs="Times New Roman"/>
                      <w:b w:val="0"/>
                      <w:bCs w:val="0"/>
                      <w:color w:val="auto"/>
                      <w:sz w:val="21"/>
                      <w:szCs w:val="21"/>
                      <w:highlight w:val="none"/>
                    </w:rPr>
                    <w:t>为国家</w:t>
                  </w:r>
                  <w:r>
                    <w:rPr>
                      <w:rFonts w:hint="default" w:ascii="Times New Roman" w:hAnsi="Times New Roman" w:eastAsia="宋体" w:cs="Times New Roman"/>
                      <w:b w:val="0"/>
                      <w:bCs w:val="0"/>
                      <w:color w:val="auto"/>
                      <w:sz w:val="21"/>
                      <w:szCs w:val="21"/>
                      <w:highlight w:val="none"/>
                      <w:lang w:eastAsia="zh-CN"/>
                    </w:rPr>
                    <w:t>允许类</w:t>
                  </w:r>
                  <w:r>
                    <w:rPr>
                      <w:rFonts w:hint="default" w:ascii="Times New Roman" w:hAnsi="Times New Roman" w:eastAsia="宋体" w:cs="Times New Roman"/>
                      <w:b w:val="0"/>
                      <w:bCs w:val="0"/>
                      <w:color w:val="auto"/>
                      <w:sz w:val="21"/>
                      <w:szCs w:val="21"/>
                      <w:highlight w:val="none"/>
                    </w:rPr>
                    <w:t>项目</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color w:val="auto"/>
                      <w:sz w:val="21"/>
                      <w:szCs w:val="21"/>
                      <w:highlight w:val="none"/>
                      <w:vertAlign w:val="baseline"/>
                    </w:rPr>
                    <w:t>项目资源消耗合理分配，项目用水不会触及资源利用</w:t>
                  </w:r>
                  <w:r>
                    <w:rPr>
                      <w:rFonts w:hint="default" w:ascii="Times New Roman" w:hAnsi="Times New Roman" w:eastAsia="宋体" w:cs="Times New Roman"/>
                      <w:color w:val="auto"/>
                      <w:sz w:val="21"/>
                      <w:szCs w:val="21"/>
                      <w:highlight w:val="none"/>
                      <w:vertAlign w:val="baseline"/>
                      <w:lang w:eastAsia="zh-CN"/>
                    </w:rPr>
                    <w:t>上线</w:t>
                  </w:r>
                  <w:r>
                    <w:rPr>
                      <w:rFonts w:hint="default" w:ascii="Times New Roman" w:hAnsi="Times New Roman" w:eastAsia="宋体" w:cs="Times New Roman"/>
                      <w:color w:val="auto"/>
                      <w:sz w:val="21"/>
                      <w:szCs w:val="21"/>
                      <w:highlight w:val="none"/>
                      <w:vertAlign w:val="baseline"/>
                    </w:rPr>
                    <w:t>。</w:t>
                  </w:r>
                </w:p>
              </w:tc>
              <w:tc>
                <w:tcPr>
                  <w:tcW w:w="735" w:type="dxa"/>
                  <w:tcBorders>
                    <w:tl2br w:val="nil"/>
                    <w:tr2bl w:val="nil"/>
                  </w:tcBorders>
                  <w:noWrap w:val="0"/>
                  <w:vAlign w:val="center"/>
                </w:tcPr>
                <w:p w14:paraId="65AB7F4F">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符合</w:t>
                  </w:r>
                </w:p>
              </w:tc>
            </w:tr>
            <w:tr w14:paraId="6B0A7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0" w:type="dxa"/>
                  <w:tcBorders>
                    <w:tl2br w:val="nil"/>
                    <w:tr2bl w:val="nil"/>
                  </w:tcBorders>
                  <w:noWrap w:val="0"/>
                  <w:vAlign w:val="center"/>
                </w:tcPr>
                <w:p w14:paraId="4909C78C">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w:t>
                  </w:r>
                </w:p>
              </w:tc>
              <w:tc>
                <w:tcPr>
                  <w:tcW w:w="3873" w:type="dxa"/>
                  <w:tcBorders>
                    <w:tl2br w:val="nil"/>
                    <w:tr2bl w:val="nil"/>
                  </w:tcBorders>
                  <w:noWrap w:val="0"/>
                  <w:vAlign w:val="top"/>
                </w:tcPr>
                <w:p w14:paraId="50CB4572">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尽快完成园区中水回用设施、集中供热、污水处理等基础设施建设，加快落实园区现状蒸发塘的清理整顿、评估、改造工作，确保符合现行环境保护要求。禁止新建、扩建、改建分散式燃煤锅炉用于采暖。强化节水措施，园区位于地下水禁采区，严禁以地下水作为工业用水水源，优先将回用中水作为园区工业生产用水水源，最大限度提高水资源综合利用率。加强工业固体废物的环境管理，以减量化、资源化、无害化为原则，推进固废资源化利用。</w:t>
                  </w:r>
                </w:p>
              </w:tc>
              <w:tc>
                <w:tcPr>
                  <w:tcW w:w="2280" w:type="dxa"/>
                  <w:tcBorders>
                    <w:tl2br w:val="nil"/>
                    <w:tr2bl w:val="nil"/>
                  </w:tcBorders>
                  <w:noWrap w:val="0"/>
                  <w:vAlign w:val="top"/>
                </w:tcPr>
                <w:p w14:paraId="73F85870">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项目采用园区供水，</w:t>
                  </w:r>
                  <w:r>
                    <w:rPr>
                      <w:rFonts w:hint="default" w:ascii="Times New Roman" w:hAnsi="Times New Roman" w:eastAsia="宋体" w:cs="Times New Roman"/>
                      <w:color w:val="auto"/>
                      <w:sz w:val="21"/>
                      <w:szCs w:val="21"/>
                      <w:highlight w:val="none"/>
                      <w:vertAlign w:val="baseline"/>
                      <w:lang w:val="en-US" w:eastAsia="zh-CN"/>
                    </w:rPr>
                    <w:t>项目运营期间的污水主要为生活污水，</w:t>
                  </w:r>
                  <w:r>
                    <w:rPr>
                      <w:rFonts w:hint="default" w:ascii="Times New Roman" w:hAnsi="Times New Roman" w:eastAsia="宋体" w:cs="Times New Roman"/>
                      <w:color w:val="auto"/>
                      <w:sz w:val="21"/>
                      <w:szCs w:val="21"/>
                      <w:highlight w:val="none"/>
                      <w:vertAlign w:val="baseline"/>
                      <w:lang w:eastAsia="zh-CN"/>
                    </w:rPr>
                    <w:t>生活污水</w:t>
                  </w:r>
                  <w:r>
                    <w:rPr>
                      <w:rFonts w:hint="eastAsia" w:ascii="Times New Roman" w:hAnsi="Times New Roman" w:eastAsia="宋体" w:cs="Times New Roman"/>
                      <w:color w:val="auto"/>
                      <w:sz w:val="21"/>
                      <w:szCs w:val="21"/>
                      <w:highlight w:val="none"/>
                      <w:vertAlign w:val="baseline"/>
                      <w:lang w:val="en-US" w:eastAsia="zh-CN"/>
                    </w:rPr>
                    <w:t>排</w:t>
                  </w:r>
                  <w:r>
                    <w:rPr>
                      <w:rFonts w:hint="default" w:ascii="Times New Roman" w:hAnsi="Times New Roman" w:eastAsia="宋体" w:cs="Times New Roman"/>
                      <w:color w:val="auto"/>
                      <w:sz w:val="21"/>
                      <w:szCs w:val="21"/>
                      <w:highlight w:val="none"/>
                      <w:vertAlign w:val="baseline"/>
                      <w:lang w:eastAsia="zh-CN"/>
                    </w:rPr>
                    <w:t>入园区污水管网</w:t>
                  </w:r>
                  <w:r>
                    <w:rPr>
                      <w:rFonts w:hint="default" w:ascii="Times New Roman" w:hAnsi="Times New Roman" w:eastAsia="宋体" w:cs="Times New Roman"/>
                      <w:color w:val="auto"/>
                      <w:sz w:val="21"/>
                      <w:szCs w:val="21"/>
                      <w:highlight w:val="none"/>
                      <w:vertAlign w:val="baseline"/>
                      <w:lang w:val="en-US" w:eastAsia="zh-CN"/>
                    </w:rPr>
                    <w:t>进入</w:t>
                  </w:r>
                  <w:r>
                    <w:rPr>
                      <w:rFonts w:hint="default" w:ascii="Times New Roman" w:hAnsi="Times New Roman" w:eastAsia="宋体" w:cs="Times New Roman"/>
                      <w:color w:val="auto"/>
                      <w:sz w:val="21"/>
                      <w:szCs w:val="21"/>
                      <w:highlight w:val="none"/>
                      <w:vertAlign w:val="baseline"/>
                      <w:lang w:eastAsia="zh-CN"/>
                    </w:rPr>
                    <w:t>和布克赛尔</w:t>
                  </w:r>
                  <w:r>
                    <w:rPr>
                      <w:rFonts w:hint="eastAsia" w:ascii="Times New Roman" w:hAnsi="Times New Roman" w:eastAsia="宋体" w:cs="Times New Roman"/>
                      <w:color w:val="auto"/>
                      <w:sz w:val="21"/>
                      <w:szCs w:val="21"/>
                      <w:highlight w:val="none"/>
                      <w:vertAlign w:val="baseline"/>
                      <w:lang w:val="en-US" w:eastAsia="zh-CN"/>
                    </w:rPr>
                    <w:t>和丰</w:t>
                  </w:r>
                  <w:r>
                    <w:rPr>
                      <w:rFonts w:hint="default" w:ascii="Times New Roman" w:hAnsi="Times New Roman" w:eastAsia="宋体" w:cs="Times New Roman"/>
                      <w:color w:val="auto"/>
                      <w:sz w:val="21"/>
                      <w:szCs w:val="21"/>
                      <w:highlight w:val="none"/>
                      <w:vertAlign w:val="baseline"/>
                      <w:lang w:eastAsia="zh-CN"/>
                    </w:rPr>
                    <w:t>工业园区污水处理厂</w:t>
                  </w:r>
                  <w:r>
                    <w:rPr>
                      <w:rFonts w:hint="default" w:ascii="Times New Roman" w:hAnsi="Times New Roman" w:eastAsia="宋体" w:cs="Times New Roman"/>
                      <w:color w:val="auto"/>
                      <w:sz w:val="21"/>
                      <w:szCs w:val="21"/>
                      <w:highlight w:val="none"/>
                      <w:vertAlign w:val="baseline"/>
                      <w:lang w:val="en-US" w:eastAsia="zh-CN"/>
                    </w:rPr>
                    <w:t>处理</w:t>
                  </w:r>
                  <w:r>
                    <w:rPr>
                      <w:rFonts w:hint="default" w:ascii="Times New Roman" w:hAnsi="Times New Roman" w:eastAsia="宋体" w:cs="Times New Roman"/>
                      <w:color w:val="auto"/>
                      <w:sz w:val="21"/>
                      <w:szCs w:val="21"/>
                      <w:highlight w:val="none"/>
                      <w:vertAlign w:val="baseline"/>
                      <w:lang w:eastAsia="zh-CN"/>
                    </w:rPr>
                    <w:t>，</w:t>
                  </w:r>
                  <w:r>
                    <w:rPr>
                      <w:rFonts w:hint="eastAsia" w:ascii="Times New Roman" w:hAnsi="Times New Roman" w:cs="Times New Roman"/>
                      <w:color w:val="auto"/>
                      <w:sz w:val="21"/>
                      <w:szCs w:val="21"/>
                      <w:highlight w:val="none"/>
                      <w:vertAlign w:val="baseline"/>
                      <w:lang w:val="en-US" w:eastAsia="zh-CN"/>
                    </w:rPr>
                    <w:t>生产废水经厂内污水处理设施处理后全部回用；</w:t>
                  </w:r>
                  <w:r>
                    <w:rPr>
                      <w:rFonts w:hint="eastAsia" w:ascii="Times New Roman" w:hAnsi="Times New Roman" w:eastAsia="宋体" w:cs="Times New Roman"/>
                      <w:color w:val="auto"/>
                      <w:sz w:val="21"/>
                      <w:szCs w:val="21"/>
                      <w:highlight w:val="none"/>
                      <w:vertAlign w:val="baseline"/>
                      <w:lang w:val="en-US" w:eastAsia="zh-CN"/>
                    </w:rPr>
                    <w:t>磁选产生的磁选废渣</w:t>
                  </w:r>
                  <w:r>
                    <w:rPr>
                      <w:rFonts w:hint="default" w:ascii="Times New Roman" w:hAnsi="Times New Roman" w:eastAsia="宋体" w:cs="Times New Roman"/>
                      <w:color w:val="auto"/>
                      <w:sz w:val="21"/>
                      <w:szCs w:val="21"/>
                      <w:highlight w:val="none"/>
                      <w:vertAlign w:val="baseline"/>
                      <w:lang w:eastAsia="zh-CN"/>
                    </w:rPr>
                    <w:t>统一收集暂存于一般固废暂存间，作为建筑材料外售</w:t>
                  </w:r>
                  <w:r>
                    <w:rPr>
                      <w:rFonts w:hint="eastAsia" w:ascii="Times New Roman" w:hAnsi="Times New Roman" w:cs="Times New Roman"/>
                      <w:color w:val="auto"/>
                      <w:sz w:val="21"/>
                      <w:szCs w:val="21"/>
                      <w:highlight w:val="none"/>
                      <w:vertAlign w:val="baseline"/>
                      <w:lang w:eastAsia="zh-CN"/>
                    </w:rPr>
                    <w:t>；</w:t>
                  </w:r>
                  <w:r>
                    <w:rPr>
                      <w:rFonts w:hint="eastAsia" w:ascii="Times New Roman" w:hAnsi="Times New Roman" w:cs="Times New Roman"/>
                      <w:color w:val="auto"/>
                      <w:sz w:val="21"/>
                      <w:szCs w:val="21"/>
                      <w:highlight w:val="none"/>
                      <w:vertAlign w:val="baseline"/>
                      <w:lang w:val="en-US" w:eastAsia="zh-CN"/>
                    </w:rPr>
                    <w:t>项目区不涉及燃煤锅炉；项目区不涉及开采地下水。</w:t>
                  </w:r>
                </w:p>
              </w:tc>
              <w:tc>
                <w:tcPr>
                  <w:tcW w:w="735" w:type="dxa"/>
                  <w:tcBorders>
                    <w:tl2br w:val="nil"/>
                    <w:tr2bl w:val="nil"/>
                  </w:tcBorders>
                  <w:noWrap w:val="0"/>
                  <w:vAlign w:val="center"/>
                </w:tcPr>
                <w:p w14:paraId="010E0BB0">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符合</w:t>
                  </w:r>
                </w:p>
              </w:tc>
            </w:tr>
            <w:tr w14:paraId="5B18C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0" w:type="dxa"/>
                  <w:tcBorders>
                    <w:tl2br w:val="nil"/>
                    <w:tr2bl w:val="nil"/>
                  </w:tcBorders>
                  <w:noWrap w:val="0"/>
                  <w:vAlign w:val="center"/>
                </w:tcPr>
                <w:p w14:paraId="757615EB">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w:t>
                  </w:r>
                </w:p>
              </w:tc>
              <w:tc>
                <w:tcPr>
                  <w:tcW w:w="3873" w:type="dxa"/>
                  <w:tcBorders>
                    <w:tl2br w:val="nil"/>
                    <w:tr2bl w:val="nil"/>
                  </w:tcBorders>
                  <w:noWrap w:val="0"/>
                  <w:vAlign w:val="top"/>
                </w:tcPr>
                <w:p w14:paraId="059FAE2F">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强化环境风险监控和管理，健全园区环境风险防控、评估和应急响应体系。强化突发环境事件应急响应联动机制，保障生态环境安全。建立完善的环境空气、地表水、地下水、土壤等监控体系</w:t>
                  </w:r>
                  <w:r>
                    <w:rPr>
                      <w:rFonts w:hint="default" w:ascii="Times New Roman" w:hAnsi="Times New Roman" w:eastAsia="宋体" w:cs="Times New Roman"/>
                      <w:color w:val="auto"/>
                      <w:sz w:val="21"/>
                      <w:szCs w:val="21"/>
                      <w:highlight w:val="none"/>
                      <w:lang w:eastAsia="zh-CN"/>
                    </w:rPr>
                    <w:t>，落实园区环境质量跟踪监测计划，加强定期监测和评估，并根据监测评估结果及时对规划进行优化调整。加快完善 园区环境应急设施建设，足额配备应急物资，定期开展应急演练，编制并不断完善突发环境事件应急预案。</w:t>
                  </w:r>
                </w:p>
              </w:tc>
              <w:tc>
                <w:tcPr>
                  <w:tcW w:w="2280" w:type="dxa"/>
                  <w:tcBorders>
                    <w:tl2br w:val="nil"/>
                    <w:tr2bl w:val="nil"/>
                  </w:tcBorders>
                  <w:noWrap w:val="0"/>
                  <w:vAlign w:val="top"/>
                </w:tcPr>
                <w:p w14:paraId="0FED91DA">
                  <w:pPr>
                    <w:autoSpaceDE w:val="0"/>
                    <w:autoSpaceDN w:val="0"/>
                    <w:adjustRightInd w:val="0"/>
                    <w:snapToGrid w:val="0"/>
                    <w:spacing w:line="360" w:lineRule="auto"/>
                    <w:jc w:val="both"/>
                    <w:rPr>
                      <w:rFonts w:hint="default" w:ascii="Times New Roman" w:hAnsi="Times New Roman" w:eastAsia="宋体" w:cs="Times New Roman"/>
                      <w:color w:val="auto"/>
                      <w:sz w:val="21"/>
                      <w:szCs w:val="21"/>
                      <w:highlight w:val="none"/>
                      <w:vertAlign w:val="baseline"/>
                      <w:lang w:eastAsia="zh-CN"/>
                    </w:rPr>
                  </w:pPr>
                  <w:r>
                    <w:rPr>
                      <w:rFonts w:hint="eastAsia" w:ascii="Times New Roman" w:hAnsi="Times New Roman" w:cs="Times New Roman"/>
                      <w:b w:val="0"/>
                      <w:bCs w:val="0"/>
                      <w:color w:val="auto"/>
                      <w:spacing w:val="-6"/>
                      <w:sz w:val="21"/>
                      <w:szCs w:val="21"/>
                      <w:highlight w:val="none"/>
                      <w:lang w:val="en-US" w:eastAsia="zh-CN"/>
                    </w:rPr>
                    <w:t>项目区</w:t>
                  </w:r>
                  <w:r>
                    <w:rPr>
                      <w:rFonts w:hint="default" w:ascii="Times New Roman" w:hAnsi="Times New Roman" w:eastAsia="宋体" w:cs="Times New Roman"/>
                      <w:b w:val="0"/>
                      <w:bCs w:val="0"/>
                      <w:color w:val="auto"/>
                      <w:spacing w:val="-6"/>
                      <w:sz w:val="21"/>
                      <w:szCs w:val="21"/>
                      <w:highlight w:val="none"/>
                    </w:rPr>
                    <w:t>按要求采取分区防渗措施</w:t>
                  </w:r>
                  <w:r>
                    <w:rPr>
                      <w:rFonts w:hint="default" w:ascii="Times New Roman" w:hAnsi="Times New Roman" w:eastAsia="宋体" w:cs="Times New Roman"/>
                      <w:b w:val="0"/>
                      <w:bCs w:val="0"/>
                      <w:color w:val="auto"/>
                      <w:spacing w:val="-6"/>
                      <w:sz w:val="21"/>
                      <w:szCs w:val="21"/>
                      <w:highlight w:val="none"/>
                      <w:lang w:eastAsia="zh-CN"/>
                    </w:rPr>
                    <w:t>，</w:t>
                  </w:r>
                  <w:r>
                    <w:rPr>
                      <w:rFonts w:hint="default" w:ascii="Times New Roman" w:hAnsi="Times New Roman" w:eastAsia="宋体" w:cs="Times New Roman"/>
                      <w:b w:val="0"/>
                      <w:bCs w:val="0"/>
                      <w:color w:val="auto"/>
                      <w:sz w:val="21"/>
                      <w:szCs w:val="21"/>
                      <w:highlight w:val="none"/>
                    </w:rPr>
                    <w:t>项目建成后将按要求编制突发环境事件应急预案并送有关部门备案。配备应急物资，定期开展应急演练。</w:t>
                  </w:r>
                </w:p>
              </w:tc>
              <w:tc>
                <w:tcPr>
                  <w:tcW w:w="735" w:type="dxa"/>
                  <w:tcBorders>
                    <w:tl2br w:val="nil"/>
                    <w:tr2bl w:val="nil"/>
                  </w:tcBorders>
                  <w:noWrap w:val="0"/>
                  <w:vAlign w:val="center"/>
                </w:tcPr>
                <w:p w14:paraId="6AE4FCF8">
                  <w:pPr>
                    <w:autoSpaceDE w:val="0"/>
                    <w:autoSpaceDN w:val="0"/>
                    <w:adjustRightInd w:val="0"/>
                    <w:snapToGrid w:val="0"/>
                    <w:spacing w:line="360" w:lineRule="auto"/>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eastAsia="zh-CN"/>
                    </w:rPr>
                    <w:t>符合</w:t>
                  </w:r>
                </w:p>
              </w:tc>
            </w:tr>
          </w:tbl>
          <w:p w14:paraId="7DE4AF66">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rPr>
            </w:pPr>
          </w:p>
          <w:p w14:paraId="538A0A51">
            <w:pPr>
              <w:rPr>
                <w:rFonts w:hint="default"/>
              </w:rPr>
            </w:pPr>
          </w:p>
        </w:tc>
      </w:tr>
      <w:tr w14:paraId="497E4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54" w:hRule="atLeast"/>
          <w:jc w:val="center"/>
        </w:trPr>
        <w:tc>
          <w:tcPr>
            <w:tcW w:w="856" w:type="dxa"/>
            <w:noWrap w:val="0"/>
            <w:vAlign w:val="center"/>
          </w:tcPr>
          <w:p w14:paraId="178FC3FA">
            <w:pPr>
              <w:autoSpaceDE w:val="0"/>
              <w:autoSpaceDN w:val="0"/>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其他</w:t>
            </w:r>
          </w:p>
          <w:p w14:paraId="407BD19F">
            <w:pPr>
              <w:autoSpaceDE w:val="0"/>
              <w:autoSpaceDN w:val="0"/>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符合性分析</w:t>
            </w:r>
          </w:p>
        </w:tc>
        <w:tc>
          <w:tcPr>
            <w:tcW w:w="7992" w:type="dxa"/>
            <w:gridSpan w:val="4"/>
            <w:noWrap w:val="0"/>
            <w:vAlign w:val="center"/>
          </w:tcPr>
          <w:p w14:paraId="20801BD5">
            <w:pPr>
              <w:keepNext w:val="0"/>
              <w:keepLines w:val="0"/>
              <w:pageBreakBefore w:val="0"/>
              <w:widowControl/>
              <w:kinsoku/>
              <w:wordWrap/>
              <w:overflowPunct/>
              <w:topLinePunct w:val="0"/>
              <w:autoSpaceDE w:val="0"/>
              <w:autoSpaceDN w:val="0"/>
              <w:bidi w:val="0"/>
              <w:adjustRightInd w:val="0"/>
              <w:snapToGrid w:val="0"/>
              <w:spacing w:before="157" w:beforeLines="50" w:line="360" w:lineRule="auto"/>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1、产业政策符合性分析</w:t>
            </w:r>
          </w:p>
          <w:p w14:paraId="3CBCA0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本项目为</w:t>
            </w:r>
            <w:r>
              <w:rPr>
                <w:rFonts w:hint="default" w:ascii="Times New Roman" w:hAnsi="Times New Roman" w:eastAsia="宋体" w:cs="Times New Roman"/>
                <w:color w:val="auto"/>
                <w:highlight w:val="none"/>
                <w:lang w:eastAsia="zh-CN"/>
              </w:rPr>
              <w:t>石英砂深加工项目，</w:t>
            </w:r>
            <w:r>
              <w:rPr>
                <w:rFonts w:hint="default" w:ascii="Times New Roman" w:hAnsi="Times New Roman" w:eastAsia="宋体" w:cs="Times New Roman"/>
                <w:color w:val="auto"/>
                <w:highlight w:val="none"/>
                <w:lang w:val="en-US" w:eastAsia="zh-CN"/>
              </w:rPr>
              <w:t>属于</w:t>
            </w:r>
            <w:r>
              <w:rPr>
                <w:rFonts w:hint="default" w:ascii="Times New Roman" w:hAnsi="Times New Roman" w:eastAsia="宋体" w:cs="Times New Roman"/>
                <w:color w:val="auto"/>
                <w:highlight w:val="none"/>
              </w:rPr>
              <w:t>其他非金属矿物制品制造</w:t>
            </w:r>
            <w:r>
              <w:rPr>
                <w:rFonts w:hint="default" w:ascii="Times New Roman" w:hAnsi="Times New Roman" w:eastAsia="宋体" w:cs="Times New Roman"/>
                <w:color w:val="auto"/>
                <w:highlight w:val="none"/>
                <w:lang w:val="en-US" w:eastAsia="zh-CN"/>
              </w:rPr>
              <w:t>业，</w:t>
            </w:r>
            <w:r>
              <w:rPr>
                <w:rFonts w:hint="default" w:ascii="Times New Roman" w:hAnsi="Times New Roman" w:eastAsia="宋体" w:cs="Times New Roman"/>
                <w:color w:val="auto"/>
                <w:highlight w:val="none"/>
              </w:rPr>
              <w:t>根据《产业结构调整指导目录（2024年本）》，本项目不属于</w:t>
            </w:r>
            <w:r>
              <w:rPr>
                <w:rFonts w:hint="default" w:ascii="Times New Roman" w:hAnsi="Times New Roman" w:eastAsia="宋体" w:cs="Times New Roman"/>
                <w:color w:val="auto"/>
                <w:highlight w:val="none"/>
                <w:lang w:eastAsia="zh-CN"/>
              </w:rPr>
              <w:t>该目录</w:t>
            </w:r>
            <w:r>
              <w:rPr>
                <w:rFonts w:hint="default" w:ascii="Times New Roman" w:hAnsi="Times New Roman" w:eastAsia="宋体" w:cs="Times New Roman"/>
                <w:color w:val="auto"/>
                <w:highlight w:val="none"/>
              </w:rPr>
              <w:t>中的鼓励类、限制类和淘汰类建设项目，</w:t>
            </w:r>
            <w:r>
              <w:rPr>
                <w:rFonts w:hint="default" w:ascii="Times New Roman" w:hAnsi="Times New Roman" w:eastAsia="宋体" w:cs="Times New Roman"/>
                <w:color w:val="auto"/>
                <w:highlight w:val="none"/>
                <w:lang w:val="en-US" w:eastAsia="zh-CN"/>
              </w:rPr>
              <w:t>项目建设符合国家法律法规</w:t>
            </w:r>
            <w:r>
              <w:rPr>
                <w:rFonts w:hint="default" w:ascii="Times New Roman" w:hAnsi="Times New Roman" w:eastAsia="宋体" w:cs="Times New Roman"/>
                <w:color w:val="auto"/>
                <w:sz w:val="24"/>
                <w:szCs w:val="24"/>
                <w:highlight w:val="none"/>
                <w:lang w:val="en-US" w:eastAsia="zh-CN"/>
              </w:rPr>
              <w:t>和政策规定，故视为</w:t>
            </w:r>
            <w:r>
              <w:rPr>
                <w:rFonts w:hint="default" w:ascii="Times New Roman" w:hAnsi="Times New Roman" w:eastAsia="宋体" w:cs="Times New Roman"/>
                <w:color w:val="auto"/>
                <w:highlight w:val="none"/>
              </w:rPr>
              <w:t>“允许类”，且本项目不属于《关于加强高耗能、高排放建设项目生态环境源头防控的指导意见》（环环评〔2021〕45号）中石化、化工、焦化、有色金属冶炼、平板玻璃企业，故本项目建设符合国家产业政策。</w:t>
            </w:r>
          </w:p>
          <w:p w14:paraId="7D43483C">
            <w:pPr>
              <w:keepNext w:val="0"/>
              <w:keepLines w:val="0"/>
              <w:pageBreakBefore w:val="0"/>
              <w:widowControl/>
              <w:numPr>
                <w:ilvl w:val="0"/>
                <w:numId w:val="5"/>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rPr>
              <w:t>生态环境分区管控</w:t>
            </w:r>
            <w:r>
              <w:rPr>
                <w:rFonts w:hint="default"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rPr>
              <w:t>符合性分析</w:t>
            </w:r>
          </w:p>
          <w:p w14:paraId="40A93FBD">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2.1 生态保护红线的符合性分析</w:t>
            </w:r>
          </w:p>
          <w:p w14:paraId="146954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本项目为</w:t>
            </w:r>
            <w:r>
              <w:rPr>
                <w:rFonts w:hint="default" w:ascii="Times New Roman" w:hAnsi="Times New Roman" w:eastAsia="宋体" w:cs="Times New Roman"/>
                <w:color w:val="auto"/>
                <w:szCs w:val="21"/>
                <w:highlight w:val="none"/>
                <w:lang w:eastAsia="zh-CN"/>
              </w:rPr>
              <w:t>石英砂深加工项目，</w:t>
            </w:r>
            <w:r>
              <w:rPr>
                <w:rFonts w:hint="default" w:ascii="Times New Roman" w:hAnsi="Times New Roman" w:eastAsia="宋体" w:cs="Times New Roman"/>
                <w:color w:val="auto"/>
                <w:szCs w:val="21"/>
                <w:highlight w:val="none"/>
                <w:lang w:val="en-US" w:eastAsia="zh-CN"/>
              </w:rPr>
              <w:t>属于</w:t>
            </w:r>
            <w:r>
              <w:rPr>
                <w:rFonts w:hint="default" w:ascii="Times New Roman" w:hAnsi="Times New Roman" w:eastAsia="宋体" w:cs="Times New Roman"/>
                <w:color w:val="auto"/>
                <w:szCs w:val="21"/>
                <w:highlight w:val="none"/>
              </w:rPr>
              <w:t>其他非金属矿物制品制造</w:t>
            </w:r>
            <w:r>
              <w:rPr>
                <w:rFonts w:hint="default" w:ascii="Times New Roman" w:hAnsi="Times New Roman" w:eastAsia="宋体" w:cs="Times New Roman"/>
                <w:color w:val="auto"/>
                <w:szCs w:val="21"/>
                <w:highlight w:val="none"/>
                <w:lang w:val="en-US" w:eastAsia="zh-CN"/>
              </w:rPr>
              <w:t>业</w:t>
            </w:r>
            <w:r>
              <w:rPr>
                <w:rFonts w:hint="default" w:ascii="Times New Roman" w:hAnsi="Times New Roman" w:eastAsia="宋体" w:cs="Times New Roman"/>
                <w:color w:val="auto"/>
                <w:highlight w:val="none"/>
              </w:rPr>
              <w:t>，项目位于新疆</w:t>
            </w:r>
            <w:r>
              <w:rPr>
                <w:rFonts w:hint="eastAsia" w:ascii="Times New Roman" w:hAnsi="Times New Roman" w:cs="Times New Roman"/>
                <w:color w:val="auto"/>
                <w:highlight w:val="none"/>
                <w:lang w:eastAsia="zh-CN"/>
              </w:rPr>
              <w:t>和布克赛尔蒙古自治县</w:t>
            </w:r>
            <w:r>
              <w:rPr>
                <w:rFonts w:hint="default" w:ascii="Times New Roman" w:hAnsi="Times New Roman" w:eastAsia="宋体" w:cs="Times New Roman"/>
                <w:color w:val="auto"/>
                <w:highlight w:val="none"/>
              </w:rPr>
              <w:t>工业园区，项目用地为工业用地，周边无国家公园、自然保护区、风景名胜区、饮用水水源保护区等环境敏感区分布，项目不涉及</w:t>
            </w:r>
            <w:r>
              <w:rPr>
                <w:rFonts w:hint="eastAsia" w:ascii="Times New Roman" w:hAnsi="Times New Roman" w:cs="Times New Roman"/>
                <w:color w:val="auto"/>
                <w:highlight w:val="none"/>
                <w:lang w:eastAsia="zh-CN"/>
              </w:rPr>
              <w:t>生态保护红线</w:t>
            </w:r>
            <w:r>
              <w:rPr>
                <w:rFonts w:hint="default" w:ascii="Times New Roman" w:hAnsi="Times New Roman" w:eastAsia="宋体" w:cs="Times New Roman"/>
                <w:color w:val="auto"/>
                <w:highlight w:val="none"/>
              </w:rPr>
              <w:t>，符合生态保护红线的相关管理要求。</w:t>
            </w:r>
          </w:p>
          <w:p w14:paraId="255E93AD">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2.2 环境质量底线的符合性分析</w:t>
            </w:r>
          </w:p>
          <w:p w14:paraId="47101B1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项目区为环境空气功能区二类区，执行《环境空气质量标准》（GB3095-20</w:t>
            </w:r>
            <w:r>
              <w:rPr>
                <w:rFonts w:hint="eastAsia" w:ascii="Times New Roman" w:hAnsi="Times New Roman" w:eastAsia="宋体" w:cs="Times New Roman"/>
                <w:color w:val="auto"/>
                <w:highlight w:val="none"/>
                <w:lang w:val="en-US" w:eastAsia="zh-CN"/>
              </w:rPr>
              <w:t>26</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 w:val="24"/>
                <w:highlight w:val="none"/>
                <w:lang w:val="en-US" w:eastAsia="zh-CN"/>
              </w:rPr>
              <w:t>过渡阶段浓度限值</w:t>
            </w:r>
            <w:r>
              <w:rPr>
                <w:rFonts w:hint="default" w:ascii="Times New Roman" w:hAnsi="Times New Roman" w:eastAsia="宋体" w:cs="Times New Roman"/>
                <w:color w:val="auto"/>
                <w:highlight w:val="none"/>
              </w:rPr>
              <w:t>二级标准要求，根据区域环境空气质量监测数据，项目区空气质量良好。项目生产过程产生的</w:t>
            </w:r>
            <w:r>
              <w:rPr>
                <w:rFonts w:hint="default" w:ascii="Times New Roman" w:hAnsi="Times New Roman" w:eastAsia="宋体" w:cs="Times New Roman"/>
                <w:color w:val="auto"/>
                <w:highlight w:val="none"/>
                <w:shd w:val="clear" w:color="auto" w:fill="FFFFFF"/>
              </w:rPr>
              <w:t>污染物主要为</w:t>
            </w:r>
            <w:r>
              <w:rPr>
                <w:rFonts w:hint="default" w:ascii="Times New Roman" w:hAnsi="Times New Roman" w:eastAsia="宋体" w:cs="Times New Roman"/>
                <w:color w:val="auto"/>
                <w:highlight w:val="none"/>
              </w:rPr>
              <w:t>粉尘及噪声</w:t>
            </w:r>
            <w:r>
              <w:rPr>
                <w:rFonts w:hint="default" w:ascii="Times New Roman" w:hAnsi="Times New Roman" w:eastAsia="宋体" w:cs="Times New Roman"/>
                <w:color w:val="auto"/>
                <w:highlight w:val="none"/>
                <w:shd w:val="clear" w:color="auto" w:fill="FFFFFF"/>
              </w:rPr>
              <w:t>，采取</w:t>
            </w:r>
            <w:r>
              <w:rPr>
                <w:rFonts w:hint="eastAsia" w:ascii="Times New Roman" w:hAnsi="Times New Roman" w:cs="Times New Roman"/>
                <w:color w:val="auto"/>
                <w:highlight w:val="none"/>
                <w:shd w:val="clear" w:color="auto" w:fill="FFFFFF"/>
                <w:lang w:eastAsia="zh-CN"/>
              </w:rPr>
              <w:t>袋式除尘器</w:t>
            </w:r>
            <w:r>
              <w:rPr>
                <w:rFonts w:hint="default" w:ascii="Times New Roman" w:hAnsi="Times New Roman" w:eastAsia="宋体" w:cs="Times New Roman"/>
                <w:color w:val="auto"/>
                <w:highlight w:val="none"/>
                <w:shd w:val="clear" w:color="auto" w:fill="FFFFFF"/>
              </w:rPr>
              <w:t>进行除尘，设备采取隔音及基础减振进行降噪。在采取相应的污染防治措施后均可达标排放，</w:t>
            </w:r>
            <w:r>
              <w:rPr>
                <w:rFonts w:hint="default" w:ascii="Times New Roman" w:hAnsi="Times New Roman" w:eastAsia="宋体" w:cs="Times New Roman"/>
                <w:color w:val="auto"/>
                <w:highlight w:val="none"/>
                <w:lang w:val="en-US" w:eastAsia="zh-CN"/>
              </w:rPr>
              <w:t>对周围环境影响小，环境影响可接受</w:t>
            </w:r>
            <w:r>
              <w:rPr>
                <w:rFonts w:hint="default" w:ascii="Times New Roman" w:hAnsi="Times New Roman" w:eastAsia="宋体" w:cs="Times New Roman"/>
                <w:color w:val="auto"/>
                <w:highlight w:val="none"/>
                <w:shd w:val="clear" w:color="auto" w:fill="FFFFFF"/>
              </w:rPr>
              <w:t>，不会降低区域环境功能区质量，能维持环境功能区质量现状</w:t>
            </w:r>
            <w:r>
              <w:rPr>
                <w:rFonts w:hint="default" w:ascii="Times New Roman" w:hAnsi="Times New Roman" w:eastAsia="宋体" w:cs="Times New Roman"/>
                <w:color w:val="auto"/>
                <w:highlight w:val="none"/>
              </w:rPr>
              <w:t>，符合环境质量底线的要求。</w:t>
            </w:r>
          </w:p>
          <w:p w14:paraId="104606E5">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2.3 资源利用上线的符合性分析</w:t>
            </w:r>
          </w:p>
          <w:p w14:paraId="3FF33D5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项目为</w:t>
            </w:r>
            <w:r>
              <w:rPr>
                <w:rFonts w:hint="default" w:ascii="Times New Roman" w:hAnsi="Times New Roman" w:eastAsia="宋体" w:cs="Times New Roman"/>
                <w:color w:val="auto"/>
                <w:szCs w:val="21"/>
                <w:highlight w:val="none"/>
                <w:lang w:eastAsia="zh-CN"/>
              </w:rPr>
              <w:t>石英砂深加工项目</w:t>
            </w:r>
            <w:r>
              <w:rPr>
                <w:rFonts w:hint="default" w:ascii="Times New Roman" w:hAnsi="Times New Roman" w:eastAsia="宋体" w:cs="Times New Roman"/>
                <w:color w:val="auto"/>
                <w:highlight w:val="none"/>
              </w:rPr>
              <w:t>，项目运营期间主要消耗水</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电</w:t>
            </w:r>
            <w:r>
              <w:rPr>
                <w:rFonts w:hint="default" w:ascii="Times New Roman" w:hAnsi="Times New Roman" w:eastAsia="宋体" w:cs="Times New Roman"/>
                <w:color w:val="auto"/>
                <w:highlight w:val="none"/>
                <w:lang w:eastAsia="zh-CN"/>
              </w:rPr>
              <w:t>和土地资源</w:t>
            </w:r>
            <w:r>
              <w:rPr>
                <w:rFonts w:hint="default" w:ascii="Times New Roman" w:hAnsi="Times New Roman" w:eastAsia="宋体" w:cs="Times New Roman"/>
                <w:color w:val="auto"/>
                <w:highlight w:val="none"/>
              </w:rPr>
              <w:t>。项目用水通过园区供水管网引入，消耗的水、电资源相对于</w:t>
            </w:r>
            <w:r>
              <w:rPr>
                <w:rFonts w:hint="eastAsia" w:ascii="Times New Roman" w:hAnsi="Times New Roman" w:cs="Times New Roman"/>
                <w:color w:val="auto"/>
                <w:highlight w:val="none"/>
                <w:lang w:eastAsia="zh-CN"/>
              </w:rPr>
              <w:t>和布克赛尔蒙古自治县</w:t>
            </w:r>
            <w:r>
              <w:rPr>
                <w:rFonts w:hint="default" w:ascii="Times New Roman" w:hAnsi="Times New Roman" w:eastAsia="宋体" w:cs="Times New Roman"/>
                <w:color w:val="auto"/>
                <w:highlight w:val="none"/>
              </w:rPr>
              <w:t>的水、电</w:t>
            </w:r>
            <w:r>
              <w:rPr>
                <w:rFonts w:hint="default" w:ascii="Times New Roman" w:hAnsi="Times New Roman" w:eastAsia="宋体" w:cs="Times New Roman"/>
                <w:color w:val="auto"/>
                <w:highlight w:val="none"/>
                <w:lang w:eastAsia="zh-CN"/>
              </w:rPr>
              <w:t>和土地</w:t>
            </w:r>
            <w:r>
              <w:rPr>
                <w:rFonts w:hint="default" w:ascii="Times New Roman" w:hAnsi="Times New Roman" w:eastAsia="宋体" w:cs="Times New Roman"/>
                <w:color w:val="auto"/>
                <w:highlight w:val="none"/>
              </w:rPr>
              <w:t>资源量占比小，不会对</w:t>
            </w:r>
            <w:r>
              <w:rPr>
                <w:rFonts w:hint="eastAsia" w:ascii="Times New Roman" w:hAnsi="Times New Roman" w:cs="Times New Roman"/>
                <w:color w:val="auto"/>
                <w:highlight w:val="none"/>
                <w:lang w:eastAsia="zh-CN"/>
              </w:rPr>
              <w:t>和布克赛尔蒙古自治县</w:t>
            </w:r>
            <w:r>
              <w:rPr>
                <w:rFonts w:hint="default" w:ascii="Times New Roman" w:hAnsi="Times New Roman" w:eastAsia="宋体" w:cs="Times New Roman"/>
                <w:color w:val="auto"/>
                <w:highlight w:val="none"/>
              </w:rPr>
              <w:t>整体的水、电资源供给情况造成影响。项目的建设不会突破区域资源利用上线。</w:t>
            </w:r>
          </w:p>
          <w:p w14:paraId="1666171B">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 xml:space="preserve">2.4 </w:t>
            </w:r>
            <w:r>
              <w:rPr>
                <w:rFonts w:hint="default" w:ascii="Times New Roman" w:hAnsi="Times New Roman" w:eastAsia="宋体" w:cs="Times New Roman"/>
                <w:b/>
                <w:bCs/>
                <w:color w:val="auto"/>
                <w:highlight w:val="none"/>
                <w:lang w:val="en-US" w:eastAsia="zh-CN"/>
              </w:rPr>
              <w:t>生态环境准入</w:t>
            </w:r>
            <w:r>
              <w:rPr>
                <w:rFonts w:hint="default" w:ascii="Times New Roman" w:hAnsi="Times New Roman" w:eastAsia="宋体" w:cs="Times New Roman"/>
                <w:b/>
                <w:bCs/>
                <w:color w:val="auto"/>
                <w:highlight w:val="none"/>
              </w:rPr>
              <w:t>符合性</w:t>
            </w:r>
          </w:p>
          <w:p w14:paraId="4E7C8FB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符合产业政策，不涉及自然保护区核心区和缓冲区、饮用水源一级保护区、风景名胜区核心景区等禁止类区域内的建设，不属于落后产能项目，不属于高耗能高排放项目，不属于国家规定的市场准入负面清单制度中禁止准入类和限制准入类项目。</w:t>
            </w:r>
          </w:p>
          <w:p w14:paraId="6425287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不属于《新疆维吾尔自治区28个国家重点生态功能区县（市）产业准入负面清单（试行）》，同时不属于《新疆维吾尔自治区17个新增纳入国家重点生态功能区县（市）产业准入负面清单（试行）》。项目的建设符合环境准入负面清单的要求。</w:t>
            </w:r>
          </w:p>
          <w:p w14:paraId="726EA5F7">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auto"/>
                <w:spacing w:val="-20"/>
                <w:sz w:val="24"/>
                <w:highlight w:val="none"/>
              </w:rPr>
            </w:pPr>
            <w:r>
              <w:rPr>
                <w:rFonts w:hint="default" w:ascii="Times New Roman" w:hAnsi="Times New Roman" w:eastAsia="宋体" w:cs="Times New Roman"/>
                <w:b/>
                <w:bCs/>
                <w:color w:val="auto"/>
                <w:highlight w:val="none"/>
              </w:rPr>
              <w:t>2.5与塔城地区“三线一单”生态环境分区管控方案的符合性分析</w:t>
            </w:r>
          </w:p>
          <w:p w14:paraId="20B6DE6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本项目位于</w:t>
            </w:r>
            <w:r>
              <w:rPr>
                <w:rFonts w:hint="default" w:ascii="Times New Roman" w:hAnsi="Times New Roman" w:eastAsia="宋体" w:cs="Times New Roman"/>
                <w:color w:val="auto"/>
                <w:highlight w:val="none"/>
              </w:rPr>
              <w:t>新疆维吾尔自治区塔城地区和布克赛尔蒙古自治县</w:t>
            </w:r>
            <w:r>
              <w:rPr>
                <w:rFonts w:hint="eastAsia" w:ascii="Times New Roman" w:hAnsi="Times New Roman" w:cs="Times New Roman"/>
                <w:color w:val="auto"/>
                <w:highlight w:val="none"/>
                <w:lang w:val="en-US" w:eastAsia="zh-CN"/>
              </w:rPr>
              <w:t>和丰</w:t>
            </w:r>
            <w:r>
              <w:rPr>
                <w:rFonts w:hint="default" w:ascii="Times New Roman" w:hAnsi="Times New Roman" w:eastAsia="宋体" w:cs="Times New Roman"/>
                <w:color w:val="auto"/>
                <w:highlight w:val="none"/>
              </w:rPr>
              <w:t>工业园区</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根据</w:t>
            </w:r>
            <w:bookmarkStart w:id="4" w:name="OLE_LINK2"/>
            <w:r>
              <w:rPr>
                <w:rFonts w:hint="default" w:ascii="Times New Roman" w:hAnsi="Times New Roman" w:eastAsia="宋体" w:cs="Times New Roman"/>
                <w:color w:val="auto"/>
                <w:highlight w:val="none"/>
              </w:rPr>
              <w:t>《塔城地区“三线一单”生态环境分区管控成果动态更新（2023年）》</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项目所在区域属于重点管控单元（环境管控单元编码为：ZH65422620001）</w:t>
            </w:r>
            <w:bookmarkEnd w:id="4"/>
            <w:r>
              <w:rPr>
                <w:rFonts w:hint="default" w:ascii="Times New Roman" w:hAnsi="Times New Roman" w:eastAsia="宋体" w:cs="Times New Roman"/>
                <w:color w:val="auto"/>
                <w:highlight w:val="none"/>
              </w:rPr>
              <w:t>，本项目与</w:t>
            </w:r>
            <w:r>
              <w:rPr>
                <w:rFonts w:hint="default" w:ascii="Times New Roman" w:hAnsi="Times New Roman" w:eastAsia="宋体" w:cs="Times New Roman"/>
                <w:color w:val="auto"/>
                <w:highlight w:val="none"/>
                <w:lang w:val="en-US" w:eastAsia="zh-CN"/>
              </w:rPr>
              <w:t>塔城地区生态环境准入清单</w:t>
            </w:r>
            <w:r>
              <w:rPr>
                <w:rFonts w:hint="default" w:ascii="Times New Roman" w:hAnsi="Times New Roman" w:eastAsia="宋体" w:cs="Times New Roman"/>
                <w:color w:val="auto"/>
                <w:highlight w:val="none"/>
              </w:rPr>
              <w:t>符合性分析见表1-2。</w:t>
            </w:r>
          </w:p>
          <w:p w14:paraId="61C328C2">
            <w:pPr>
              <w:autoSpaceDE w:val="0"/>
              <w:autoSpaceDN w:val="0"/>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表1-2 本项目</w:t>
            </w:r>
            <w:r>
              <w:rPr>
                <w:rFonts w:hint="default" w:ascii="Times New Roman" w:hAnsi="Times New Roman" w:eastAsia="宋体" w:cs="Times New Roman"/>
                <w:b/>
                <w:bCs/>
                <w:color w:val="auto"/>
                <w:sz w:val="21"/>
                <w:szCs w:val="21"/>
                <w:highlight w:val="none"/>
                <w:lang w:eastAsia="zh-CN"/>
              </w:rPr>
              <w:t>与</w:t>
            </w:r>
            <w:r>
              <w:rPr>
                <w:rFonts w:hint="default" w:ascii="Times New Roman" w:hAnsi="Times New Roman" w:eastAsia="宋体" w:cs="Times New Roman"/>
                <w:b/>
                <w:bCs/>
                <w:color w:val="auto"/>
                <w:sz w:val="21"/>
                <w:szCs w:val="21"/>
                <w:highlight w:val="none"/>
              </w:rPr>
              <w:t>塔城地区生态环境</w:t>
            </w:r>
            <w:r>
              <w:rPr>
                <w:rFonts w:hint="default" w:ascii="Times New Roman" w:hAnsi="Times New Roman" w:eastAsia="宋体" w:cs="Times New Roman"/>
                <w:b/>
                <w:bCs/>
                <w:color w:val="auto"/>
                <w:sz w:val="21"/>
                <w:szCs w:val="21"/>
                <w:highlight w:val="none"/>
                <w:lang w:eastAsia="zh-CN"/>
              </w:rPr>
              <w:t>准入清单</w:t>
            </w:r>
            <w:r>
              <w:rPr>
                <w:rFonts w:hint="default" w:ascii="Times New Roman" w:hAnsi="Times New Roman" w:eastAsia="宋体" w:cs="Times New Roman"/>
                <w:b/>
                <w:bCs/>
                <w:color w:val="auto"/>
                <w:sz w:val="21"/>
                <w:szCs w:val="21"/>
                <w:highlight w:val="none"/>
              </w:rPr>
              <w:t>符合性一览表</w:t>
            </w:r>
          </w:p>
          <w:tbl>
            <w:tblPr>
              <w:tblStyle w:val="22"/>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519"/>
              <w:gridCol w:w="648"/>
              <w:gridCol w:w="487"/>
              <w:gridCol w:w="488"/>
              <w:gridCol w:w="4041"/>
              <w:gridCol w:w="1101"/>
              <w:gridCol w:w="487"/>
            </w:tblGrid>
            <w:tr w14:paraId="3D13D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c>
                <w:tcPr>
                  <w:tcW w:w="453" w:type="dxa"/>
                  <w:tcBorders>
                    <w:bottom w:val="single" w:color="auto" w:sz="12" w:space="0"/>
                  </w:tcBorders>
                  <w:noWrap w:val="0"/>
                  <w:vAlign w:val="center"/>
                </w:tcPr>
                <w:p w14:paraId="1200B94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环境管控单元编码</w:t>
                  </w:r>
                </w:p>
              </w:tc>
              <w:tc>
                <w:tcPr>
                  <w:tcW w:w="567" w:type="dxa"/>
                  <w:tcBorders>
                    <w:bottom w:val="single" w:color="auto" w:sz="12" w:space="0"/>
                  </w:tcBorders>
                  <w:noWrap w:val="0"/>
                  <w:vAlign w:val="center"/>
                </w:tcPr>
                <w:p w14:paraId="78CEDF0B">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管控单元名称</w:t>
                  </w:r>
                </w:p>
              </w:tc>
              <w:tc>
                <w:tcPr>
                  <w:tcW w:w="425" w:type="dxa"/>
                  <w:tcBorders>
                    <w:bottom w:val="single" w:color="auto" w:sz="12" w:space="0"/>
                  </w:tcBorders>
                  <w:noWrap w:val="0"/>
                  <w:vAlign w:val="center"/>
                </w:tcPr>
                <w:p w14:paraId="0E02AAC4">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管控单元类别</w:t>
                  </w:r>
                </w:p>
              </w:tc>
              <w:tc>
                <w:tcPr>
                  <w:tcW w:w="426" w:type="dxa"/>
                  <w:tcBorders>
                    <w:bottom w:val="single" w:color="auto" w:sz="12" w:space="0"/>
                  </w:tcBorders>
                  <w:noWrap w:val="0"/>
                  <w:vAlign w:val="center"/>
                </w:tcPr>
                <w:p w14:paraId="435E9A87">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3543" w:type="dxa"/>
                  <w:tcBorders>
                    <w:bottom w:val="single" w:color="auto" w:sz="12" w:space="0"/>
                  </w:tcBorders>
                  <w:noWrap w:val="0"/>
                  <w:vAlign w:val="center"/>
                </w:tcPr>
                <w:p w14:paraId="1A5AB5A5">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965" w:type="dxa"/>
                  <w:tcBorders>
                    <w:bottom w:val="single" w:color="auto" w:sz="12" w:space="0"/>
                  </w:tcBorders>
                  <w:noWrap w:val="0"/>
                  <w:vAlign w:val="center"/>
                </w:tcPr>
                <w:p w14:paraId="545A479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项目情况</w:t>
                  </w:r>
                </w:p>
              </w:tc>
              <w:tc>
                <w:tcPr>
                  <w:tcW w:w="425" w:type="dxa"/>
                  <w:tcBorders>
                    <w:bottom w:val="single" w:color="auto" w:sz="12" w:space="0"/>
                  </w:tcBorders>
                  <w:noWrap w:val="0"/>
                  <w:vAlign w:val="center"/>
                </w:tcPr>
                <w:p w14:paraId="091FAF90">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14:paraId="605DE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c>
                <w:tcPr>
                  <w:tcW w:w="453" w:type="dxa"/>
                  <w:vMerge w:val="restart"/>
                  <w:tcBorders>
                    <w:top w:val="single" w:color="auto" w:sz="12" w:space="0"/>
                    <w:tl2br w:val="nil"/>
                    <w:tr2bl w:val="nil"/>
                  </w:tcBorders>
                  <w:noWrap w:val="0"/>
                  <w:vAlign w:val="center"/>
                </w:tcPr>
                <w:p w14:paraId="301BAC5B">
                  <w:pPr>
                    <w:autoSpaceDE w:val="0"/>
                    <w:autoSpaceDN w:val="0"/>
                    <w:adjustRightInd w:val="0"/>
                    <w:snapToGrid w:val="0"/>
                    <w:jc w:val="center"/>
                    <w:rPr>
                      <w:rFonts w:hint="default" w:ascii="Times New Roman" w:hAnsi="Times New Roman" w:eastAsia="宋体" w:cs="Times New Roman"/>
                      <w:color w:val="auto"/>
                      <w:sz w:val="21"/>
                      <w:szCs w:val="21"/>
                      <w:highlight w:val="none"/>
                    </w:rPr>
                  </w:pPr>
                  <w:bookmarkStart w:id="5" w:name="OLE_LINK11"/>
                  <w:r>
                    <w:rPr>
                      <w:rFonts w:hint="default" w:ascii="Times New Roman" w:hAnsi="Times New Roman" w:eastAsia="宋体" w:cs="Times New Roman"/>
                      <w:color w:val="auto"/>
                      <w:sz w:val="21"/>
                      <w:szCs w:val="21"/>
                      <w:highlight w:val="none"/>
                    </w:rPr>
                    <w:t>ZH65422620001</w:t>
                  </w:r>
                  <w:bookmarkEnd w:id="5"/>
                </w:p>
              </w:tc>
              <w:tc>
                <w:tcPr>
                  <w:tcW w:w="567" w:type="dxa"/>
                  <w:vMerge w:val="restart"/>
                  <w:tcBorders>
                    <w:top w:val="single" w:color="auto" w:sz="12" w:space="0"/>
                    <w:tl2br w:val="nil"/>
                    <w:tr2bl w:val="nil"/>
                  </w:tcBorders>
                  <w:noWrap w:val="0"/>
                  <w:vAlign w:val="center"/>
                </w:tcPr>
                <w:p w14:paraId="12EFECEF">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和布克赛尔蒙古自治县重点管控单元01</w:t>
                  </w:r>
                </w:p>
              </w:tc>
              <w:tc>
                <w:tcPr>
                  <w:tcW w:w="425" w:type="dxa"/>
                  <w:vMerge w:val="restart"/>
                  <w:tcBorders>
                    <w:top w:val="single" w:color="auto" w:sz="12" w:space="0"/>
                    <w:tl2br w:val="nil"/>
                    <w:tr2bl w:val="nil"/>
                  </w:tcBorders>
                  <w:noWrap w:val="0"/>
                  <w:vAlign w:val="center"/>
                </w:tcPr>
                <w:p w14:paraId="5B462E1E">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重点管控单元</w:t>
                  </w:r>
                </w:p>
              </w:tc>
              <w:tc>
                <w:tcPr>
                  <w:tcW w:w="426" w:type="dxa"/>
                  <w:tcBorders>
                    <w:top w:val="single" w:color="auto" w:sz="12" w:space="0"/>
                    <w:tl2br w:val="nil"/>
                    <w:tr2bl w:val="nil"/>
                  </w:tcBorders>
                  <w:noWrap w:val="0"/>
                  <w:vAlign w:val="center"/>
                </w:tcPr>
                <w:p w14:paraId="27B777F2">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空间布局约束</w:t>
                  </w:r>
                </w:p>
              </w:tc>
              <w:tc>
                <w:tcPr>
                  <w:tcW w:w="3543" w:type="dxa"/>
                  <w:tcBorders>
                    <w:top w:val="single" w:color="auto" w:sz="12" w:space="0"/>
                    <w:tl2br w:val="nil"/>
                    <w:tr2bl w:val="nil"/>
                  </w:tcBorders>
                  <w:noWrap w:val="0"/>
                  <w:vAlign w:val="center"/>
                </w:tcPr>
                <w:p w14:paraId="2AC04563">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1.禁止新建、扩建《产业结构调整指导目录（2024年本）》中淘汰类项目，限制新建、扩建《产业结构调整指导目录（2024年本）》中限制类。禁止引入《市场准入负面清单（2022年版）》禁止准入类事项。</w:t>
                  </w:r>
                </w:p>
                <w:p w14:paraId="2C33EBEF">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2.新建和扩建石化、化工等项目应布设在依法合规设立并经规划环评的产业园区。</w:t>
                  </w:r>
                </w:p>
                <w:p w14:paraId="014A1E65">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严禁新建自治区《禁止、控制和限制危险化学品目录》中淘汰类、禁止类危险化学品化工项目。危险化学品生产企业搬迁改造及新建化工项目必须进入国家及自治区各级人民政府正式批准设立，规划环评通过审查，规划通过审批且环保基础设施完善的工业园区，并符合国土空间规划、产业发展规划和</w:t>
                  </w:r>
                  <w:r>
                    <w:rPr>
                      <w:rFonts w:hint="eastAsia" w:ascii="Times New Roman" w:hAnsi="Times New Roman" w:cs="Times New Roman"/>
                      <w:color w:val="auto"/>
                      <w:sz w:val="21"/>
                      <w:szCs w:val="21"/>
                      <w:highlight w:val="none"/>
                      <w:lang w:eastAsia="zh-CN"/>
                    </w:rPr>
                    <w:t>生态保护红线</w:t>
                  </w:r>
                  <w:r>
                    <w:rPr>
                      <w:rFonts w:hint="default" w:ascii="Times New Roman" w:hAnsi="Times New Roman" w:eastAsia="宋体" w:cs="Times New Roman"/>
                      <w:color w:val="auto"/>
                      <w:sz w:val="21"/>
                      <w:szCs w:val="21"/>
                      <w:highlight w:val="none"/>
                    </w:rPr>
                    <w:t>管控要求。城市建成区、重点流域内已建成投产化工企业和危险化学品生产企业应加快退城入园，搬入化工园区前企业不应实施改扩建工程扩大生产规模。</w:t>
                  </w:r>
                </w:p>
                <w:p w14:paraId="708500C4">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4.禁止引进国家和自治区明令禁止或淘汰的产业及工艺、园区规划的项目；引进符合国家产业政策和清洁生产要求的、采用先进生产工艺和设备的、自动化程度高的、具有可靠先进的污染治理技术的生产项目。</w:t>
                  </w:r>
                </w:p>
                <w:p w14:paraId="22C8ADF7">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5.在集中供热管网覆盖区域内，禁止新建、改建、扩建燃煤供热锅炉</w:t>
                  </w:r>
                  <w:r>
                    <w:rPr>
                      <w:rFonts w:hint="eastAsia" w:ascii="Times New Roman" w:hAnsi="Times New Roman" w:cs="Times New Roman"/>
                      <w:color w:val="auto"/>
                      <w:sz w:val="21"/>
                      <w:szCs w:val="21"/>
                      <w:highlight w:val="none"/>
                      <w:lang w:eastAsia="zh-CN"/>
                    </w:rPr>
                    <w:t>，在</w:t>
                  </w:r>
                  <w:r>
                    <w:rPr>
                      <w:rFonts w:hint="default" w:ascii="Times New Roman" w:hAnsi="Times New Roman" w:eastAsia="宋体" w:cs="Times New Roman"/>
                      <w:color w:val="auto"/>
                      <w:sz w:val="21"/>
                      <w:szCs w:val="21"/>
                      <w:highlight w:val="none"/>
                    </w:rPr>
                    <w:t>集中供热管网覆盖前，已建成使用的燃煤供热锅炉应当限期停止使用。</w:t>
                  </w:r>
                </w:p>
                <w:p w14:paraId="4AD37381">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6.入园企业符合园区产业发展定水定产，严格限制发展高耗水、环境影响较大的行业。</w:t>
                  </w:r>
                </w:p>
              </w:tc>
              <w:tc>
                <w:tcPr>
                  <w:tcW w:w="965" w:type="dxa"/>
                  <w:tcBorders>
                    <w:top w:val="single" w:color="auto" w:sz="12" w:space="0"/>
                    <w:tl2br w:val="nil"/>
                    <w:tr2bl w:val="nil"/>
                  </w:tcBorders>
                  <w:noWrap w:val="0"/>
                  <w:vAlign w:val="center"/>
                </w:tcPr>
                <w:p w14:paraId="3A7152C4">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本项目为国家</w:t>
                  </w:r>
                  <w:r>
                    <w:rPr>
                      <w:rFonts w:hint="default" w:ascii="Times New Roman" w:hAnsi="Times New Roman" w:eastAsia="宋体" w:cs="Times New Roman"/>
                      <w:color w:val="auto"/>
                      <w:sz w:val="21"/>
                      <w:szCs w:val="21"/>
                      <w:highlight w:val="none"/>
                      <w:lang w:eastAsia="zh-CN"/>
                    </w:rPr>
                    <w:t>允许类</w:t>
                  </w:r>
                  <w:r>
                    <w:rPr>
                      <w:rFonts w:hint="default" w:ascii="Times New Roman" w:hAnsi="Times New Roman" w:eastAsia="宋体" w:cs="Times New Roman"/>
                      <w:color w:val="auto"/>
                      <w:sz w:val="21"/>
                      <w:szCs w:val="21"/>
                      <w:highlight w:val="none"/>
                    </w:rPr>
                    <w:t>项目，位于</w:t>
                  </w:r>
                  <w:r>
                    <w:rPr>
                      <w:rFonts w:hint="eastAsia" w:ascii="Times New Roman" w:hAnsi="Times New Roman" w:cs="Times New Roman"/>
                      <w:color w:val="auto"/>
                      <w:sz w:val="21"/>
                      <w:szCs w:val="21"/>
                      <w:highlight w:val="none"/>
                      <w:lang w:eastAsia="zh-CN"/>
                    </w:rPr>
                    <w:t>和布克赛尔蒙古自治县</w:t>
                  </w:r>
                  <w:r>
                    <w:rPr>
                      <w:rFonts w:hint="eastAsia" w:ascii="Times New Roman" w:hAnsi="Times New Roman" w:cs="Times New Roman"/>
                      <w:color w:val="auto"/>
                      <w:sz w:val="21"/>
                      <w:szCs w:val="21"/>
                      <w:highlight w:val="none"/>
                      <w:lang w:val="en-US" w:eastAsia="zh-CN"/>
                    </w:rPr>
                    <w:t>和丰</w:t>
                  </w:r>
                  <w:r>
                    <w:rPr>
                      <w:rFonts w:hint="default" w:ascii="Times New Roman" w:hAnsi="Times New Roman" w:eastAsia="宋体" w:cs="Times New Roman"/>
                      <w:color w:val="auto"/>
                      <w:sz w:val="21"/>
                      <w:szCs w:val="21"/>
                      <w:highlight w:val="none"/>
                    </w:rPr>
                    <w:t>工业园区内，占地类型为工业用地，项目占地不涉及环境敏感目标</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本项目不涉及危险化学品；不属于</w:t>
                  </w:r>
                  <w:r>
                    <w:rPr>
                      <w:rFonts w:hint="default" w:ascii="Times New Roman" w:hAnsi="Times New Roman" w:eastAsia="宋体" w:cs="Times New Roman"/>
                      <w:color w:val="auto"/>
                      <w:sz w:val="21"/>
                      <w:szCs w:val="21"/>
                      <w:highlight w:val="none"/>
                    </w:rPr>
                    <w:t>明令禁止或淘汰的产业及工艺</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本项目不涉及供热，项目生产废水经场内污水处理设施处理后全部回用，不属于高耗水项目</w:t>
                  </w:r>
                  <w:r>
                    <w:rPr>
                      <w:rFonts w:hint="default" w:ascii="Times New Roman" w:hAnsi="Times New Roman" w:eastAsia="宋体" w:cs="Times New Roman"/>
                      <w:color w:val="auto"/>
                      <w:sz w:val="21"/>
                      <w:szCs w:val="21"/>
                      <w:highlight w:val="none"/>
                    </w:rPr>
                    <w:t>。</w:t>
                  </w:r>
                </w:p>
              </w:tc>
              <w:tc>
                <w:tcPr>
                  <w:tcW w:w="425" w:type="dxa"/>
                  <w:tcBorders>
                    <w:top w:val="single" w:color="auto" w:sz="12" w:space="0"/>
                    <w:tl2br w:val="nil"/>
                    <w:tr2bl w:val="nil"/>
                  </w:tcBorders>
                  <w:noWrap w:val="0"/>
                  <w:vAlign w:val="center"/>
                </w:tcPr>
                <w:p w14:paraId="5B5395F8">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055AF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c>
                <w:tcPr>
                  <w:tcW w:w="453" w:type="dxa"/>
                  <w:vMerge w:val="continue"/>
                  <w:tcBorders>
                    <w:tl2br w:val="nil"/>
                    <w:tr2bl w:val="nil"/>
                  </w:tcBorders>
                  <w:noWrap w:val="0"/>
                  <w:vAlign w:val="center"/>
                </w:tcPr>
                <w:p w14:paraId="585DF9A7">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567" w:type="dxa"/>
                  <w:vMerge w:val="continue"/>
                  <w:tcBorders>
                    <w:tl2br w:val="nil"/>
                    <w:tr2bl w:val="nil"/>
                  </w:tcBorders>
                  <w:noWrap w:val="0"/>
                  <w:vAlign w:val="center"/>
                </w:tcPr>
                <w:p w14:paraId="58005089">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5" w:type="dxa"/>
                  <w:vMerge w:val="continue"/>
                  <w:tcBorders>
                    <w:tl2br w:val="nil"/>
                    <w:tr2bl w:val="nil"/>
                  </w:tcBorders>
                  <w:noWrap w:val="0"/>
                  <w:vAlign w:val="center"/>
                </w:tcPr>
                <w:p w14:paraId="7D0554AE">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6" w:type="dxa"/>
                  <w:tcBorders>
                    <w:tl2br w:val="nil"/>
                    <w:tr2bl w:val="nil"/>
                  </w:tcBorders>
                  <w:noWrap w:val="0"/>
                  <w:vAlign w:val="center"/>
                </w:tcPr>
                <w:p w14:paraId="784ED70E">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污染物排放管控</w:t>
                  </w:r>
                </w:p>
              </w:tc>
              <w:tc>
                <w:tcPr>
                  <w:tcW w:w="3543" w:type="dxa"/>
                  <w:tcBorders>
                    <w:tl2br w:val="nil"/>
                    <w:tr2bl w:val="nil"/>
                  </w:tcBorders>
                  <w:noWrap w:val="0"/>
                  <w:vAlign w:val="center"/>
                </w:tcPr>
                <w:p w14:paraId="0F6018E5">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1.坚决遏制“两高”项目盲目发展，新改扩建项目实施更严格的污染物排放总量控制要求，涉及大宗物料运输的，采用清洁运输方式。</w:t>
                  </w:r>
                </w:p>
                <w:p w14:paraId="3A3B96AB">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针对石油化工等行业，严格控制物料储存、输送及生产工艺过程无组织排放。实施重点行业氮氧化物等污染物深度治理，按照氮氧化物排放浓度不高于50毫克\立方米的标准实施锅炉低氮燃烧改造，全面排查除尘脱硫一体化、简易碱法脱硫、简易氨法脱硫脱硝、湿法脱硝等低效治理技术的工业企业，以及使用光催化、光氧化、低温等离子等简易低效VOCs治理设施，建立清单台账，完成低效治理设施的提升改造。</w:t>
                  </w:r>
                </w:p>
                <w:p w14:paraId="37B33BFF">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根据行业类型，深入开展VOCs排放统计与调查，实施排查整治，加强重点行业、重点企业挥发性有机物精细化管控，重点行业企业完成“一厂一策”综合治理方案的制定及落实。实施VOCs排放总量控制，重点推进石化、化工等涉VOCs排放等重点行业的VOCs污染防治，全面推进使用低VOCs含量涂料、油墨、胶黏剂、清洗剂等。强化VOCs污染防治措施，推广使用低挥发性有机物原辅料，推动有条件的园区（工业集聚区）建设集中喷涂工程中心，配备高效治污设施，替代企业独立喷涂工序。</w:t>
                  </w:r>
                </w:p>
                <w:p w14:paraId="6809AC38">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全面淘汰环保工艺简易、治污效果差的除尘脱硫设施。大力推进电能替代煤炭，积极稳妥推进以气代煤，因地制宜推进生物质等能源代煤，开展氢能源代煤示范。新、改、扩建加热炉、热处理炉、干燥炉、熔化炉，采用清洁低碳能源，不得使用煤炭等高污染燃料；现有使用高污染燃料的工业炉窑改用工业余热、电能、天然气等；使用煤气发生炉的企业采用清洁能源替代，或者采取园区（集群）集中供气、分散使用的方式，全面淘汰间歇式固定床煤气发生炉。建立全口径炉窑清单，推进实施“一炉一策”精细化管理。</w:t>
                  </w:r>
                </w:p>
                <w:p w14:paraId="6813C8D1">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5.推进工业园区热电联供，加快推进集中供热、“煤改电”工程建设，按照宜电则电、宜气则气、宜热则热的原则，因地制宜推进冬季清洁取暖，加快推进燃煤锅炉超低排放改造和燃气锅炉低氮燃烧改造。</w:t>
                  </w:r>
                </w:p>
                <w:p w14:paraId="36AB32AC">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6.臭氧污染防治：积极遏制臭氧浓度增长趋势，推进挥发性有机物和氮氧化物协同减排。以石化、化工等行业领域为重点，安全高效推进挥发性有机物综合治理，实施原辅材料和产品源头替代工程。</w:t>
                  </w:r>
                </w:p>
                <w:p w14:paraId="10AB20D1">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7.施工扬尘污染防治：各县（市）制定本行政区域城市扬尘综合治理，加强扬尘精细化管控。加强监管执法，严格落实施工工地扬尘管控责任</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全面推行绿色施工，严格落实建筑施工工地周边围挡、物料堆放覆盖、土方开挖湿法作业、路面硬化、出入车辆清洗、渣土车辆密闭运输等“六个百分之百”措施，减少扬尘污染。将防治扬尘污染费用纳入工程造价，规模以上施工工地安装</w:t>
                  </w:r>
                  <w:r>
                    <w:rPr>
                      <w:rFonts w:hint="eastAsia" w:ascii="Times New Roman" w:hAnsi="Times New Roman" w:cs="Times New Roman"/>
                      <w:color w:val="auto"/>
                      <w:sz w:val="21"/>
                      <w:szCs w:val="21"/>
                      <w:highlight w:val="none"/>
                      <w:lang w:eastAsia="zh-CN"/>
                    </w:rPr>
                    <w:t>视频监控</w:t>
                  </w:r>
                  <w:r>
                    <w:rPr>
                      <w:rFonts w:hint="default" w:ascii="Times New Roman" w:hAnsi="Times New Roman" w:eastAsia="宋体" w:cs="Times New Roman"/>
                      <w:color w:val="auto"/>
                      <w:sz w:val="21"/>
                      <w:szCs w:val="21"/>
                      <w:highlight w:val="none"/>
                    </w:rPr>
                    <w:t>设施并接入当地监管平台。</w:t>
                  </w:r>
                </w:p>
                <w:p w14:paraId="49FE34E2">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保障工业集聚区污水集中处理设施污染治理效果，加快推进园区纳污管网建设新建、升级工业集聚区应同步规划、建设污水、垃圾集中处理等污染治理设施，完善园区及工业聚集区污水收集系统，新增园区、工业企业污水实现100%收集处理。加强工业节水，支持企业积极实施节水技术改造，加快再生水回用设施建设。</w:t>
                  </w:r>
                </w:p>
                <w:p w14:paraId="08BE8245">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9.工业集聚区进行产业布局时，优先采取资源互补的方式，排放浓度低、易处理的企业排水经过处理后可以作为其它企业的生产用水，提升园区水资源循环利用水平。</w:t>
                  </w:r>
                </w:p>
              </w:tc>
              <w:tc>
                <w:tcPr>
                  <w:tcW w:w="965" w:type="dxa"/>
                  <w:tcBorders>
                    <w:tl2br w:val="nil"/>
                    <w:tr2bl w:val="nil"/>
                  </w:tcBorders>
                  <w:noWrap w:val="0"/>
                  <w:vAlign w:val="center"/>
                </w:tcPr>
                <w:p w14:paraId="499566AC">
                  <w:pPr>
                    <w:autoSpaceDE w:val="0"/>
                    <w:autoSpaceDN w:val="0"/>
                    <w:adjustRightInd w:val="0"/>
                    <w:snapToGrid w:val="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项目符合国家产业政策、规划环评要求</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不属于“两高”项目</w:t>
                  </w:r>
                  <w:r>
                    <w:rPr>
                      <w:rFonts w:hint="default" w:ascii="Times New Roman" w:hAnsi="Times New Roman" w:eastAsia="宋体" w:cs="Times New Roman"/>
                      <w:color w:val="auto"/>
                      <w:sz w:val="21"/>
                      <w:szCs w:val="21"/>
                      <w:highlight w:val="none"/>
                    </w:rPr>
                    <w:t>。本项目</w:t>
                  </w:r>
                  <w:r>
                    <w:rPr>
                      <w:rFonts w:hint="eastAsia" w:ascii="Times New Roman" w:hAnsi="Times New Roman" w:cs="Times New Roman"/>
                      <w:color w:val="auto"/>
                      <w:sz w:val="21"/>
                      <w:szCs w:val="21"/>
                      <w:highlight w:val="none"/>
                      <w:lang w:val="en-US" w:eastAsia="zh-CN"/>
                    </w:rPr>
                    <w:t>不涉及石油化工行业；不涉及VOCs排放；不涉及O</w:t>
                  </w:r>
                  <w:r>
                    <w:rPr>
                      <w:rFonts w:hint="eastAsia" w:ascii="Times New Roman" w:hAnsi="Times New Roman" w:cs="Times New Roman"/>
                      <w:color w:val="auto"/>
                      <w:sz w:val="21"/>
                      <w:szCs w:val="21"/>
                      <w:highlight w:val="none"/>
                      <w:vertAlign w:val="subscript"/>
                      <w:lang w:val="en-US" w:eastAsia="zh-CN"/>
                    </w:rPr>
                    <w:t>3</w:t>
                  </w:r>
                  <w:r>
                    <w:rPr>
                      <w:rFonts w:hint="eastAsia" w:ascii="Times New Roman" w:hAnsi="Times New Roman" w:cs="Times New Roman"/>
                      <w:color w:val="auto"/>
                      <w:sz w:val="21"/>
                      <w:szCs w:val="21"/>
                      <w:highlight w:val="none"/>
                      <w:lang w:val="en-US" w:eastAsia="zh-CN"/>
                    </w:rPr>
                    <w:t>排放。</w:t>
                  </w:r>
                  <w:r>
                    <w:rPr>
                      <w:rFonts w:hint="default" w:ascii="Times New Roman" w:hAnsi="Times New Roman" w:eastAsia="宋体" w:cs="Times New Roman"/>
                      <w:color w:val="auto"/>
                      <w:sz w:val="21"/>
                      <w:szCs w:val="21"/>
                      <w:highlight w:val="none"/>
                    </w:rPr>
                    <w:t>在采取相应环保措施后，各污染物均可实现达标排放。厂区厂房按要求采取分区防渗措施。</w:t>
                  </w:r>
                  <w:r>
                    <w:rPr>
                      <w:rFonts w:hint="eastAsia" w:ascii="Times New Roman" w:hAnsi="Times New Roman" w:cs="Times New Roman"/>
                      <w:color w:val="auto"/>
                      <w:sz w:val="21"/>
                      <w:szCs w:val="21"/>
                      <w:highlight w:val="none"/>
                      <w:lang w:val="en-US" w:eastAsia="zh-CN"/>
                    </w:rPr>
                    <w:t>烘干炉采用清洁能源。生产废水经厂内污水处理设施处理后（浓密池）全部回用。</w:t>
                  </w:r>
                </w:p>
              </w:tc>
              <w:tc>
                <w:tcPr>
                  <w:tcW w:w="425" w:type="dxa"/>
                  <w:tcBorders>
                    <w:tl2br w:val="nil"/>
                    <w:tr2bl w:val="nil"/>
                  </w:tcBorders>
                  <w:noWrap w:val="0"/>
                  <w:vAlign w:val="center"/>
                </w:tcPr>
                <w:p w14:paraId="094CE7A7">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F7ECF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c>
                <w:tcPr>
                  <w:tcW w:w="453" w:type="dxa"/>
                  <w:vMerge w:val="continue"/>
                  <w:tcBorders>
                    <w:tl2br w:val="nil"/>
                    <w:tr2bl w:val="nil"/>
                  </w:tcBorders>
                  <w:noWrap w:val="0"/>
                  <w:vAlign w:val="center"/>
                </w:tcPr>
                <w:p w14:paraId="03F39B2B">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567" w:type="dxa"/>
                  <w:vMerge w:val="continue"/>
                  <w:tcBorders>
                    <w:tl2br w:val="nil"/>
                    <w:tr2bl w:val="nil"/>
                  </w:tcBorders>
                  <w:noWrap w:val="0"/>
                  <w:vAlign w:val="center"/>
                </w:tcPr>
                <w:p w14:paraId="01284A7F">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5" w:type="dxa"/>
                  <w:vMerge w:val="continue"/>
                  <w:tcBorders>
                    <w:tl2br w:val="nil"/>
                    <w:tr2bl w:val="nil"/>
                  </w:tcBorders>
                  <w:noWrap w:val="0"/>
                  <w:vAlign w:val="center"/>
                </w:tcPr>
                <w:p w14:paraId="1CDDE349">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6" w:type="dxa"/>
                  <w:tcBorders>
                    <w:tl2br w:val="nil"/>
                    <w:tr2bl w:val="nil"/>
                  </w:tcBorders>
                  <w:noWrap w:val="0"/>
                  <w:vAlign w:val="center"/>
                </w:tcPr>
                <w:p w14:paraId="6168E53B">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w:t>
                  </w:r>
                </w:p>
                <w:p w14:paraId="40B45570">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境</w:t>
                  </w:r>
                </w:p>
                <w:p w14:paraId="5D827A2C">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w:t>
                  </w:r>
                </w:p>
                <w:p w14:paraId="091E87C0">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险</w:t>
                  </w:r>
                </w:p>
                <w:p w14:paraId="2991F374">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w:t>
                  </w:r>
                </w:p>
                <w:p w14:paraId="70B9F949">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控</w:t>
                  </w:r>
                </w:p>
              </w:tc>
              <w:tc>
                <w:tcPr>
                  <w:tcW w:w="3543" w:type="dxa"/>
                  <w:tcBorders>
                    <w:tl2br w:val="nil"/>
                    <w:tr2bl w:val="nil"/>
                  </w:tcBorders>
                  <w:noWrap w:val="0"/>
                  <w:vAlign w:val="center"/>
                </w:tcPr>
                <w:p w14:paraId="61119DE7">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重污染天气应急管控：提升空气质量预测预报水平，提高预测预报准确度。重污染天气应急响应期间，启动重污染天气应急预案，实施区域应急联动。重点行业企业纳入重污染天气绩效分级，制定“一厂一策”应急减排清单，实现应纳尽纳；引导重点企业在秋冬季安排停产检修计划，减少冬季和采暖期排放。</w:t>
                  </w:r>
                </w:p>
                <w:p w14:paraId="0A572552">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企业事业单位应当依照《中华人民共和国突发事件应对法》的规定，制定突发环境事件应急预案，做好突发环境事件的风险控制、应急准备、应急处置和事后恢复等工作。各类工业园区和工业聚集区应设立环境应急管理机构，编制环境风险应急预案，并具备环境风险应急救援能力。</w:t>
                  </w:r>
                </w:p>
                <w:p w14:paraId="2217B0E8">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加强入园企业风险管理，生产、使用、贮存、运输、回收、处置、排放有毒有害物质的单位应当采取有效措施，防止有毒有害物质渗漏、流失、扬散，避免土壤受到污染；入园企业应按规范强化地下水分区防渗等。园区及企业应按相关规范编制突发环境事件应急预案，建立完善突发环境事件应急响应机制。</w:t>
                  </w:r>
                </w:p>
                <w:p w14:paraId="044C1012">
                  <w:pPr>
                    <w:keepNext w:val="0"/>
                    <w:keepLines w:val="0"/>
                    <w:pageBreakBefore w:val="0"/>
                    <w:widowControl/>
                    <w:kinsoku/>
                    <w:wordWrap/>
                    <w:overflowPunct/>
                    <w:topLinePunct w:val="0"/>
                    <w:autoSpaceDE w:val="0"/>
                    <w:autoSpaceDN w:val="0"/>
                    <w:bidi w:val="0"/>
                    <w:adjustRightInd w:val="0"/>
                    <w:snapToGrid w:val="0"/>
                    <w:jc w:val="both"/>
                    <w:textAlignment w:val="auto"/>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6"/>
                      <w:sz w:val="21"/>
                      <w:szCs w:val="21"/>
                      <w:highlight w:val="none"/>
                    </w:rPr>
                    <w:t>4.重点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严格控制有毒有害物质排放，土壤污染重点监管单位应按年度向当地生态环境主管部门报告排放情况；建立土壤污染隐患排查制度，确保持续有效防止有毒有害物质渗漏、流失、扬散；应按相关规范编制突发环境事件应急预案，建立完善突发环境事件应急响应机制；制定、实施自行监测方案。</w:t>
                  </w:r>
                </w:p>
                <w:p w14:paraId="449B55FC">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开展涉危险废物涉化工园区等重点领域环境风险调查评估和隐患排查，严格落实重点行业污染物减排要求。推动疆内危险废物处置能力与产废情况总体匹配，推进兵地统筹，实现兵地间、区域间危险废物转移无缝衔接。定期开展环境应急演练，健全兵地环境应急指挥平台，环境应急预案体系。</w:t>
                  </w:r>
                </w:p>
                <w:p w14:paraId="36D372B1">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对高风险化学品生产、使用进行严格限制，并逐步淘汰替代，对高环境危害、高健康风险化学物质实施管制。提升化学品及持久性有机污染物监管能力，提高废弃危险化学品安全处置水平。组织排查危险化学品环境风险，重点排查危险化学品生产、储存、使用、经营、运输和废弃处置以及涉及危险化学品的物流园区环境风险，建立区域性危险化学品环境风险电子分布图。加强危险化学品风险管控，建立危险化学品安全、环保、应急救援一体化环境风险管理平台。逐步将兵地化学品生产、储存、使用、经营、运输和废弃处置等基本情况纳入管理平台，进行统一管理。</w:t>
                  </w:r>
                </w:p>
                <w:p w14:paraId="388A190D">
                  <w:pPr>
                    <w:autoSpaceDE w:val="0"/>
                    <w:autoSpaceDN w:val="0"/>
                    <w:adjustRightInd w:val="0"/>
                    <w:snapToGrid w:val="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7.持续开展地下水环境状况调查，实施水土环境风险协同防控，统筹区域地表水、地下水生态环境监管。加强化学品生产企业、工业聚集区等污染源的地上、地下协同防治与环境风险管控。</w:t>
                  </w:r>
                </w:p>
              </w:tc>
              <w:tc>
                <w:tcPr>
                  <w:tcW w:w="965" w:type="dxa"/>
                  <w:tcBorders>
                    <w:tl2br w:val="nil"/>
                    <w:tr2bl w:val="nil"/>
                  </w:tcBorders>
                  <w:noWrap w:val="0"/>
                  <w:vAlign w:val="center"/>
                </w:tcPr>
                <w:p w14:paraId="72303146">
                  <w:pPr>
                    <w:pStyle w:val="48"/>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项目不属于重点排污单位，</w:t>
                  </w:r>
                  <w:r>
                    <w:rPr>
                      <w:rFonts w:hint="eastAsia" w:ascii="Times New Roman" w:hAnsi="Times New Roman" w:cs="Times New Roman"/>
                      <w:color w:val="auto"/>
                      <w:sz w:val="21"/>
                      <w:szCs w:val="21"/>
                      <w:highlight w:val="none"/>
                      <w:lang w:val="en-US" w:eastAsia="zh-CN"/>
                    </w:rPr>
                    <w:t>不涉及危险化学品、化工行业。项目环评已要求</w:t>
                  </w:r>
                  <w:r>
                    <w:rPr>
                      <w:rFonts w:hint="default" w:ascii="Times New Roman" w:hAnsi="Times New Roman" w:eastAsia="宋体" w:cs="Times New Roman"/>
                      <w:color w:val="auto"/>
                      <w:sz w:val="21"/>
                      <w:szCs w:val="21"/>
                      <w:highlight w:val="none"/>
                    </w:rPr>
                    <w:t>分区防渗</w:t>
                  </w:r>
                  <w:r>
                    <w:rPr>
                      <w:rFonts w:hint="eastAsia" w:ascii="Times New Roman" w:hAnsi="Times New Roman" w:cs="Times New Roman"/>
                      <w:color w:val="auto"/>
                      <w:sz w:val="21"/>
                      <w:szCs w:val="21"/>
                      <w:highlight w:val="none"/>
                      <w:lang w:val="en-US" w:eastAsia="zh-CN"/>
                    </w:rPr>
                    <w:t>措施。本项目不涉及地下水污染途径。</w:t>
                  </w:r>
                  <w:r>
                    <w:rPr>
                      <w:rFonts w:hint="default" w:ascii="Times New Roman" w:hAnsi="Times New Roman" w:eastAsia="宋体" w:cs="Times New Roman"/>
                      <w:color w:val="auto"/>
                      <w:sz w:val="21"/>
                      <w:szCs w:val="21"/>
                      <w:highlight w:val="none"/>
                    </w:rPr>
                    <w:t>建成后将按要求编制突发环境事件应急预案并送有关部门备案。配备应急物资，定期开展应急演练。</w:t>
                  </w:r>
                </w:p>
              </w:tc>
              <w:tc>
                <w:tcPr>
                  <w:tcW w:w="425" w:type="dxa"/>
                  <w:tcBorders>
                    <w:tl2br w:val="nil"/>
                    <w:tr2bl w:val="nil"/>
                  </w:tcBorders>
                  <w:noWrap w:val="0"/>
                  <w:vAlign w:val="center"/>
                </w:tcPr>
                <w:p w14:paraId="4CB50457">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6540A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c>
                <w:tcPr>
                  <w:tcW w:w="453" w:type="dxa"/>
                  <w:vMerge w:val="continue"/>
                  <w:tcBorders>
                    <w:tl2br w:val="nil"/>
                    <w:tr2bl w:val="nil"/>
                  </w:tcBorders>
                  <w:noWrap w:val="0"/>
                  <w:vAlign w:val="center"/>
                </w:tcPr>
                <w:p w14:paraId="6A3DFD14">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567" w:type="dxa"/>
                  <w:vMerge w:val="continue"/>
                  <w:tcBorders>
                    <w:tl2br w:val="nil"/>
                    <w:tr2bl w:val="nil"/>
                  </w:tcBorders>
                  <w:noWrap w:val="0"/>
                  <w:vAlign w:val="center"/>
                </w:tcPr>
                <w:p w14:paraId="0573CAD9">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5" w:type="dxa"/>
                  <w:vMerge w:val="continue"/>
                  <w:tcBorders>
                    <w:tl2br w:val="nil"/>
                    <w:tr2bl w:val="nil"/>
                  </w:tcBorders>
                  <w:noWrap w:val="0"/>
                  <w:vAlign w:val="center"/>
                </w:tcPr>
                <w:p w14:paraId="0DB25806">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426" w:type="dxa"/>
                  <w:tcBorders>
                    <w:tl2br w:val="nil"/>
                    <w:tr2bl w:val="nil"/>
                  </w:tcBorders>
                  <w:noWrap w:val="0"/>
                  <w:vAlign w:val="center"/>
                </w:tcPr>
                <w:p w14:paraId="2A012A41">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w:t>
                  </w:r>
                </w:p>
                <w:p w14:paraId="3FB008E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源</w:t>
                  </w:r>
                </w:p>
                <w:p w14:paraId="2214EB4F">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开</w:t>
                  </w:r>
                </w:p>
                <w:p w14:paraId="385EAAF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发</w:t>
                  </w:r>
                </w:p>
                <w:p w14:paraId="77A12AB4">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效</w:t>
                  </w:r>
                </w:p>
                <w:p w14:paraId="105E1B4C">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率</w:t>
                  </w:r>
                </w:p>
              </w:tc>
              <w:tc>
                <w:tcPr>
                  <w:tcW w:w="3543" w:type="dxa"/>
                  <w:tcBorders>
                    <w:tl2br w:val="nil"/>
                    <w:tr2bl w:val="nil"/>
                  </w:tcBorders>
                  <w:noWrap w:val="0"/>
                  <w:vAlign w:val="center"/>
                </w:tcPr>
                <w:p w14:paraId="51DD28F9">
                  <w:pPr>
                    <w:pStyle w:val="48"/>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持续推进最严格水资源管理制度落实，严守水资源开发利用总量控制、用水效率控制和水功能区限制纳污“三条红线”。对于水耗总量大或单位产品水耗高的项目耗水指标要严于国家相关水耗标准的准入值，不达标的项目严格禁止新（扩）建。</w:t>
                  </w:r>
                </w:p>
                <w:p w14:paraId="47E90BA1">
                  <w:pPr>
                    <w:pStyle w:val="48"/>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石化化工行业：强化用水强度控制，在炼油、现代煤化工、烯烃、芳烃甲醇、化肥、氯碱、纯碱、硫酸、涂料等重点用水子行业有序开展用水、水平衡测试、节水诊断工作，发布重点产品水效“领跑者”指标，推动重点用水企业水效对标和节水技术改造。鼓励有条件的园区实施化工企业废水“分类收集、分质处理、一企一管、明管输送、实时监测”。大力推广应用电化学循环水处理、高浓度有机废水处理回用、水管网漏损检测、智慧用水管控系统等废水循环利用先进装备技术工艺，降低废水排放量。</w:t>
                  </w:r>
                </w:p>
              </w:tc>
              <w:tc>
                <w:tcPr>
                  <w:tcW w:w="965" w:type="dxa"/>
                  <w:tcBorders>
                    <w:tl2br w:val="nil"/>
                    <w:tr2bl w:val="nil"/>
                  </w:tcBorders>
                  <w:noWrap w:val="0"/>
                  <w:vAlign w:val="center"/>
                </w:tcPr>
                <w:p w14:paraId="19C81965">
                  <w:pPr>
                    <w:pStyle w:val="48"/>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项目资源消耗合理分配，项目用水不会触及资源利用</w:t>
                  </w:r>
                  <w:r>
                    <w:rPr>
                      <w:rFonts w:hint="default" w:ascii="Times New Roman" w:hAnsi="Times New Roman" w:eastAsia="宋体" w:cs="Times New Roman"/>
                      <w:color w:val="auto"/>
                      <w:sz w:val="21"/>
                      <w:szCs w:val="21"/>
                      <w:highlight w:val="none"/>
                      <w:lang w:eastAsia="zh-CN"/>
                    </w:rPr>
                    <w:t>上线</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项目不涉及石化化工行业。</w:t>
                  </w:r>
                </w:p>
                <w:p w14:paraId="3AB76932">
                  <w:pPr>
                    <w:pStyle w:val="4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eastAsia="zh-CN"/>
                    </w:rPr>
                    <w:t>冬季</w:t>
                  </w:r>
                  <w:r>
                    <w:rPr>
                      <w:rFonts w:hint="eastAsia" w:ascii="Times New Roman" w:hAnsi="Times New Roman" w:cs="Times New Roman"/>
                      <w:color w:val="auto"/>
                      <w:sz w:val="21"/>
                      <w:szCs w:val="21"/>
                      <w:highlight w:val="none"/>
                      <w:lang w:val="en-US" w:eastAsia="zh-CN"/>
                    </w:rPr>
                    <w:t>不生产，不涉及采暖</w:t>
                  </w:r>
                  <w:r>
                    <w:rPr>
                      <w:rFonts w:hint="default" w:ascii="Times New Roman" w:hAnsi="Times New Roman" w:eastAsia="宋体" w:cs="Times New Roman"/>
                      <w:color w:val="auto"/>
                      <w:sz w:val="21"/>
                      <w:szCs w:val="21"/>
                      <w:highlight w:val="none"/>
                    </w:rPr>
                    <w:t>。</w:t>
                  </w:r>
                </w:p>
              </w:tc>
              <w:tc>
                <w:tcPr>
                  <w:tcW w:w="425" w:type="dxa"/>
                  <w:tcBorders>
                    <w:tl2br w:val="nil"/>
                    <w:tr2bl w:val="nil"/>
                  </w:tcBorders>
                  <w:noWrap w:val="0"/>
                  <w:vAlign w:val="center"/>
                </w:tcPr>
                <w:p w14:paraId="073F6214">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6FFA5F9A">
            <w:pPr>
              <w:keepNext w:val="0"/>
              <w:keepLines w:val="0"/>
              <w:pageBreakBefore w:val="0"/>
              <w:widowControl/>
              <w:kinsoku/>
              <w:wordWrap/>
              <w:overflowPunct/>
              <w:topLinePunct w:val="0"/>
              <w:autoSpaceDE w:val="0"/>
              <w:autoSpaceDN w:val="0"/>
              <w:bidi w:val="0"/>
              <w:adjustRightInd w:val="0"/>
              <w:snapToGrid w:val="0"/>
              <w:spacing w:before="157" w:beforeLines="50" w:line="360" w:lineRule="auto"/>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3、选址</w:t>
            </w:r>
            <w:r>
              <w:rPr>
                <w:rFonts w:hint="default" w:ascii="Times New Roman" w:hAnsi="Times New Roman" w:eastAsia="宋体" w:cs="Times New Roman"/>
                <w:b/>
                <w:bCs/>
                <w:color w:val="auto"/>
                <w:highlight w:val="none"/>
                <w:lang w:eastAsia="zh-CN"/>
              </w:rPr>
              <w:t>合理性</w:t>
            </w:r>
            <w:r>
              <w:rPr>
                <w:rFonts w:hint="default" w:ascii="Times New Roman" w:hAnsi="Times New Roman" w:eastAsia="宋体" w:cs="Times New Roman"/>
                <w:b/>
                <w:bCs/>
                <w:color w:val="auto"/>
                <w:highlight w:val="none"/>
              </w:rPr>
              <w:t>分析</w:t>
            </w:r>
          </w:p>
          <w:p w14:paraId="11443FFF">
            <w:pPr>
              <w:keepNext w:val="0"/>
              <w:keepLines w:val="0"/>
              <w:pageBreakBefore w:val="0"/>
              <w:widowControl/>
              <w:kinsoku/>
              <w:wordWrap/>
              <w:overflowPunct/>
              <w:topLinePunct w:val="0"/>
              <w:autoSpaceDE w:val="0"/>
              <w:autoSpaceDN w:val="0"/>
              <w:bidi w:val="0"/>
              <w:adjustRightInd w:val="0"/>
              <w:snapToGrid w:val="0"/>
              <w:spacing w:line="360" w:lineRule="auto"/>
              <w:ind w:firstLine="456" w:firstLineChars="200"/>
              <w:jc w:val="both"/>
              <w:textAlignment w:val="auto"/>
              <w:rPr>
                <w:rFonts w:hint="default" w:ascii="Times New Roman" w:hAnsi="Times New Roman" w:eastAsia="宋体" w:cs="Times New Roman"/>
                <w:color w:val="auto"/>
                <w:spacing w:val="-6"/>
                <w:sz w:val="24"/>
                <w:highlight w:val="none"/>
                <w:lang w:eastAsia="zh-CN"/>
              </w:rPr>
            </w:pPr>
            <w:r>
              <w:rPr>
                <w:rFonts w:hint="default" w:ascii="Times New Roman" w:hAnsi="Times New Roman" w:eastAsia="宋体" w:cs="Times New Roman"/>
                <w:color w:val="auto"/>
                <w:spacing w:val="-6"/>
                <w:sz w:val="24"/>
                <w:highlight w:val="none"/>
              </w:rPr>
              <w:t>项目位于新疆</w:t>
            </w:r>
            <w:r>
              <w:rPr>
                <w:rFonts w:hint="eastAsia" w:ascii="Times New Roman" w:hAnsi="Times New Roman" w:cs="Times New Roman"/>
                <w:color w:val="auto"/>
                <w:spacing w:val="-6"/>
                <w:sz w:val="24"/>
                <w:highlight w:val="none"/>
                <w:lang w:eastAsia="zh-CN"/>
              </w:rPr>
              <w:t>和布克赛尔蒙古自治县</w:t>
            </w:r>
            <w:r>
              <w:rPr>
                <w:rFonts w:hint="default" w:ascii="Times New Roman" w:hAnsi="Times New Roman" w:eastAsia="宋体" w:cs="Times New Roman"/>
                <w:color w:val="auto"/>
                <w:spacing w:val="-6"/>
                <w:sz w:val="24"/>
                <w:highlight w:val="none"/>
              </w:rPr>
              <w:t>工业园区，项目选址有以下特点：项目所在区域道路贯通，交通极为便利；项目所在区域的供电、供水</w:t>
            </w:r>
            <w:r>
              <w:rPr>
                <w:rFonts w:hint="default" w:ascii="Times New Roman" w:hAnsi="Times New Roman" w:eastAsia="宋体" w:cs="Times New Roman"/>
                <w:color w:val="auto"/>
                <w:highlight w:val="none"/>
                <w:lang w:eastAsia="zh-CN"/>
              </w:rPr>
              <w:t>依托园区</w:t>
            </w:r>
            <w:r>
              <w:rPr>
                <w:rFonts w:hint="default" w:ascii="Times New Roman" w:hAnsi="Times New Roman" w:eastAsia="宋体" w:cs="Times New Roman"/>
                <w:color w:val="auto"/>
                <w:spacing w:val="-6"/>
                <w:sz w:val="24"/>
                <w:highlight w:val="none"/>
                <w:lang w:eastAsia="zh-CN"/>
              </w:rPr>
              <w:t>。</w:t>
            </w:r>
          </w:p>
          <w:p w14:paraId="2149F4D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区周围无风景名胜区、自然保护区等环境敏感区，且不在水源保护区、居民集中区，基本农田保护区内，项目所在区域内无重要环境敏感点，厂址符合土地用途管理和规划功能要求，且交通十分便利。故项目选址可行。</w:t>
            </w:r>
          </w:p>
          <w:p w14:paraId="38F548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项目所在地为工业用地，本项目非“三高”项目，</w:t>
            </w:r>
            <w:r>
              <w:rPr>
                <w:rFonts w:hint="default" w:ascii="Times New Roman" w:hAnsi="Times New Roman" w:eastAsia="宋体" w:cs="Times New Roman"/>
                <w:color w:val="auto"/>
                <w:highlight w:val="none"/>
                <w:lang w:eastAsia="zh-CN"/>
              </w:rPr>
              <w:t>污染物</w:t>
            </w:r>
            <w:r>
              <w:rPr>
                <w:rFonts w:hint="default" w:ascii="Times New Roman" w:hAnsi="Times New Roman" w:eastAsia="宋体" w:cs="Times New Roman"/>
                <w:color w:val="auto"/>
                <w:highlight w:val="none"/>
              </w:rPr>
              <w:t>经相应处理措施后可实现稳定达标排放。</w:t>
            </w:r>
          </w:p>
          <w:p w14:paraId="602371D5">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color w:val="auto"/>
                <w:highlight w:val="none"/>
              </w:rPr>
              <w:t>项目建成后，“三废”污染可控，对周边环境影响较小，不会改变区域现有环境功能，本项目符合园区土地利用规划、符合生态环境分区管控要求，选址</w:t>
            </w:r>
            <w:r>
              <w:rPr>
                <w:rFonts w:hint="default" w:ascii="Times New Roman" w:hAnsi="Times New Roman" w:eastAsia="宋体" w:cs="Times New Roman"/>
                <w:color w:val="auto"/>
                <w:highlight w:val="none"/>
                <w:lang w:eastAsia="zh-CN"/>
              </w:rPr>
              <w:t>合理</w:t>
            </w:r>
            <w:r>
              <w:rPr>
                <w:rFonts w:hint="default" w:ascii="Times New Roman" w:hAnsi="Times New Roman" w:eastAsia="宋体" w:cs="Times New Roman"/>
                <w:color w:val="auto"/>
                <w:highlight w:val="none"/>
              </w:rPr>
              <w:t>。</w:t>
            </w:r>
          </w:p>
          <w:p w14:paraId="3E6AF36E">
            <w:pPr>
              <w:pStyle w:val="10"/>
              <w:keepNext w:val="0"/>
              <w:keepLines w:val="0"/>
              <w:pageBreakBefore w:val="0"/>
              <w:widowControl/>
              <w:numPr>
                <w:ilvl w:val="0"/>
                <w:numId w:val="0"/>
              </w:numPr>
              <w:kinsoku/>
              <w:wordWrap/>
              <w:overflowPunct/>
              <w:topLinePunct w:val="0"/>
              <w:bidi w:val="0"/>
              <w:snapToGrid w:val="0"/>
              <w:spacing w:before="0" w:after="0" w:line="360" w:lineRule="auto"/>
              <w:ind w:right="113" w:rightChars="0" w:firstLine="360" w:firstLineChars="200"/>
              <w:textAlignment w:val="auto"/>
              <w:rPr>
                <w:rFonts w:hint="default" w:ascii="Times New Roman" w:hAnsi="Times New Roman" w:eastAsia="宋体" w:cs="Times New Roman"/>
                <w:color w:val="auto"/>
                <w:lang w:eastAsia="zh-CN"/>
              </w:rPr>
            </w:pPr>
          </w:p>
        </w:tc>
      </w:tr>
    </w:tbl>
    <w:p w14:paraId="23BCDC1A">
      <w:pPr>
        <w:spacing w:line="360" w:lineRule="auto"/>
        <w:outlineLvl w:val="0"/>
        <w:rPr>
          <w:rFonts w:eastAsia="黑体"/>
          <w:color w:val="auto"/>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9FCAE0C">
      <w:pPr>
        <w:pStyle w:val="18"/>
        <w:adjustRightInd w:val="0"/>
        <w:snapToGrid w:val="0"/>
        <w:spacing w:before="0" w:beforeAutospacing="0" w:after="0" w:afterAutospacing="0" w:line="14" w:lineRule="auto"/>
        <w:jc w:val="center"/>
        <w:outlineLvl w:val="9"/>
        <w:rPr>
          <w:rFonts w:hint="eastAsia" w:ascii="黑体" w:hAnsi="黑体" w:eastAsia="黑体"/>
          <w:snapToGrid w:val="0"/>
          <w:color w:val="auto"/>
          <w:sz w:val="30"/>
          <w:szCs w:val="30"/>
        </w:rPr>
      </w:pPr>
    </w:p>
    <w:p w14:paraId="33E62DD0">
      <w:pPr>
        <w:pStyle w:val="1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主要环境影响和保护措施</w:t>
      </w:r>
    </w:p>
    <w:tbl>
      <w:tblPr>
        <w:tblStyle w:val="22"/>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136"/>
      </w:tblGrid>
      <w:tr w14:paraId="4B2D65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48" w:hRule="atLeast"/>
          <w:jc w:val="center"/>
        </w:trPr>
        <w:tc>
          <w:tcPr>
            <w:tcW w:w="845" w:type="dxa"/>
            <w:noWrap w:val="0"/>
            <w:tcMar>
              <w:left w:w="28" w:type="dxa"/>
              <w:right w:w="28" w:type="dxa"/>
            </w:tcMar>
            <w:vAlign w:val="center"/>
          </w:tcPr>
          <w:p w14:paraId="2B70F00C">
            <w:pPr>
              <w:pStyle w:val="18"/>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施工</w:t>
            </w:r>
          </w:p>
          <w:p w14:paraId="38B3A3B4">
            <w:pPr>
              <w:pStyle w:val="18"/>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期环</w:t>
            </w:r>
          </w:p>
          <w:p w14:paraId="4A99FB6D">
            <w:pPr>
              <w:pStyle w:val="18"/>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境保</w:t>
            </w:r>
          </w:p>
          <w:p w14:paraId="379CD1D3">
            <w:pPr>
              <w:pStyle w:val="18"/>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护措</w:t>
            </w:r>
          </w:p>
          <w:p w14:paraId="6965158F">
            <w:pPr>
              <w:pStyle w:val="18"/>
              <w:adjustRightInd w:val="0"/>
              <w:snapToGrid w:val="0"/>
              <w:spacing w:before="0" w:beforeAutospacing="0" w:after="0" w:afterAutospacing="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4"/>
                <w:szCs w:val="24"/>
              </w:rPr>
              <w:t>施</w:t>
            </w:r>
          </w:p>
        </w:tc>
        <w:tc>
          <w:tcPr>
            <w:tcW w:w="8136" w:type="dxa"/>
            <w:noWrap w:val="0"/>
            <w:vAlign w:val="center"/>
          </w:tcPr>
          <w:p w14:paraId="53274F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施工期主要工程量为场地清理、设备基础工程及设备安装。施工期的扬尘主要来源于基础工程土方开挖及回填，运输车辆行驶，土方临时堆放等，施工期采取洒水、覆盖、限制车速等污染防治措施后对周围大气环境影响较小。施工人员生活污水排入市政管网，最终排入</w:t>
            </w:r>
            <w:r>
              <w:rPr>
                <w:rFonts w:hint="eastAsia" w:ascii="Times New Roman" w:hAnsi="Times New Roman" w:cs="Times New Roman"/>
                <w:color w:val="auto"/>
                <w:sz w:val="24"/>
                <w:szCs w:val="24"/>
                <w:lang w:val="en-US" w:eastAsia="zh-CN"/>
              </w:rPr>
              <w:t>和布克赛尔蒙古自治县</w:t>
            </w:r>
            <w:r>
              <w:rPr>
                <w:rFonts w:hint="default" w:ascii="Times New Roman" w:hAnsi="Times New Roman" w:eastAsia="宋体" w:cs="Times New Roman"/>
                <w:color w:val="auto"/>
                <w:sz w:val="24"/>
                <w:szCs w:val="24"/>
                <w:lang w:val="en-US" w:eastAsia="zh-CN"/>
              </w:rPr>
              <w:t>和丰工业园区污水处理厂处理，施工废水经沉淀池沉淀处理后回用，采取以上措施后，施工期废水对项目区及周边水环境影响较小。施工人员生活垃圾集中收集后委托环卫部门统一处理；建筑垃圾及时清运至当地城建部门指定地点，本项目施工期固废均可得到妥善处置。</w:t>
            </w:r>
          </w:p>
          <w:p w14:paraId="3D8D7B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施工</w:t>
            </w:r>
            <w:r>
              <w:rPr>
                <w:rFonts w:hint="default" w:ascii="Times New Roman" w:hAnsi="Times New Roman" w:eastAsia="宋体" w:cs="Times New Roman"/>
                <w:color w:val="auto"/>
                <w:sz w:val="24"/>
                <w:szCs w:val="24"/>
                <w:lang w:val="en-US" w:eastAsia="zh-CN"/>
              </w:rPr>
              <w:t>流程简单、工期较短，项目的施工对环境影响较小，待工期结束后污染随即消失。本项目施工期主要采取的防治措施如下：</w:t>
            </w:r>
          </w:p>
          <w:p w14:paraId="3B8FB3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szCs w:val="24"/>
                <w:lang w:val="en-US" w:eastAsia="zh-CN" w:bidi="ar-SA"/>
              </w:rPr>
              <w:t>1.</w:t>
            </w:r>
            <w:r>
              <w:rPr>
                <w:rFonts w:hint="default" w:ascii="Times New Roman" w:hAnsi="Times New Roman" w:eastAsia="宋体" w:cs="Times New Roman"/>
                <w:b/>
                <w:bCs/>
                <w:color w:val="auto"/>
                <w:sz w:val="24"/>
                <w:highlight w:val="none"/>
                <w:lang w:val="en-US" w:eastAsia="zh-CN"/>
              </w:rPr>
              <w:t>大气污染防治措施</w:t>
            </w:r>
          </w:p>
          <w:p w14:paraId="2526F5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（1）散装物料的堆存要加盖苫布，定期对施工场地及运输道路洒水抑尘，以降低扬尘污染。扬尘防治管理应符合</w:t>
            </w:r>
            <w:bookmarkStart w:id="6" w:name="OLE_LINK25"/>
            <w:r>
              <w:rPr>
                <w:rFonts w:hint="default" w:ascii="Times New Roman" w:hAnsi="Times New Roman" w:eastAsia="宋体" w:cs="Times New Roman"/>
                <w:color w:val="auto"/>
                <w:sz w:val="24"/>
                <w:highlight w:val="none"/>
                <w:lang w:val="en-US" w:eastAsia="zh-CN"/>
              </w:rPr>
              <w:t>《建筑工程绿色施工规范》（GB/T50905</w:t>
            </w:r>
            <w:bookmarkEnd w:id="6"/>
            <w:r>
              <w:rPr>
                <w:rFonts w:hint="default" w:ascii="Times New Roman" w:hAnsi="Times New Roman" w:eastAsia="宋体" w:cs="Times New Roman"/>
                <w:color w:val="auto"/>
                <w:sz w:val="24"/>
                <w:highlight w:val="none"/>
                <w:lang w:val="en-US" w:eastAsia="zh-CN"/>
              </w:rPr>
              <w:t>-2014）的规定，施工现场主要道路、材料堆放场地、露天加工场地应根据用途进行硬化，裸露的场地和集中堆放的土方应采取密目网进行覆盖、洒水、固化或绿化措施。</w:t>
            </w:r>
          </w:p>
          <w:p w14:paraId="3246C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（2）在施工场地设置专人监管建筑垃圾、建筑材料、弃土的堆放、清运和处置，防止二次扬尘污染。</w:t>
            </w:r>
          </w:p>
          <w:p w14:paraId="3EF7D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（3）加强运输管理，如运输车辆应加盖篷布，不能超载过量；严禁车辆在行驶中沿途遗撒建筑材料及建筑废料。</w:t>
            </w:r>
          </w:p>
          <w:p w14:paraId="63142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（4）施工现场对粉状物料必须封闭存放，对易产生扬尘的堆放材料应采取封闭、半封闭和覆盖措施；可能引起扬尘的材料及建筑垃圾搬运时必须有防尘措施。</w:t>
            </w:r>
          </w:p>
          <w:p w14:paraId="27D236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在施工过程中应该尽量使用符合国家现行有关标准规定的、低污染排放的车辆和设备，采取控制速度，缩短怠速、减速和加速的时间；并注意设备的日常检修和维护，保证设备在正常工况条件下运转，以减轻尾气污染。</w:t>
            </w:r>
          </w:p>
          <w:p w14:paraId="7E78A4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（6）加强对施工人员的环保教育，提高全体施工人员的环保意识，坚持文明施工、科学施工，减少施工期间的大气污染。</w:t>
            </w:r>
          </w:p>
          <w:p w14:paraId="67029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（7）遇到四级以上大风天气，不应进行土方回填、转运以及其他可能产生扬尘污染的施工；五级及以上大风天气，施工现场应停止工地室外作业及室内喷涂粉刷作业，并对作业面进行覆盖。</w:t>
            </w:r>
          </w:p>
          <w:p w14:paraId="3D7B6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（8）施工现场严禁焚烧各类废弃物。</w:t>
            </w:r>
          </w:p>
          <w:p w14:paraId="4A064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通过采取上述防尘、降尘措施，尽量将施工期间产生的废气对周围环境空气的影响降低到最低限度。</w:t>
            </w:r>
          </w:p>
          <w:p w14:paraId="5F547B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2. 水环境保护措施</w:t>
            </w:r>
          </w:p>
          <w:p w14:paraId="1165A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施工期的废水主要来自建筑施工废水和部分工人的生活污水。建筑废水主要来自施工过程中的养护等施工工序，主要污染物是SS，废水量较少。</w:t>
            </w:r>
          </w:p>
          <w:p w14:paraId="2D566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（1）本项目施工过程中产生的生活污水经过临时化粪池处理后通过用于洒水抑尘，待工程建设完成后，拆除临时化粪池。</w:t>
            </w:r>
          </w:p>
          <w:p w14:paraId="5BED9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（2）生产废水施工期间的生产用水主要为混凝土养护用水和地面喷洒水，自然蒸干，不外排，不会对周围环境造成不利影响。</w:t>
            </w:r>
          </w:p>
          <w:p w14:paraId="2C860B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加强施工机械设备的维修保养，避免在施工过程中燃料油的跑、冒、滴、漏；定期清洁建筑施工机械表面不必要的润滑油及其它油污，对废油应妥善处置；不得随意在施工区域内冲洗汽车，对施工机械进行检修和清洗时必须定点，清洗污水应根据废水性质进行隔渣、隔油和沉淀处理，用于道路的洒水降尘；</w:t>
            </w:r>
          </w:p>
          <w:p w14:paraId="46CE4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（4）施工区集水池、沉砂池等均设置防渗层，防止施工期废水下渗污染地下水。</w:t>
            </w:r>
          </w:p>
          <w:p w14:paraId="15793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采取以上措施，施工期废水对环境影响不大。</w:t>
            </w:r>
          </w:p>
          <w:p w14:paraId="3455EB05">
            <w:pPr>
              <w:pStyle w:val="48"/>
              <w:numPr>
                <w:ilvl w:val="0"/>
                <w:numId w:val="0"/>
              </w:numPr>
              <w:spacing w:line="360" w:lineRule="auto"/>
              <w:ind w:left="0" w:leftChars="0" w:firstLine="0" w:firstLineChars="0"/>
              <w:rPr>
                <w:rFonts w:hint="default" w:ascii="Times New Roman" w:hAnsi="Times New Roman" w:eastAsia="宋体" w:cs="Times New Roman"/>
                <w:b/>
                <w:color w:val="auto"/>
                <w:spacing w:val="-10"/>
                <w:sz w:val="24"/>
                <w:szCs w:val="24"/>
              </w:rPr>
            </w:pPr>
            <w:r>
              <w:rPr>
                <w:rFonts w:hint="default" w:ascii="Times New Roman" w:hAnsi="Times New Roman" w:cs="Times New Roman"/>
                <w:b/>
                <w:color w:val="auto"/>
                <w:spacing w:val="-10"/>
                <w:sz w:val="24"/>
                <w:szCs w:val="24"/>
                <w:lang w:val="en-US" w:eastAsia="zh-CN"/>
              </w:rPr>
              <w:t xml:space="preserve">3. </w:t>
            </w:r>
            <w:r>
              <w:rPr>
                <w:rFonts w:hint="default" w:ascii="Times New Roman" w:hAnsi="Times New Roman" w:eastAsia="宋体" w:cs="Times New Roman"/>
                <w:b/>
                <w:color w:val="auto"/>
                <w:spacing w:val="-10"/>
                <w:sz w:val="24"/>
                <w:szCs w:val="24"/>
              </w:rPr>
              <w:t>声环境保护措施</w:t>
            </w:r>
          </w:p>
          <w:p w14:paraId="45F69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施工机械对周围环境影响较大，在经厂房隔声后，距离厂房内声源40m处的位置施工噪声约为50～59dB(A)。部分设备排放的噪声超过《建筑施工噪声排放标准》（GB12523—2025）排放限值[白天70dB（A），夜间55dB（A）]。</w:t>
            </w:r>
          </w:p>
          <w:p w14:paraId="2B896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为减轻施工噪声的环境影响建议采取的措施如下：</w:t>
            </w:r>
          </w:p>
          <w:p w14:paraId="1D3D0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（1）制订施工计划时，应避免同时使用大量高噪声设备施工；合理安排施工布局，尽量将强噪声设备（如电锯等）安装在场地中部；。</w:t>
            </w:r>
          </w:p>
          <w:p w14:paraId="1B078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（2）施工现场必须使用低噪音、低振动的机具，并采取隔音与隔振动措施。加强施工机械的维护保养，并加强对现场工作人员进行培训，严格按操作规范使用各类机械设备，有效降低机械设备运转的噪声源强；</w:t>
            </w:r>
          </w:p>
          <w:p w14:paraId="175FB8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（3）合理安排强噪声施工机械的工作频次，强噪声机械采取降噪措施，如安装消声器、减震垫等，从源头减少噪声污染；</w:t>
            </w:r>
          </w:p>
          <w:p w14:paraId="76EA5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施工车辆的运行路线应尽量避开噪声敏感区域，合理调配车辆来往行车密度；材料运输车辆进入场地需安排专人指挥，场内禁止汽车鸣笛，材料装卸采用人工传递，装卸材料应做到轻拿轻放，严禁抛掷或汽车一次性下料；</w:t>
            </w:r>
          </w:p>
          <w:p w14:paraId="65347D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（5）做好劳动保护工作，为强噪声源施工机械操作人员配备必要的防护耳塞或耳罩；</w:t>
            </w:r>
          </w:p>
          <w:p w14:paraId="2966E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（6）施工现场做好围挡与封闭，在保证施工安全的同时也可进一步衰减施工噪声，场界环境噪声排放符合《建筑施工噪声排放标准》（GB12523—2025）的规定。</w:t>
            </w:r>
          </w:p>
          <w:p w14:paraId="486768FA">
            <w:pPr>
              <w:pStyle w:val="48"/>
              <w:spacing w:line="360" w:lineRule="auto"/>
              <w:rPr>
                <w:rFonts w:hint="default" w:ascii="Times New Roman" w:hAnsi="Times New Roman" w:eastAsia="宋体" w:cs="Times New Roman"/>
                <w:b/>
                <w:color w:val="auto"/>
                <w:spacing w:val="-10"/>
                <w:sz w:val="24"/>
                <w:szCs w:val="24"/>
              </w:rPr>
            </w:pPr>
            <w:r>
              <w:rPr>
                <w:rFonts w:hint="default" w:ascii="Times New Roman" w:hAnsi="Times New Roman" w:eastAsia="宋体" w:cs="Times New Roman"/>
                <w:b/>
                <w:color w:val="auto"/>
                <w:spacing w:val="-10"/>
                <w:sz w:val="24"/>
                <w:szCs w:val="24"/>
              </w:rPr>
              <w:t>4. 固体废物环境保护措施</w:t>
            </w:r>
          </w:p>
          <w:p w14:paraId="4BD6C7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施工期应采取以下固体废物防治措施：</w:t>
            </w:r>
          </w:p>
          <w:p w14:paraId="099E7C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（1）根据施工产生的工程垃圾的量，分类管理，建筑垃圾应运往当地环卫及城建部门规划的场所统一集中处置，严禁乱倒，以防污影响周围环境卫生；</w:t>
            </w:r>
          </w:p>
          <w:p w14:paraId="01FC9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（2）车辆运输散装物料和废弃物时，必须覆盖，不得沿途漏撒；运载土方的车辆必须在规定时间内，按指定路段行驶；</w:t>
            </w:r>
          </w:p>
          <w:p w14:paraId="5BF7A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（3）废弃在施工场地的金属、木料等可回收材料要及时回收，建筑垃圾应运往当地环卫及城建部门规划的场所统一集中处置，生活垃圾运至和布克赛尔工业园垃圾处理场，不得随意倾倒。</w:t>
            </w:r>
          </w:p>
          <w:p w14:paraId="09920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（4）在工程竣工以后，施工单位应拆除各种临时施工设施，并负责将工地的剩余建筑垃圾清运和回填，做到“工完、料尽、场地清”，建设单位应负责督促施工单位的固体废物处置清理工作。</w:t>
            </w:r>
          </w:p>
          <w:p w14:paraId="69C34CED">
            <w:pPr>
              <w:pStyle w:val="48"/>
              <w:spacing w:line="360" w:lineRule="auto"/>
              <w:rPr>
                <w:rFonts w:hint="default" w:ascii="Times New Roman" w:hAnsi="Times New Roman" w:eastAsia="宋体" w:cs="Times New Roman"/>
                <w:b/>
                <w:color w:val="auto"/>
                <w:spacing w:val="-10"/>
                <w:sz w:val="24"/>
                <w:szCs w:val="24"/>
              </w:rPr>
            </w:pPr>
            <w:r>
              <w:rPr>
                <w:rFonts w:hint="default" w:ascii="Times New Roman" w:hAnsi="Times New Roman" w:eastAsia="宋体" w:cs="Times New Roman"/>
                <w:b/>
                <w:color w:val="auto"/>
                <w:spacing w:val="-10"/>
                <w:sz w:val="24"/>
                <w:szCs w:val="24"/>
              </w:rPr>
              <w:t>5. 生态环境</w:t>
            </w:r>
            <w:r>
              <w:rPr>
                <w:rFonts w:hint="default" w:ascii="Times New Roman" w:hAnsi="Times New Roman" w:eastAsia="宋体" w:cs="Times New Roman"/>
                <w:b/>
                <w:bCs/>
                <w:color w:val="auto"/>
                <w:sz w:val="24"/>
                <w:szCs w:val="24"/>
                <w:lang w:val="en-US" w:eastAsia="zh-CN"/>
              </w:rPr>
              <w:t>防治措施</w:t>
            </w:r>
          </w:p>
          <w:p w14:paraId="38789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pacing w:val="-10"/>
                <w:sz w:val="24"/>
                <w:szCs w:val="24"/>
              </w:rPr>
            </w:pPr>
            <w:r>
              <w:rPr>
                <w:rFonts w:hint="default" w:ascii="Times New Roman" w:hAnsi="Times New Roman" w:eastAsia="宋体" w:cs="Times New Roman"/>
                <w:color w:val="auto"/>
                <w:sz w:val="24"/>
                <w:szCs w:val="24"/>
                <w:lang w:val="en-US" w:eastAsia="zh-CN"/>
              </w:rPr>
              <w:t>本项目用地性质为工业用地。经现场调查，用地范围内无生态环境保护目标，因此只要严格将施工范围控制在本项目永久占地范围内，不在厂外扩大施工范围和新增施工临时占地，施工期对周围生态环境影响较小。</w:t>
            </w:r>
          </w:p>
        </w:tc>
      </w:tr>
      <w:tr w14:paraId="307C0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2" w:hRule="atLeast"/>
          <w:jc w:val="center"/>
        </w:trPr>
        <w:tc>
          <w:tcPr>
            <w:tcW w:w="845" w:type="dxa"/>
            <w:noWrap w:val="0"/>
            <w:tcMar>
              <w:left w:w="28" w:type="dxa"/>
              <w:right w:w="28" w:type="dxa"/>
            </w:tcMar>
            <w:vAlign w:val="center"/>
          </w:tcPr>
          <w:p w14:paraId="065EBCE3">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运营</w:t>
            </w:r>
          </w:p>
          <w:p w14:paraId="2FF82171">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期环</w:t>
            </w:r>
          </w:p>
          <w:p w14:paraId="47932DBD">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境影</w:t>
            </w:r>
          </w:p>
          <w:p w14:paraId="6B2955F5">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响和</w:t>
            </w:r>
          </w:p>
          <w:p w14:paraId="232BFDA3">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保护</w:t>
            </w:r>
          </w:p>
          <w:p w14:paraId="201C8750">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措施</w:t>
            </w:r>
          </w:p>
        </w:tc>
        <w:tc>
          <w:tcPr>
            <w:tcW w:w="8136" w:type="dxa"/>
            <w:noWrap w:val="0"/>
            <w:vAlign w:val="center"/>
          </w:tcPr>
          <w:p w14:paraId="103113E9">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1.废气</w:t>
            </w:r>
          </w:p>
          <w:p w14:paraId="1FB0BD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项目运营期废气污染物包括：原料装卸、堆存扬尘；上料粉尘；包装扬尘、道路运输、扬尘及汽车尾气。</w:t>
            </w:r>
          </w:p>
          <w:p w14:paraId="3D9798D7">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1.1源强计算</w:t>
            </w:r>
          </w:p>
          <w:p w14:paraId="1AFF6B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（1）堆场扬尘</w:t>
            </w:r>
          </w:p>
          <w:p w14:paraId="49506C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2"/>
                <w:sz w:val="24"/>
                <w:szCs w:val="24"/>
                <w:lang w:val="en-US" w:eastAsia="zh-CN" w:bidi="ar-SA"/>
              </w:rPr>
              <w:t>本项目堆场扬尘主要为原料堆场</w:t>
            </w:r>
            <w:r>
              <w:rPr>
                <w:rFonts w:hint="default" w:ascii="Times New Roman" w:hAnsi="Times New Roman" w:cs="Times New Roman"/>
                <w:color w:val="auto"/>
                <w:kern w:val="2"/>
                <w:sz w:val="24"/>
                <w:szCs w:val="24"/>
                <w:lang w:val="en-US" w:eastAsia="zh-CN" w:bidi="ar-SA"/>
              </w:rPr>
              <w:t>产生</w:t>
            </w:r>
            <w:r>
              <w:rPr>
                <w:rFonts w:hint="default" w:ascii="Times New Roman" w:hAnsi="Times New Roman" w:eastAsia="宋体" w:cs="Times New Roman"/>
                <w:color w:val="auto"/>
                <w:kern w:val="2"/>
                <w:sz w:val="24"/>
                <w:szCs w:val="24"/>
                <w:lang w:val="en-US" w:eastAsia="zh-CN" w:bidi="ar-SA"/>
              </w:rPr>
              <w:t>的扬尘。据调查，塔城市2024年年平均风速为2.7m/s。本项目原料堆场占地面积为1000m</w:t>
            </w:r>
            <w:r>
              <w:rPr>
                <w:rFonts w:hint="default" w:ascii="Times New Roman" w:hAnsi="Times New Roman" w:eastAsia="宋体" w:cs="Times New Roman"/>
                <w:color w:val="auto"/>
                <w:kern w:val="2"/>
                <w:sz w:val="24"/>
                <w:szCs w:val="24"/>
                <w:vertAlign w:val="superscript"/>
                <w:lang w:val="en-US" w:eastAsia="zh-CN" w:bidi="ar-SA"/>
              </w:rPr>
              <w:t>2</w:t>
            </w:r>
            <w:r>
              <w:rPr>
                <w:rFonts w:hint="default" w:ascii="Times New Roman" w:hAnsi="Times New Roman" w:eastAsia="宋体" w:cs="Times New Roman"/>
                <w:color w:val="auto"/>
                <w:kern w:val="2"/>
                <w:sz w:val="24"/>
                <w:szCs w:val="24"/>
                <w:lang w:val="en-US" w:eastAsia="zh-CN" w:bidi="ar-SA"/>
              </w:rPr>
              <w:t>，堆存规模＜10000m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sz w:val="24"/>
                <w:szCs w:val="24"/>
                <w:lang w:val="en-US" w:eastAsia="zh-CN"/>
              </w:rPr>
              <w:t>在运营期间，外购原料被运送至项目区内的露天原料堆场</w:t>
            </w:r>
            <w:r>
              <w:rPr>
                <w:rFonts w:hint="default" w:ascii="Times New Roman" w:hAnsi="Times New Roman" w:cs="Times New Roman"/>
                <w:color w:val="auto"/>
                <w:sz w:val="24"/>
                <w:szCs w:val="24"/>
                <w:lang w:val="en-US" w:eastAsia="zh-CN"/>
              </w:rPr>
              <w:t>进行堆</w:t>
            </w:r>
            <w:r>
              <w:rPr>
                <w:rFonts w:hint="default" w:ascii="Times New Roman" w:hAnsi="Times New Roman" w:eastAsia="宋体" w:cs="Times New Roman"/>
                <w:color w:val="auto"/>
                <w:sz w:val="24"/>
                <w:szCs w:val="24"/>
                <w:lang w:val="en-US" w:eastAsia="zh-CN"/>
              </w:rPr>
              <w:t>存。本项目所使用的原料呈</w:t>
            </w:r>
            <w:r>
              <w:rPr>
                <w:rFonts w:hint="default" w:ascii="Times New Roman" w:hAnsi="Times New Roman" w:cs="Times New Roman"/>
                <w:color w:val="auto"/>
                <w:sz w:val="24"/>
                <w:szCs w:val="24"/>
                <w:lang w:val="en-US" w:eastAsia="zh-CN"/>
              </w:rPr>
              <w:t>小粒径的粉状及颗粒状固体，并且原料沾有少量泥土。因此，</w:t>
            </w:r>
            <w:r>
              <w:rPr>
                <w:rFonts w:hint="default" w:ascii="Times New Roman" w:hAnsi="Times New Roman" w:eastAsia="宋体" w:cs="Times New Roman"/>
                <w:color w:val="auto"/>
                <w:sz w:val="24"/>
                <w:szCs w:val="24"/>
                <w:lang w:val="en-US" w:eastAsia="zh-CN"/>
              </w:rPr>
              <w:t>在原料的装卸</w:t>
            </w:r>
            <w:r>
              <w:rPr>
                <w:rFonts w:hint="default" w:ascii="Times New Roman" w:hAnsi="Times New Roman" w:cs="Times New Roman"/>
                <w:color w:val="auto"/>
                <w:sz w:val="24"/>
                <w:szCs w:val="24"/>
                <w:lang w:val="en-US" w:eastAsia="zh-CN"/>
              </w:rPr>
              <w:t>与堆</w:t>
            </w:r>
            <w:r>
              <w:rPr>
                <w:rFonts w:hint="default" w:ascii="Times New Roman" w:hAnsi="Times New Roman" w:eastAsia="宋体" w:cs="Times New Roman"/>
                <w:color w:val="auto"/>
                <w:sz w:val="24"/>
                <w:szCs w:val="24"/>
                <w:lang w:val="en-US" w:eastAsia="zh-CN"/>
              </w:rPr>
              <w:t>存过程中，会出现扬尘现象。</w:t>
            </w:r>
            <w:r>
              <w:rPr>
                <w:rFonts w:hint="default" w:ascii="Times New Roman" w:hAnsi="Times New Roman" w:cs="Times New Roman"/>
                <w:color w:val="auto"/>
                <w:sz w:val="24"/>
                <w:szCs w:val="24"/>
                <w:lang w:val="en-US" w:eastAsia="zh-CN"/>
              </w:rPr>
              <w:t>为</w:t>
            </w:r>
            <w:r>
              <w:rPr>
                <w:rFonts w:hint="default" w:ascii="Times New Roman" w:hAnsi="Times New Roman" w:eastAsia="宋体" w:cs="Times New Roman"/>
                <w:color w:val="auto"/>
                <w:kern w:val="2"/>
                <w:sz w:val="24"/>
                <w:szCs w:val="24"/>
                <w:lang w:val="en-US" w:eastAsia="zh-CN" w:bidi="ar-SA"/>
              </w:rPr>
              <w:t>控制原料堆场</w:t>
            </w:r>
            <w:r>
              <w:rPr>
                <w:rFonts w:hint="default" w:ascii="Times New Roman" w:hAnsi="Times New Roman" w:cs="Times New Roman"/>
                <w:color w:val="auto"/>
                <w:kern w:val="2"/>
                <w:sz w:val="24"/>
                <w:szCs w:val="24"/>
                <w:lang w:val="en-US" w:eastAsia="zh-CN" w:bidi="ar-SA"/>
              </w:rPr>
              <w:t>扬尘，原料装卸过程中，采取喷淋降尘措施，对其表面覆盖篷布</w:t>
            </w:r>
            <w:r>
              <w:rPr>
                <w:rFonts w:hint="default" w:ascii="Times New Roman" w:hAnsi="Times New Roman" w:eastAsia="宋体" w:cs="Times New Roman"/>
                <w:color w:val="auto"/>
                <w:sz w:val="24"/>
                <w:szCs w:val="24"/>
                <w:lang w:val="en-US" w:eastAsia="zh-CN"/>
              </w:rPr>
              <w:t>。</w:t>
            </w:r>
          </w:p>
          <w:p w14:paraId="2E03F99A">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堆场</w:t>
            </w:r>
            <w:r>
              <w:rPr>
                <w:rFonts w:hint="default" w:ascii="Times New Roman" w:hAnsi="Times New Roman" w:cs="Times New Roman"/>
                <w:color w:val="auto"/>
                <w:highlight w:val="none"/>
                <w:lang w:val="en-US" w:eastAsia="zh-CN"/>
              </w:rPr>
              <w:t>颗粒物产排量核算按照</w:t>
            </w:r>
            <w:r>
              <w:rPr>
                <w:rFonts w:hint="default" w:ascii="Times New Roman" w:hAnsi="Times New Roman" w:cs="Times New Roman"/>
                <w:color w:val="auto"/>
                <w:highlight w:val="none"/>
              </w:rPr>
              <w:t>《排放源统计调查产排污核算方法和系数手册》（公告2021年第24号）</w:t>
            </w:r>
            <w:r>
              <w:rPr>
                <w:rFonts w:hint="default" w:ascii="Times New Roman" w:hAnsi="Times New Roman" w:cs="Times New Roman"/>
                <w:color w:val="auto"/>
                <w:highlight w:val="none"/>
                <w:lang w:val="en-US" w:eastAsia="zh-CN"/>
              </w:rPr>
              <w:t>中“</w:t>
            </w:r>
            <w:r>
              <w:rPr>
                <w:rFonts w:hint="default" w:ascii="Times New Roman" w:hAnsi="Times New Roman" w:cs="Times New Roman"/>
                <w:color w:val="auto"/>
                <w:highlight w:val="none"/>
              </w:rPr>
              <w:t>附表2工业源固体物料堆场颗粒物核算系数手册</w:t>
            </w:r>
            <w:r>
              <w:rPr>
                <w:rFonts w:hint="default" w:ascii="Times New Roman" w:hAnsi="Times New Roman" w:cs="Times New Roman"/>
                <w:color w:val="auto"/>
                <w:highlight w:val="none"/>
                <w:lang w:val="en-US" w:eastAsia="zh-CN"/>
              </w:rPr>
              <w:t>”计算</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计算公式如下：</w:t>
            </w:r>
          </w:p>
          <w:p w14:paraId="09278A68">
            <w:pPr>
              <w:pStyle w:val="76"/>
              <w:adjustRightInd w:val="0"/>
              <w:ind w:firstLine="48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颗粒物产生量核算：</w:t>
            </w:r>
          </w:p>
          <w:p w14:paraId="3454DFEB">
            <w:pPr>
              <w:pStyle w:val="76"/>
              <w:adjustRightInd w:val="0"/>
              <w:ind w:left="0" w:lef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object>
                <v:shape id="_x0000_i1025" o:spt="75" type="#_x0000_t75" style="height:19pt;width:247pt;" o:ole="t" filled="f" o:preferrelative="t" stroked="f" coordsize="21600,21600">
                  <v:path/>
                  <v:fill on="f" focussize="0,0"/>
                  <v:stroke on="f"/>
                  <v:imagedata r:id="rId7" o:title=""/>
                  <o:lock v:ext="edit" aspectratio="t"/>
                  <w10:wrap type="none"/>
                  <w10:anchorlock/>
                </v:shape>
                <o:OLEObject Type="Embed" ProgID="Equation.KSEE3" ShapeID="_x0000_i1025" DrawAspect="Content" ObjectID="_1468075725" r:id="rId6">
                  <o:LockedField>false</o:LockedField>
                </o:OLEObject>
              </w:object>
            </w:r>
          </w:p>
          <w:p w14:paraId="7408B754">
            <w:pPr>
              <w:pStyle w:val="76"/>
              <w:adjustRightInd w:val="0"/>
              <w:ind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式中：P指颗粒物产生量（单位：t）；</w:t>
            </w:r>
          </w:p>
          <w:p w14:paraId="2946F569">
            <w:pPr>
              <w:pStyle w:val="76"/>
              <w:adjustRightInd w:val="0"/>
              <w:ind w:firstLine="1200" w:firstLineChars="5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ZC</w:t>
            </w:r>
            <w:r>
              <w:rPr>
                <w:rFonts w:hint="default" w:ascii="Times New Roman" w:hAnsi="Times New Roman" w:eastAsia="宋体" w:cs="Times New Roman"/>
                <w:color w:val="auto"/>
                <w:highlight w:val="none"/>
                <w:vertAlign w:val="subscript"/>
                <w:lang w:val="en-US" w:eastAsia="zh-CN"/>
              </w:rPr>
              <w:t>y</w:t>
            </w:r>
            <w:r>
              <w:rPr>
                <w:rFonts w:hint="default" w:ascii="Times New Roman" w:hAnsi="Times New Roman" w:eastAsia="宋体" w:cs="Times New Roman"/>
                <w:color w:val="auto"/>
                <w:highlight w:val="none"/>
                <w:lang w:val="en-US" w:eastAsia="zh-CN"/>
              </w:rPr>
              <w:t>指装卸扬尘产生量（单位：t）；</w:t>
            </w:r>
          </w:p>
          <w:p w14:paraId="53AB2803">
            <w:pPr>
              <w:pStyle w:val="76"/>
              <w:adjustRightInd w:val="0"/>
              <w:ind w:firstLine="1200" w:firstLineChars="5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FC</w:t>
            </w:r>
            <w:r>
              <w:rPr>
                <w:rFonts w:hint="default" w:ascii="Times New Roman" w:hAnsi="Times New Roman" w:eastAsia="宋体" w:cs="Times New Roman"/>
                <w:color w:val="auto"/>
                <w:highlight w:val="none"/>
                <w:vertAlign w:val="subscript"/>
                <w:lang w:val="en-US" w:eastAsia="zh-CN"/>
              </w:rPr>
              <w:t>y</w:t>
            </w:r>
            <w:r>
              <w:rPr>
                <w:rFonts w:hint="default" w:ascii="Times New Roman" w:hAnsi="Times New Roman" w:eastAsia="宋体" w:cs="Times New Roman"/>
                <w:color w:val="auto"/>
                <w:highlight w:val="none"/>
                <w:lang w:val="en-US" w:eastAsia="zh-CN"/>
              </w:rPr>
              <w:t>指风蚀扬尘产生量（单位：t）；</w:t>
            </w:r>
          </w:p>
          <w:p w14:paraId="5E20D988">
            <w:pPr>
              <w:pStyle w:val="76"/>
              <w:adjustRightInd w:val="0"/>
              <w:ind w:firstLine="1200" w:firstLineChars="5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w:t>
            </w:r>
            <w:r>
              <w:rPr>
                <w:rFonts w:hint="default" w:ascii="Times New Roman" w:hAnsi="Times New Roman" w:eastAsia="宋体" w:cs="Times New Roman"/>
                <w:color w:val="auto"/>
                <w:highlight w:val="none"/>
                <w:vertAlign w:val="subscript"/>
                <w:lang w:val="en-US" w:eastAsia="zh-CN"/>
              </w:rPr>
              <w:t>c</w:t>
            </w:r>
            <w:r>
              <w:rPr>
                <w:rFonts w:hint="default" w:ascii="Times New Roman" w:hAnsi="Times New Roman" w:eastAsia="宋体" w:cs="Times New Roman"/>
                <w:color w:val="auto"/>
                <w:highlight w:val="none"/>
                <w:lang w:val="en-US" w:eastAsia="zh-CN"/>
              </w:rPr>
              <w:t>指年物料运载车次（单位：车）；</w:t>
            </w:r>
          </w:p>
          <w:p w14:paraId="525AD817">
            <w:pPr>
              <w:pStyle w:val="76"/>
              <w:adjustRightInd w:val="0"/>
              <w:ind w:firstLine="1200" w:firstLineChars="5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D指单车平均运载量（单位：t/车）；</w:t>
            </w:r>
          </w:p>
          <w:p w14:paraId="40E9739D">
            <w:pPr>
              <w:pStyle w:val="76"/>
              <w:adjustRightInd w:val="0"/>
              <w:ind w:firstLine="960" w:firstLineChars="4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（a/b）指装卸扬尘概化系数（单位：kg/t），a指各省风速概化系数，取值0.0011，b指物料含水率概化系数，混合矿石取值0.0084；</w:t>
            </w:r>
          </w:p>
          <w:p w14:paraId="41B8209F">
            <w:pPr>
              <w:pStyle w:val="76"/>
              <w:adjustRightInd w:val="0"/>
              <w:ind w:firstLine="1200" w:firstLineChars="5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w:t>
            </w:r>
            <w:r>
              <w:rPr>
                <w:rFonts w:hint="default" w:ascii="Times New Roman" w:hAnsi="Times New Roman" w:eastAsia="宋体" w:cs="Times New Roman"/>
                <w:color w:val="auto"/>
                <w:highlight w:val="none"/>
                <w:vertAlign w:val="subscript"/>
                <w:lang w:val="en-US" w:eastAsia="zh-CN"/>
              </w:rPr>
              <w:t>f</w:t>
            </w:r>
            <w:r>
              <w:rPr>
                <w:rFonts w:hint="default" w:ascii="Times New Roman" w:hAnsi="Times New Roman" w:eastAsia="宋体" w:cs="Times New Roman"/>
                <w:color w:val="auto"/>
                <w:highlight w:val="none"/>
                <w:lang w:val="en-US" w:eastAsia="zh-CN"/>
              </w:rPr>
              <w:t>指堆场风蚀扬尘概化系数，取值0（单位：kg/m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eastAsia="宋体" w:cs="Times New Roman"/>
                <w:color w:val="auto"/>
                <w:highlight w:val="none"/>
                <w:lang w:val="en-US" w:eastAsia="zh-CN"/>
              </w:rPr>
              <w:t>）；</w:t>
            </w:r>
          </w:p>
          <w:p w14:paraId="16EFCAD9">
            <w:pPr>
              <w:pStyle w:val="76"/>
              <w:adjustRightInd w:val="0"/>
              <w:ind w:firstLine="1200" w:firstLineChars="5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highlight w:val="none"/>
                <w:lang w:val="en-US" w:eastAsia="zh-CN"/>
              </w:rPr>
              <w:t>S指堆场占地面积（单位：m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eastAsia="宋体" w:cs="Times New Roman"/>
                <w:color w:val="auto"/>
                <w:highlight w:val="none"/>
                <w:lang w:val="en-US" w:eastAsia="zh-CN"/>
              </w:rPr>
              <w:t>），原料堆场占地面积为</w:t>
            </w:r>
            <w:r>
              <w:rPr>
                <w:rFonts w:hint="default" w:ascii="Times New Roman" w:hAnsi="Times New Roman" w:cs="Times New Roman"/>
                <w:color w:val="auto"/>
                <w:highlight w:val="none"/>
                <w:lang w:val="en-US" w:eastAsia="zh-CN"/>
              </w:rPr>
              <w:t>10</w:t>
            </w:r>
            <w:r>
              <w:rPr>
                <w:rFonts w:hint="default" w:ascii="Times New Roman" w:hAnsi="Times New Roman" w:eastAsia="宋体" w:cs="Times New Roman"/>
                <w:color w:val="auto"/>
                <w:highlight w:val="none"/>
                <w:lang w:val="en-US" w:eastAsia="zh-CN"/>
              </w:rPr>
              <w:t>00m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cs="Times New Roman"/>
                <w:color w:val="auto"/>
                <w:sz w:val="24"/>
                <w:szCs w:val="24"/>
                <w:lang w:val="en-US" w:eastAsia="zh-CN"/>
              </w:rPr>
              <w:t>。</w:t>
            </w:r>
          </w:p>
          <w:p w14:paraId="4C6981D9">
            <w:pPr>
              <w:pStyle w:val="76"/>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4"/>
                <w:szCs w:val="24"/>
                <w:lang w:val="en-US" w:eastAsia="zh-CN"/>
              </w:rPr>
              <w:t>经计算</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原料堆场</w:t>
            </w:r>
            <w:r>
              <w:rPr>
                <w:rFonts w:hint="default" w:ascii="Times New Roman" w:hAnsi="Times New Roman" w:cs="Times New Roman"/>
                <w:color w:val="auto"/>
                <w:sz w:val="24"/>
                <w:szCs w:val="24"/>
                <w:lang w:val="en-US" w:eastAsia="zh-CN"/>
              </w:rPr>
              <w:t>的装卸堆</w:t>
            </w:r>
            <w:r>
              <w:rPr>
                <w:rFonts w:hint="default" w:ascii="Times New Roman" w:hAnsi="Times New Roman" w:eastAsia="宋体" w:cs="Times New Roman"/>
                <w:color w:val="auto"/>
                <w:sz w:val="24"/>
                <w:szCs w:val="24"/>
                <w:lang w:val="en-US" w:eastAsia="zh-CN"/>
              </w:rPr>
              <w:t>存</w:t>
            </w:r>
            <w:r>
              <w:rPr>
                <w:rFonts w:hint="default" w:ascii="Times New Roman" w:hAnsi="Times New Roman" w:cs="Times New Roman"/>
                <w:color w:val="auto"/>
                <w:highlight w:val="none"/>
              </w:rPr>
              <w:t>颗粒物产生量为</w:t>
            </w:r>
            <w:r>
              <w:rPr>
                <w:rFonts w:hint="default" w:ascii="Times New Roman" w:hAnsi="Times New Roman" w:eastAsia="宋体" w:cs="Times New Roman"/>
                <w:color w:val="auto"/>
                <w:sz w:val="24"/>
                <w:szCs w:val="24"/>
                <w:lang w:val="en-US" w:eastAsia="zh-CN"/>
              </w:rPr>
              <w:t>157.14t/a</w:t>
            </w:r>
            <w:r>
              <w:rPr>
                <w:rFonts w:hint="default" w:ascii="Times New Roman" w:hAnsi="Times New Roman" w:cs="Times New Roman"/>
                <w:color w:val="auto"/>
                <w:sz w:val="24"/>
                <w:szCs w:val="24"/>
                <w:lang w:val="en-US" w:eastAsia="zh-CN"/>
              </w:rPr>
              <w:t>。</w:t>
            </w:r>
          </w:p>
          <w:p w14:paraId="6BB150C5">
            <w:pPr>
              <w:pStyle w:val="76"/>
              <w:adjustRightInd w:val="0"/>
              <w:ind w:firstLine="48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颗粒物排放量核算：</w:t>
            </w:r>
          </w:p>
          <w:p w14:paraId="575BDB1B">
            <w:pPr>
              <w:pStyle w:val="76"/>
              <w:adjustRightInd w:val="0"/>
              <w:ind w:left="0" w:leftChars="0" w:firstLine="0" w:firstLineChars="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position w:val="-12"/>
                <w:highlight w:val="none"/>
                <w:lang w:eastAsia="zh-CN"/>
              </w:rPr>
              <w:object>
                <v:shape id="_x0000_i1026" o:spt="75" type="#_x0000_t75" style="height:18pt;width:127pt;" o:ole="t" filled="f" o:preferrelative="t" stroked="f" coordsize="21600,21600">
                  <v:path/>
                  <v:fill on="f" focussize="0,0"/>
                  <v:stroke on="f"/>
                  <v:imagedata r:id="rId9" o:title=""/>
                  <o:lock v:ext="edit" aspectratio="t"/>
                  <w10:wrap type="none"/>
                  <w10:anchorlock/>
                </v:shape>
                <o:OLEObject Type="Embed" ProgID="Equation.KSEE3" ShapeID="_x0000_i1026" DrawAspect="Content" ObjectID="_1468075726" r:id="rId8">
                  <o:LockedField>false</o:LockedField>
                </o:OLEObject>
              </w:object>
            </w:r>
          </w:p>
          <w:p w14:paraId="2A61DFD5">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式中：P指颗粒物产生量（单位：t）；</w:t>
            </w:r>
          </w:p>
          <w:p w14:paraId="693E4B54">
            <w:pPr>
              <w:pStyle w:val="76"/>
              <w:keepNext w:val="0"/>
              <w:keepLines w:val="0"/>
              <w:pageBreakBefore w:val="0"/>
              <w:widowControl w:val="0"/>
              <w:kinsoku/>
              <w:wordWrap/>
              <w:overflowPunct/>
              <w:topLinePunct w:val="0"/>
              <w:autoSpaceDE/>
              <w:autoSpaceDN/>
              <w:bidi w:val="0"/>
              <w:adjustRightInd w:val="0"/>
              <w:ind w:firstLine="1200" w:firstLineChars="5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Uc指颗粒物排放量（单位：t）；</w:t>
            </w:r>
          </w:p>
          <w:p w14:paraId="1FC53A5D">
            <w:pPr>
              <w:pStyle w:val="76"/>
              <w:keepNext w:val="0"/>
              <w:keepLines w:val="0"/>
              <w:pageBreakBefore w:val="0"/>
              <w:widowControl w:val="0"/>
              <w:kinsoku/>
              <w:wordWrap/>
              <w:overflowPunct/>
              <w:topLinePunct w:val="0"/>
              <w:autoSpaceDE/>
              <w:autoSpaceDN/>
              <w:bidi w:val="0"/>
              <w:adjustRightInd w:val="0"/>
              <w:ind w:firstLine="1200" w:firstLineChars="5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Cm指颗粒物控制措施控制效率（单位：%），洒水控制措施控制效率74%，编织覆盖控制措施控制效率86%。本项目</w:t>
            </w:r>
            <w:r>
              <w:rPr>
                <w:rFonts w:hint="default" w:ascii="Times New Roman" w:hAnsi="Times New Roman" w:cs="Times New Roman"/>
                <w:color w:val="auto"/>
                <w:sz w:val="24"/>
                <w:szCs w:val="24"/>
                <w:lang w:val="en-US" w:eastAsia="zh-CN"/>
              </w:rPr>
              <w:t>原</w:t>
            </w:r>
            <w:r>
              <w:rPr>
                <w:rFonts w:hint="default" w:ascii="Times New Roman" w:hAnsi="Times New Roman" w:eastAsia="宋体" w:cs="Times New Roman"/>
                <w:color w:val="auto"/>
                <w:sz w:val="24"/>
                <w:szCs w:val="24"/>
                <w:lang w:val="en-US" w:eastAsia="zh-CN"/>
              </w:rPr>
              <w:t>料堆场降尘采用</w:t>
            </w:r>
            <w:r>
              <w:rPr>
                <w:rFonts w:hint="default" w:ascii="Times New Roman" w:hAnsi="Times New Roman" w:cs="Times New Roman"/>
                <w:color w:val="auto"/>
                <w:lang w:eastAsia="zh-CN"/>
              </w:rPr>
              <w:t>“</w:t>
            </w:r>
            <w:r>
              <w:rPr>
                <w:rFonts w:hint="default" w:ascii="Times New Roman" w:hAnsi="Times New Roman" w:eastAsia="宋体" w:cs="Times New Roman"/>
                <w:color w:val="auto"/>
                <w:sz w:val="24"/>
                <w:szCs w:val="24"/>
                <w:lang w:val="en-US" w:eastAsia="zh-CN"/>
              </w:rPr>
              <w:t>洒水+编织覆盖</w:t>
            </w:r>
            <w:r>
              <w:rPr>
                <w:rFonts w:hint="default" w:ascii="Times New Roman" w:hAnsi="Times New Roman" w:cs="Times New Roman"/>
                <w:color w:val="auto"/>
                <w:lang w:eastAsia="zh-CN"/>
              </w:rPr>
              <w:t>”</w:t>
            </w:r>
            <w:r>
              <w:rPr>
                <w:rFonts w:hint="default" w:ascii="Times New Roman" w:hAnsi="Times New Roman" w:eastAsia="宋体" w:cs="Times New Roman"/>
                <w:color w:val="auto"/>
                <w:sz w:val="24"/>
                <w:szCs w:val="24"/>
                <w:lang w:val="en-US" w:eastAsia="zh-CN"/>
              </w:rPr>
              <w:t>控制措施，综合控制效率为</w:t>
            </w:r>
            <w:r>
              <w:rPr>
                <w:rFonts w:hint="default" w:ascii="Times New Roman" w:hAnsi="Times New Roman" w:cs="Times New Roman"/>
                <w:color w:val="auto"/>
                <w:sz w:val="24"/>
                <w:szCs w:val="24"/>
                <w:lang w:val="en-US" w:eastAsia="zh-CN"/>
              </w:rPr>
              <w:t>96.36%。</w:t>
            </w:r>
          </w:p>
          <w:p w14:paraId="0041AB55">
            <w:pPr>
              <w:pStyle w:val="76"/>
              <w:keepNext w:val="0"/>
              <w:keepLines w:val="0"/>
              <w:pageBreakBefore w:val="0"/>
              <w:widowControl w:val="0"/>
              <w:kinsoku/>
              <w:wordWrap/>
              <w:overflowPunct/>
              <w:topLinePunct w:val="0"/>
              <w:autoSpaceDE/>
              <w:autoSpaceDN/>
              <w:bidi w:val="0"/>
              <w:adjustRightInd w:val="0"/>
              <w:ind w:firstLine="1200" w:firstLineChars="5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Tm指堆场类型控制效率（单位：%），敞开式控制效率0%。（</w:t>
            </w:r>
            <w:r>
              <w:rPr>
                <w:rFonts w:hint="default" w:ascii="Times New Roman" w:hAnsi="Times New Roman" w:cs="Times New Roman"/>
                <w:color w:val="auto"/>
                <w:sz w:val="24"/>
                <w:szCs w:val="24"/>
                <w:lang w:val="en-US" w:eastAsia="zh-CN"/>
              </w:rPr>
              <w:t>均</w:t>
            </w:r>
            <w:r>
              <w:rPr>
                <w:rFonts w:hint="default" w:ascii="Times New Roman" w:hAnsi="Times New Roman" w:eastAsia="宋体" w:cs="Times New Roman"/>
                <w:color w:val="auto"/>
                <w:sz w:val="24"/>
                <w:szCs w:val="24"/>
                <w:lang w:val="en-US" w:eastAsia="zh-CN"/>
              </w:rPr>
              <w:t>为敞开式堆场</w:t>
            </w:r>
            <w:r>
              <w:rPr>
                <w:rFonts w:hint="default" w:ascii="Times New Roman" w:hAnsi="Times New Roman" w:cs="Times New Roman"/>
                <w:color w:val="auto"/>
                <w:sz w:val="24"/>
                <w:szCs w:val="24"/>
                <w:lang w:val="en-US" w:eastAsia="zh-CN"/>
              </w:rPr>
              <w:t>）。</w:t>
            </w:r>
          </w:p>
          <w:p w14:paraId="0C936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经计算，原料堆场的装卸堆</w:t>
            </w:r>
            <w:r>
              <w:rPr>
                <w:rFonts w:hint="default" w:ascii="Times New Roman" w:hAnsi="Times New Roman" w:eastAsia="宋体" w:cs="Times New Roman"/>
                <w:color w:val="auto"/>
                <w:sz w:val="24"/>
                <w:szCs w:val="24"/>
                <w:lang w:val="en-US" w:eastAsia="zh-CN"/>
              </w:rPr>
              <w:t>存</w:t>
            </w:r>
            <w:r>
              <w:rPr>
                <w:rFonts w:hint="default" w:ascii="Times New Roman" w:hAnsi="Times New Roman" w:cs="Times New Roman"/>
                <w:color w:val="auto"/>
                <w:sz w:val="24"/>
                <w:szCs w:val="24"/>
                <w:lang w:val="en-US" w:eastAsia="zh-CN"/>
              </w:rPr>
              <w:t>颗粒物排放量为5.72t/a。</w:t>
            </w:r>
          </w:p>
          <w:p w14:paraId="2D006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）进料</w:t>
            </w:r>
            <w:r>
              <w:rPr>
                <w:rFonts w:hint="default" w:ascii="Times New Roman" w:hAnsi="Times New Roman" w:cs="Times New Roman"/>
                <w:color w:val="auto"/>
                <w:sz w:val="24"/>
                <w:highlight w:val="none"/>
                <w:lang w:val="en-US" w:eastAsia="zh-CN"/>
              </w:rPr>
              <w:t>粉尘</w:t>
            </w:r>
          </w:p>
          <w:p w14:paraId="0466A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本项目上料粉尘产生系数参照《逸散性工业粉尘控制技术》中矿渣进料粉尘系数0.0029kg/t，本项目原料石英砂用量约120万t砂，则进料粉尘产生量约3.48t/a。</w:t>
            </w:r>
          </w:p>
          <w:p w14:paraId="1B6F324E">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z w:val="24"/>
                <w:szCs w:val="24"/>
              </w:rPr>
              <w:t>本</w:t>
            </w:r>
            <w:r>
              <w:rPr>
                <w:rFonts w:hint="default" w:ascii="Times New Roman" w:hAnsi="Times New Roman" w:cs="Times New Roman"/>
                <w:sz w:val="24"/>
                <w:szCs w:val="24"/>
                <w:lang w:val="en-US" w:eastAsia="zh-CN"/>
              </w:rPr>
              <w:t>项目</w:t>
            </w:r>
            <w:r>
              <w:rPr>
                <w:rFonts w:hint="default" w:ascii="Times New Roman" w:hAnsi="Times New Roman" w:eastAsia="宋体" w:cs="Times New Roman"/>
                <w:sz w:val="24"/>
                <w:szCs w:val="24"/>
              </w:rPr>
              <w:t>进料口</w:t>
            </w:r>
            <w:r>
              <w:rPr>
                <w:rFonts w:hint="default" w:ascii="Times New Roman" w:hAnsi="Times New Roman" w:cs="Times New Roman"/>
                <w:sz w:val="24"/>
                <w:szCs w:val="24"/>
                <w:lang w:val="en-US" w:eastAsia="zh-CN"/>
              </w:rPr>
              <w:t>采用半封闭式设计，且进料时需使用大量的水进行混合与喷淋降尘。</w:t>
            </w:r>
            <w:r>
              <w:rPr>
                <w:rFonts w:hint="default" w:ascii="Times New Roman" w:hAnsi="Times New Roman" w:eastAsia="宋体" w:cs="Times New Roman"/>
                <w:color w:val="auto"/>
                <w:sz w:val="24"/>
                <w:szCs w:val="24"/>
                <w:lang w:val="en-US" w:eastAsia="zh-CN"/>
              </w:rPr>
              <w:t>半封闭式</w:t>
            </w:r>
            <w:r>
              <w:rPr>
                <w:rFonts w:hint="default" w:ascii="Times New Roman" w:hAnsi="Times New Roman" w:cs="Times New Roman"/>
                <w:color w:val="auto"/>
                <w:sz w:val="24"/>
                <w:szCs w:val="24"/>
                <w:lang w:val="en-US" w:eastAsia="zh-CN"/>
              </w:rPr>
              <w:t>颗粒物控制效率约60%，喷淋措施颗粒物控制效率约74%，颗粒物综合控制效率约89.6</w:t>
            </w:r>
            <w:r>
              <w:rPr>
                <w:rFonts w:hint="default" w:ascii="Times New Roman" w:hAnsi="Times New Roman" w:eastAsia="宋体" w:cs="Times New Roman"/>
                <w:color w:val="auto"/>
                <w:sz w:val="24"/>
                <w:szCs w:val="24"/>
                <w:lang w:val="en-US" w:eastAsia="zh-CN"/>
              </w:rPr>
              <w:t>%，则投料粉尘排放量约为0.</w:t>
            </w:r>
            <w:r>
              <w:rPr>
                <w:rFonts w:hint="default" w:ascii="Times New Roman" w:hAnsi="Times New Roman" w:cs="Times New Roman"/>
                <w:color w:val="auto"/>
                <w:sz w:val="24"/>
                <w:szCs w:val="24"/>
                <w:lang w:val="en-US" w:eastAsia="zh-CN"/>
              </w:rPr>
              <w:t>36</w:t>
            </w:r>
            <w:r>
              <w:rPr>
                <w:rFonts w:hint="default" w:ascii="Times New Roman" w:hAnsi="Times New Roman" w:eastAsia="宋体" w:cs="Times New Roman"/>
                <w:color w:val="auto"/>
                <w:sz w:val="24"/>
                <w:szCs w:val="24"/>
                <w:lang w:val="en-US" w:eastAsia="zh-CN"/>
              </w:rPr>
              <w:t>t/a，呈无组织排放。</w:t>
            </w:r>
          </w:p>
          <w:p w14:paraId="76536259">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（3）研磨、筛分粉尘</w:t>
            </w:r>
          </w:p>
          <w:p w14:paraId="6302FB5A">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本项目破碎、筛分工序产尘系数参考《逸散性工业粉尘控制技术》，二级破碎和筛选排放因子为0.75kg/t。球磨机、滚筒筛、脱水筛、直线振动筛、方形摇摆筛均位于全封闭钢结构厂房内。</w:t>
            </w:r>
          </w:p>
          <w:p w14:paraId="2B843E78">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研磨工序因进料仓采取喷淋降尘（颗粒物控制效率约74%），筛分物料为湿性物料，筛分量为120万t，则</w:t>
            </w:r>
            <w:r>
              <w:rPr>
                <w:rFonts w:hint="default" w:ascii="Times New Roman" w:hAnsi="Times New Roman" w:cs="Times New Roman"/>
                <w:color w:val="auto"/>
                <w:sz w:val="24"/>
                <w:szCs w:val="24"/>
                <w:lang w:val="en-US" w:eastAsia="zh-CN"/>
              </w:rPr>
              <w:t>球磨</w:t>
            </w:r>
            <w:r>
              <w:rPr>
                <w:rFonts w:hint="default" w:ascii="Times New Roman" w:hAnsi="Times New Roman" w:eastAsia="宋体" w:cs="Times New Roman"/>
                <w:color w:val="auto"/>
                <w:sz w:val="24"/>
                <w:szCs w:val="24"/>
                <w:lang w:val="en-US" w:eastAsia="zh-CN"/>
              </w:rPr>
              <w:t>机粉尘产生量为234t/a。球磨机采用全封闭式结构（颗粒物控制效率约99%），且采用湿式研磨（颗粒物控制效率约74%），粉尘综合控制效率为99.74%，则球磨机粉尘排放量为0.61t/a。</w:t>
            </w:r>
          </w:p>
          <w:p w14:paraId="3FA2E813">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滚筒筛筛分物料为湿性物料，筛分量为120万t，则滚筒筛筛分粉尘产生量为234t/a。滚筒筛采用全封闭结构（颗粒物控制效率约99%），且采用湿式筛分（颗粒物控制效率约74%），粉尘综合控制效率为99.74%，则滚筒筛筛分粉尘排放量为0.61t/a。</w:t>
            </w:r>
          </w:p>
          <w:p w14:paraId="2EDE973B">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脱水筛筛分物料为湿性物料，筛分量为120万t，则脱水筛筛分粉尘产生量为234t/a。脱水筛采用全封闭结构（颗粒物控制效率约99%）则滚筒筛筛分粉尘排放量为2.34t/a。</w:t>
            </w:r>
          </w:p>
          <w:p w14:paraId="30C6C21C">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color w:val="auto"/>
                <w:sz w:val="24"/>
                <w:szCs w:val="24"/>
                <w:lang w:val="en-US" w:eastAsia="zh-CN"/>
              </w:rPr>
              <w:t>直线振动筛筛分物料为</w:t>
            </w:r>
            <w:r>
              <w:rPr>
                <w:rFonts w:hint="default" w:ascii="Times New Roman" w:hAnsi="Times New Roman" w:cs="Times New Roman"/>
                <w:color w:val="auto"/>
                <w:sz w:val="24"/>
                <w:szCs w:val="24"/>
                <w:lang w:val="en-US" w:eastAsia="zh-CN"/>
              </w:rPr>
              <w:t>烘干后</w:t>
            </w:r>
            <w:r>
              <w:rPr>
                <w:rFonts w:hint="default" w:ascii="Times New Roman" w:hAnsi="Times New Roman" w:eastAsia="宋体" w:cs="Times New Roman"/>
                <w:color w:val="auto"/>
                <w:sz w:val="24"/>
                <w:szCs w:val="24"/>
                <w:lang w:val="en-US" w:eastAsia="zh-CN"/>
              </w:rPr>
              <w:t>的</w:t>
            </w:r>
            <w:r>
              <w:rPr>
                <w:rFonts w:hint="default" w:ascii="Times New Roman" w:hAnsi="Times New Roman" w:cs="Times New Roman"/>
                <w:color w:val="auto"/>
                <w:sz w:val="24"/>
                <w:szCs w:val="24"/>
                <w:lang w:val="en-US" w:eastAsia="zh-CN"/>
              </w:rPr>
              <w:t>水洗石英砂</w:t>
            </w:r>
            <w:r>
              <w:rPr>
                <w:rFonts w:hint="default" w:ascii="Times New Roman" w:hAnsi="Times New Roman" w:eastAsia="宋体" w:cs="Times New Roman"/>
                <w:color w:val="auto"/>
                <w:sz w:val="24"/>
                <w:szCs w:val="24"/>
                <w:lang w:val="en-US" w:eastAsia="zh-CN"/>
              </w:rPr>
              <w:t>，为干性物料，根据建设单位提供的资料，</w:t>
            </w:r>
            <w:r>
              <w:rPr>
                <w:rFonts w:hint="default" w:ascii="Times New Roman" w:hAnsi="Times New Roman" w:cs="Times New Roman"/>
                <w:lang w:val="en-US" w:eastAsia="zh-CN"/>
              </w:rPr>
              <w:t>售卖不完的水洗石英砂按照最不利情况考虑</w:t>
            </w:r>
            <w:r>
              <w:rPr>
                <w:rFonts w:hint="default" w:ascii="Times New Roman" w:hAnsi="Times New Roman" w:eastAsia="宋体" w:cs="Times New Roman"/>
                <w:color w:val="auto"/>
                <w:sz w:val="24"/>
                <w:szCs w:val="24"/>
                <w:lang w:val="en-US" w:eastAsia="zh-CN"/>
              </w:rPr>
              <w:t>按50万t计算，则</w:t>
            </w:r>
            <w:r>
              <w:rPr>
                <w:rFonts w:hint="eastAsia" w:ascii="Times New Roman" w:hAnsi="Times New Roman" w:cs="Times New Roman"/>
                <w:color w:val="auto"/>
                <w:sz w:val="24"/>
                <w:szCs w:val="24"/>
                <w:lang w:val="en-US" w:eastAsia="zh-CN"/>
              </w:rPr>
              <w:t>直线振动筛</w:t>
            </w:r>
            <w:r>
              <w:rPr>
                <w:rFonts w:hint="default" w:ascii="Times New Roman" w:hAnsi="Times New Roman" w:eastAsia="宋体" w:cs="Times New Roman"/>
                <w:color w:val="auto"/>
                <w:sz w:val="24"/>
                <w:szCs w:val="24"/>
                <w:lang w:val="en-US" w:eastAsia="zh-CN"/>
              </w:rPr>
              <w:t>筛分粉尘产生量为375t/a，</w:t>
            </w:r>
            <w:r>
              <w:rPr>
                <w:rFonts w:hint="default" w:ascii="Times New Roman" w:hAnsi="Times New Roman" w:eastAsia="宋体" w:cs="Times New Roman"/>
                <w:sz w:val="24"/>
                <w:szCs w:val="24"/>
              </w:rPr>
              <w:t>本次环评要求</w:t>
            </w:r>
            <w:r>
              <w:rPr>
                <w:rFonts w:hint="default" w:ascii="Times New Roman" w:hAnsi="Times New Roman" w:cs="Times New Roman"/>
                <w:color w:val="auto"/>
                <w:sz w:val="24"/>
                <w:szCs w:val="24"/>
                <w:lang w:val="en-US" w:eastAsia="zh-CN"/>
              </w:rPr>
              <w:t>板材砂</w:t>
            </w:r>
            <w:r>
              <w:rPr>
                <w:rFonts w:hint="default" w:ascii="Times New Roman" w:hAnsi="Times New Roman" w:cs="Times New Roman"/>
                <w:sz w:val="24"/>
                <w:szCs w:val="24"/>
                <w:lang w:val="en-US" w:eastAsia="zh-CN"/>
              </w:rPr>
              <w:t>生产</w:t>
            </w:r>
            <w:r>
              <w:rPr>
                <w:rFonts w:hint="default" w:ascii="Times New Roman" w:hAnsi="Times New Roman" w:eastAsia="宋体" w:cs="Times New Roman"/>
                <w:sz w:val="24"/>
                <w:szCs w:val="24"/>
              </w:rPr>
              <w:t>工段封闭（设置封闭车间），车间内</w:t>
            </w:r>
            <w:r>
              <w:rPr>
                <w:rFonts w:hint="default" w:ascii="Times New Roman" w:hAnsi="Times New Roman" w:eastAsia="宋体" w:cs="Times New Roman"/>
                <w:color w:val="auto"/>
                <w:sz w:val="24"/>
                <w:szCs w:val="24"/>
                <w:lang w:val="en-US" w:eastAsia="zh-CN"/>
              </w:rPr>
              <w:t>直线振动筛</w:t>
            </w:r>
            <w:r>
              <w:rPr>
                <w:rFonts w:hint="default" w:ascii="Times New Roman" w:hAnsi="Times New Roman" w:eastAsia="宋体" w:cs="Times New Roman"/>
                <w:sz w:val="24"/>
                <w:szCs w:val="24"/>
              </w:rPr>
              <w:t>筛分</w:t>
            </w:r>
            <w:r>
              <w:rPr>
                <w:rFonts w:hint="default" w:ascii="Times New Roman" w:hAnsi="Times New Roman" w:cs="Times New Roman"/>
                <w:sz w:val="24"/>
                <w:szCs w:val="24"/>
                <w:lang w:val="en-US" w:eastAsia="zh-CN"/>
              </w:rPr>
              <w:t>工</w:t>
            </w:r>
            <w:r>
              <w:rPr>
                <w:rFonts w:hint="default" w:ascii="Times New Roman" w:hAnsi="Times New Roman" w:eastAsia="宋体" w:cs="Times New Roman"/>
                <w:sz w:val="24"/>
                <w:szCs w:val="24"/>
              </w:rPr>
              <w:t>段上方设置集气罩，废气经集气罩收集进入集气管线后进入</w:t>
            </w: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rPr>
              <w:t>套袋式除尘器处理，处理后通过车间</w:t>
            </w: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rPr>
              <w:t>根15m排气筒</w:t>
            </w:r>
            <w:r>
              <w:rPr>
                <w:rFonts w:hint="default" w:ascii="Times New Roman" w:hAnsi="Times New Roman" w:eastAsia="宋体" w:cs="Times New Roman"/>
                <w:sz w:val="24"/>
                <w:szCs w:val="24"/>
                <w:lang w:val="en-US" w:eastAsia="zh-CN"/>
              </w:rPr>
              <w:t>DA001</w:t>
            </w:r>
            <w:r>
              <w:rPr>
                <w:rFonts w:hint="default" w:ascii="Times New Roman" w:hAnsi="Times New Roman" w:eastAsia="宋体" w:cs="Times New Roman"/>
                <w:sz w:val="24"/>
                <w:szCs w:val="24"/>
              </w:rPr>
              <w:t>排放，</w:t>
            </w:r>
            <w:r>
              <w:rPr>
                <w:rFonts w:hint="default" w:ascii="Times New Roman" w:hAnsi="Times New Roman" w:cs="Times New Roman"/>
                <w:sz w:val="24"/>
                <w:szCs w:val="24"/>
                <w:lang w:val="en-US" w:eastAsia="zh-CN"/>
              </w:rPr>
              <w:t>与烘干工段共用1套除尘设施，</w:t>
            </w:r>
            <w:r>
              <w:rPr>
                <w:rFonts w:hint="default" w:ascii="Times New Roman" w:hAnsi="Times New Roman" w:eastAsia="宋体" w:cs="Times New Roman"/>
                <w:sz w:val="24"/>
                <w:szCs w:val="24"/>
              </w:rPr>
              <w:t>除尘效率按照99%计算，风机总风量按照</w:t>
            </w:r>
            <w:r>
              <w:rPr>
                <w:rFonts w:hint="default" w:ascii="Times New Roman" w:hAnsi="Times New Roman" w:cs="Times New Roman"/>
                <w:sz w:val="24"/>
                <w:szCs w:val="24"/>
                <w:lang w:val="en-US" w:eastAsia="zh-CN"/>
              </w:rPr>
              <w:t>15</w:t>
            </w:r>
            <w:r>
              <w:rPr>
                <w:rFonts w:hint="default" w:ascii="Times New Roman" w:hAnsi="Times New Roman" w:eastAsia="宋体" w:cs="Times New Roman"/>
                <w:sz w:val="24"/>
                <w:szCs w:val="24"/>
              </w:rPr>
              <w:t>000m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/h核算，废气收集率按90%核算，则通过排气筒排放的颗粒物</w:t>
            </w:r>
            <w:r>
              <w:rPr>
                <w:rFonts w:hint="default" w:ascii="Times New Roman" w:hAnsi="Times New Roman" w:eastAsia="宋体" w:cs="Times New Roman"/>
                <w:sz w:val="24"/>
                <w:szCs w:val="24"/>
                <w:lang w:val="en-US" w:eastAsia="zh-CN"/>
              </w:rPr>
              <w:t>总</w:t>
            </w:r>
            <w:r>
              <w:rPr>
                <w:rFonts w:hint="default" w:ascii="Times New Roman" w:hAnsi="Times New Roman" w:eastAsia="宋体" w:cs="Times New Roman"/>
                <w:sz w:val="24"/>
                <w:szCs w:val="24"/>
              </w:rPr>
              <w:t>量约3.375</w:t>
            </w:r>
            <w:r>
              <w:rPr>
                <w:rFonts w:hint="default" w:ascii="Times New Roman" w:hAnsi="Times New Roman" w:eastAsia="宋体" w:cs="Times New Roman"/>
                <w:sz w:val="24"/>
                <w:szCs w:val="24"/>
                <w:lang w:val="en-US" w:eastAsia="zh-CN"/>
              </w:rPr>
              <w:t>t/a，无组织排</w:t>
            </w:r>
            <w:r>
              <w:rPr>
                <w:rFonts w:hint="default" w:ascii="Times New Roman" w:hAnsi="Times New Roman" w:cs="Times New Roman"/>
                <w:sz w:val="24"/>
                <w:szCs w:val="24"/>
                <w:lang w:val="en-US" w:eastAsia="zh-CN"/>
              </w:rPr>
              <w:t>放量为0.375t/a。</w:t>
            </w:r>
          </w:p>
          <w:p w14:paraId="21F1F350">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方形摇摆筛筛分物料</w:t>
            </w:r>
            <w:r>
              <w:rPr>
                <w:rFonts w:hint="default" w:ascii="Times New Roman" w:hAnsi="Times New Roman" w:cs="Times New Roman"/>
                <w:color w:val="auto"/>
                <w:sz w:val="24"/>
                <w:szCs w:val="24"/>
                <w:lang w:val="en-US" w:eastAsia="zh-CN"/>
              </w:rPr>
              <w:t>为</w:t>
            </w:r>
            <w:r>
              <w:rPr>
                <w:rFonts w:hint="default" w:ascii="Times New Roman" w:hAnsi="Times New Roman" w:eastAsia="宋体" w:cs="Times New Roman"/>
                <w:color w:val="auto"/>
                <w:sz w:val="24"/>
                <w:szCs w:val="24"/>
                <w:lang w:val="en-US" w:eastAsia="zh-CN"/>
              </w:rPr>
              <w:t>干性物料，根据建设单位提供的资料，筛分量按50万t计算，则</w:t>
            </w:r>
            <w:r>
              <w:rPr>
                <w:rFonts w:hint="default" w:ascii="Times New Roman" w:hAnsi="Times New Roman" w:cs="Times New Roman"/>
                <w:sz w:val="24"/>
                <w:szCs w:val="24"/>
                <w:lang w:val="en-US" w:eastAsia="zh-CN"/>
              </w:rPr>
              <w:t>方形摇摆筛</w:t>
            </w:r>
            <w:r>
              <w:rPr>
                <w:rFonts w:hint="default" w:ascii="Times New Roman" w:hAnsi="Times New Roman" w:eastAsia="宋体" w:cs="Times New Roman"/>
                <w:color w:val="auto"/>
                <w:sz w:val="24"/>
                <w:szCs w:val="24"/>
                <w:lang w:val="en-US" w:eastAsia="zh-CN"/>
              </w:rPr>
              <w:t>筛分粉尘产生量为375t/a，</w:t>
            </w:r>
            <w:r>
              <w:rPr>
                <w:rFonts w:hint="default" w:ascii="Times New Roman" w:hAnsi="Times New Roman" w:eastAsia="宋体" w:cs="Times New Roman"/>
                <w:sz w:val="24"/>
                <w:szCs w:val="24"/>
              </w:rPr>
              <w:t>本次环评要求</w:t>
            </w:r>
            <w:r>
              <w:rPr>
                <w:rFonts w:hint="default" w:ascii="Times New Roman" w:hAnsi="Times New Roman" w:cs="Times New Roman"/>
                <w:color w:val="auto"/>
                <w:sz w:val="24"/>
                <w:szCs w:val="24"/>
                <w:lang w:val="en-US" w:eastAsia="zh-CN"/>
              </w:rPr>
              <w:t>板材砂</w:t>
            </w:r>
            <w:r>
              <w:rPr>
                <w:rFonts w:hint="default" w:ascii="Times New Roman" w:hAnsi="Times New Roman" w:cs="Times New Roman"/>
                <w:sz w:val="24"/>
                <w:szCs w:val="24"/>
                <w:lang w:val="en-US" w:eastAsia="zh-CN"/>
              </w:rPr>
              <w:t>生产</w:t>
            </w:r>
            <w:r>
              <w:rPr>
                <w:rFonts w:hint="default" w:ascii="Times New Roman" w:hAnsi="Times New Roman" w:eastAsia="宋体" w:cs="Times New Roman"/>
                <w:sz w:val="24"/>
                <w:szCs w:val="24"/>
              </w:rPr>
              <w:t>工段封闭（设置封闭车间），</w:t>
            </w:r>
            <w:r>
              <w:rPr>
                <w:rFonts w:hint="default" w:ascii="Times New Roman" w:hAnsi="Times New Roman" w:cs="Times New Roman"/>
                <w:sz w:val="24"/>
                <w:szCs w:val="24"/>
                <w:lang w:val="en-US" w:eastAsia="zh-CN"/>
              </w:rPr>
              <w:t>方形摇摆筛密闭(有排气孔)，由管道直连排气孔，进袋式除尘器，通过</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根15m排气筒</w:t>
            </w:r>
            <w:r>
              <w:rPr>
                <w:rFonts w:hint="default" w:ascii="Times New Roman" w:hAnsi="Times New Roman" w:eastAsia="宋体" w:cs="Times New Roman"/>
                <w:sz w:val="24"/>
                <w:szCs w:val="24"/>
                <w:lang w:val="en-US" w:eastAsia="zh-CN"/>
              </w:rPr>
              <w:t>DA002</w:t>
            </w:r>
            <w:r>
              <w:rPr>
                <w:rFonts w:hint="default" w:ascii="Times New Roman" w:hAnsi="Times New Roman" w:eastAsia="宋体" w:cs="Times New Roman"/>
                <w:sz w:val="24"/>
                <w:szCs w:val="24"/>
              </w:rPr>
              <w:t>排放，除尘效率按照99%计算，风机总风量按照</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000m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/h核算，废气收集率按</w:t>
            </w:r>
            <w:r>
              <w:rPr>
                <w:rFonts w:hint="default" w:ascii="Times New Roman" w:hAnsi="Times New Roman" w:cs="Times New Roman"/>
                <w:sz w:val="24"/>
                <w:szCs w:val="24"/>
                <w:lang w:val="en-US" w:eastAsia="zh-CN"/>
              </w:rPr>
              <w:t>100</w:t>
            </w:r>
            <w:r>
              <w:rPr>
                <w:rFonts w:hint="default" w:ascii="Times New Roman" w:hAnsi="Times New Roman" w:eastAsia="宋体" w:cs="Times New Roman"/>
                <w:sz w:val="24"/>
                <w:szCs w:val="24"/>
              </w:rPr>
              <w:t>%核算，则通过排气筒排放的颗粒物</w:t>
            </w:r>
            <w:r>
              <w:rPr>
                <w:rFonts w:hint="default" w:ascii="Times New Roman" w:hAnsi="Times New Roman" w:eastAsia="宋体" w:cs="Times New Roman"/>
                <w:sz w:val="24"/>
                <w:szCs w:val="24"/>
                <w:lang w:val="en-US" w:eastAsia="zh-CN"/>
              </w:rPr>
              <w:t>总</w:t>
            </w:r>
            <w:r>
              <w:rPr>
                <w:rFonts w:hint="default" w:ascii="Times New Roman" w:hAnsi="Times New Roman" w:eastAsia="宋体" w:cs="Times New Roman"/>
                <w:sz w:val="24"/>
                <w:szCs w:val="24"/>
              </w:rPr>
              <w:t>量约3.</w:t>
            </w:r>
            <w:r>
              <w:rPr>
                <w:rFonts w:hint="default" w:ascii="Times New Roman" w:hAnsi="Times New Roman" w:cs="Times New Roman"/>
                <w:sz w:val="24"/>
                <w:szCs w:val="24"/>
                <w:lang w:val="en-US" w:eastAsia="zh-CN"/>
              </w:rPr>
              <w:t>75</w:t>
            </w:r>
            <w:r>
              <w:rPr>
                <w:rFonts w:hint="default" w:ascii="Times New Roman" w:hAnsi="Times New Roman" w:eastAsia="宋体" w:cs="Times New Roman"/>
                <w:sz w:val="24"/>
                <w:szCs w:val="24"/>
                <w:lang w:val="en-US" w:eastAsia="zh-CN"/>
              </w:rPr>
              <w:t>t/a</w:t>
            </w:r>
            <w:r>
              <w:rPr>
                <w:rFonts w:hint="default" w:ascii="Times New Roman" w:hAnsi="Times New Roman" w:cs="Times New Roman"/>
                <w:sz w:val="24"/>
                <w:szCs w:val="24"/>
                <w:lang w:val="en-US" w:eastAsia="zh-CN"/>
              </w:rPr>
              <w:t>。</w:t>
            </w:r>
          </w:p>
          <w:p w14:paraId="73136A62">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color w:val="auto"/>
                <w:sz w:val="24"/>
                <w:szCs w:val="24"/>
                <w:lang w:val="en-US" w:eastAsia="zh-CN"/>
              </w:rPr>
              <w:t>综上，本项目破碎筛分过程产生的粉尘量为1452t/a，排放量为11.06t/a，其中无组织排放量为</w:t>
            </w:r>
            <w:r>
              <w:rPr>
                <w:rFonts w:hint="default" w:ascii="Times New Roman" w:hAnsi="Times New Roman" w:cs="Times New Roman"/>
                <w:color w:val="auto"/>
                <w:sz w:val="24"/>
                <w:szCs w:val="24"/>
                <w:lang w:val="en-US" w:eastAsia="zh-CN"/>
              </w:rPr>
              <w:t>3.935</w:t>
            </w:r>
            <w:r>
              <w:rPr>
                <w:rFonts w:hint="default" w:ascii="Times New Roman" w:hAnsi="Times New Roman" w:cs="Times New Roman"/>
                <w:sz w:val="24"/>
                <w:szCs w:val="24"/>
                <w:lang w:val="en-US" w:eastAsia="zh-CN"/>
              </w:rPr>
              <w:t>t/a</w:t>
            </w:r>
            <w:r>
              <w:rPr>
                <w:rFonts w:hint="default" w:ascii="Times New Roman" w:hAnsi="Times New Roman" w:eastAsia="宋体" w:cs="Times New Roman"/>
                <w:color w:val="auto"/>
                <w:sz w:val="24"/>
                <w:szCs w:val="24"/>
                <w:lang w:val="en-US" w:eastAsia="zh-CN"/>
              </w:rPr>
              <w:t>，有组织排放量为</w:t>
            </w:r>
            <w:r>
              <w:rPr>
                <w:rFonts w:hint="default" w:ascii="Times New Roman" w:hAnsi="Times New Roman" w:cs="Times New Roman"/>
                <w:color w:val="auto"/>
                <w:sz w:val="24"/>
                <w:szCs w:val="24"/>
                <w:lang w:val="en-US" w:eastAsia="zh-CN"/>
              </w:rPr>
              <w:t>7.125</w:t>
            </w:r>
            <w:r>
              <w:rPr>
                <w:rFonts w:hint="default" w:ascii="Times New Roman" w:hAnsi="Times New Roman" w:cs="Times New Roman"/>
                <w:sz w:val="24"/>
                <w:szCs w:val="24"/>
                <w:lang w:val="en-US" w:eastAsia="zh-CN"/>
              </w:rPr>
              <w:t>t/a</w:t>
            </w:r>
            <w:r>
              <w:rPr>
                <w:rFonts w:hint="default" w:ascii="Times New Roman" w:hAnsi="Times New Roman" w:eastAsia="宋体" w:cs="Times New Roman"/>
                <w:color w:val="auto"/>
                <w:sz w:val="24"/>
                <w:szCs w:val="24"/>
                <w:lang w:val="en-US" w:eastAsia="zh-CN"/>
              </w:rPr>
              <w:t>。</w:t>
            </w:r>
          </w:p>
          <w:p w14:paraId="1B74F94B">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（4）烘干粉尘</w:t>
            </w:r>
          </w:p>
          <w:p w14:paraId="1CF2916A">
            <w:pPr>
              <w:pStyle w:val="76"/>
              <w:keepNext w:val="0"/>
              <w:keepLines w:val="0"/>
              <w:pageBreakBefore w:val="0"/>
              <w:widowControl w:val="0"/>
              <w:kinsoku/>
              <w:wordWrap/>
              <w:overflowPunct/>
              <w:topLinePunct w:val="0"/>
              <w:autoSpaceDE/>
              <w:autoSpaceDN/>
              <w:bidi w:val="0"/>
              <w:adjustRightInd w:val="0"/>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项目采用电烘干机对</w:t>
            </w:r>
            <w:r>
              <w:rPr>
                <w:rFonts w:hint="default" w:ascii="Times New Roman" w:hAnsi="Times New Roman" w:cs="Times New Roman"/>
                <w:color w:val="auto"/>
                <w:sz w:val="24"/>
                <w:szCs w:val="24"/>
                <w:lang w:val="en-US" w:eastAsia="zh-CN"/>
              </w:rPr>
              <w:t>水洗石英砂</w:t>
            </w:r>
            <w:r>
              <w:rPr>
                <w:rFonts w:hint="default" w:ascii="Times New Roman" w:hAnsi="Times New Roman" w:eastAsia="宋体" w:cs="Times New Roman"/>
                <w:color w:val="auto"/>
                <w:sz w:val="24"/>
                <w:szCs w:val="24"/>
                <w:lang w:val="en-US" w:eastAsia="zh-CN"/>
              </w:rPr>
              <w:t>进行烘干处置，根据同类项目类比分析，烘干粉尘产生量按生产产品的0.1%计算，则烘干粉尘的产生量为500</w:t>
            </w:r>
            <w:r>
              <w:rPr>
                <w:rFonts w:hint="default" w:ascii="Times New Roman" w:hAnsi="Times New Roman" w:cs="Times New Roman"/>
                <w:sz w:val="24"/>
                <w:szCs w:val="24"/>
                <w:lang w:val="en-US" w:eastAsia="zh-CN"/>
              </w:rPr>
              <w:t>t/a，</w:t>
            </w:r>
            <w:r>
              <w:rPr>
                <w:rFonts w:hint="default" w:ascii="Times New Roman" w:hAnsi="Times New Roman" w:cs="Times New Roman"/>
                <w:color w:val="auto"/>
                <w:sz w:val="24"/>
                <w:szCs w:val="24"/>
                <w:lang w:val="en-US" w:eastAsia="zh-CN"/>
              </w:rPr>
              <w:t>板材砂</w:t>
            </w:r>
            <w:r>
              <w:rPr>
                <w:rFonts w:hint="default" w:ascii="Times New Roman" w:hAnsi="Times New Roman" w:cs="Times New Roman"/>
                <w:sz w:val="24"/>
                <w:szCs w:val="24"/>
                <w:lang w:val="en-US" w:eastAsia="zh-CN"/>
              </w:rPr>
              <w:t>烘干设备全密闭，</w:t>
            </w:r>
            <w:r>
              <w:rPr>
                <w:rFonts w:hint="default" w:ascii="Times New Roman" w:hAnsi="Times New Roman" w:eastAsia="宋体" w:cs="Times New Roman"/>
                <w:sz w:val="24"/>
                <w:szCs w:val="24"/>
              </w:rPr>
              <w:t>废气进入集气管线后进入</w:t>
            </w: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rPr>
              <w:t>套袋式除尘器处理，处理后通过车间</w:t>
            </w: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rPr>
              <w:t>根15m排气筒</w:t>
            </w:r>
            <w:r>
              <w:rPr>
                <w:rFonts w:hint="default" w:ascii="Times New Roman" w:hAnsi="Times New Roman" w:eastAsia="宋体" w:cs="Times New Roman"/>
                <w:sz w:val="24"/>
                <w:szCs w:val="24"/>
                <w:lang w:val="en-US" w:eastAsia="zh-CN"/>
              </w:rPr>
              <w:t>DA001</w:t>
            </w:r>
            <w:r>
              <w:rPr>
                <w:rFonts w:hint="default" w:ascii="Times New Roman" w:hAnsi="Times New Roman" w:eastAsia="宋体" w:cs="Times New Roman"/>
                <w:sz w:val="24"/>
                <w:szCs w:val="24"/>
              </w:rPr>
              <w:t>排放除尘效率按照99%计算，风机总风量按照</w:t>
            </w:r>
            <w:r>
              <w:rPr>
                <w:rFonts w:hint="default" w:ascii="Times New Roman" w:hAnsi="Times New Roman" w:cs="Times New Roman"/>
                <w:sz w:val="24"/>
                <w:szCs w:val="24"/>
                <w:lang w:val="en-US" w:eastAsia="zh-CN"/>
              </w:rPr>
              <w:t>15</w:t>
            </w:r>
            <w:r>
              <w:rPr>
                <w:rFonts w:hint="default" w:ascii="Times New Roman" w:hAnsi="Times New Roman" w:eastAsia="宋体" w:cs="Times New Roman"/>
                <w:sz w:val="24"/>
                <w:szCs w:val="24"/>
              </w:rPr>
              <w:t>000m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/h核算，废气收集率按</w:t>
            </w:r>
            <w:r>
              <w:rPr>
                <w:rFonts w:hint="default" w:ascii="Times New Roman" w:hAnsi="Times New Roman" w:cs="Times New Roman"/>
                <w:sz w:val="24"/>
                <w:szCs w:val="24"/>
                <w:lang w:val="en-US" w:eastAsia="zh-CN"/>
              </w:rPr>
              <w:t>100</w:t>
            </w:r>
            <w:r>
              <w:rPr>
                <w:rFonts w:hint="default" w:ascii="Times New Roman" w:hAnsi="Times New Roman" w:eastAsia="宋体" w:cs="Times New Roman"/>
                <w:sz w:val="24"/>
                <w:szCs w:val="24"/>
              </w:rPr>
              <w:t>%核算，则通过排气筒排放的颗粒物</w:t>
            </w:r>
            <w:r>
              <w:rPr>
                <w:rFonts w:hint="default" w:ascii="Times New Roman" w:hAnsi="Times New Roman" w:eastAsia="宋体" w:cs="Times New Roman"/>
                <w:sz w:val="24"/>
                <w:szCs w:val="24"/>
                <w:lang w:val="en-US" w:eastAsia="zh-CN"/>
              </w:rPr>
              <w:t>总</w:t>
            </w:r>
            <w:r>
              <w:rPr>
                <w:rFonts w:hint="default" w:ascii="Times New Roman" w:hAnsi="Times New Roman" w:eastAsia="宋体" w:cs="Times New Roman"/>
                <w:sz w:val="24"/>
                <w:szCs w:val="24"/>
              </w:rPr>
              <w:t>量约</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t/a</w:t>
            </w:r>
            <w:r>
              <w:rPr>
                <w:rFonts w:hint="default" w:ascii="Times New Roman" w:hAnsi="Times New Roman" w:cs="Times New Roman"/>
                <w:sz w:val="24"/>
                <w:szCs w:val="24"/>
                <w:lang w:val="en-US" w:eastAsia="zh-CN"/>
              </w:rPr>
              <w:t>。</w:t>
            </w:r>
          </w:p>
          <w:p w14:paraId="57789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本项目废气排放情况见表4-5</w:t>
            </w:r>
          </w:p>
          <w:p w14:paraId="05E75615">
            <w:pPr>
              <w:pStyle w:val="6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表 4-1 废气排放统计表</w:t>
            </w:r>
          </w:p>
          <w:tbl>
            <w:tblPr>
              <w:tblStyle w:val="22"/>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459"/>
              <w:gridCol w:w="3573"/>
              <w:gridCol w:w="1140"/>
              <w:gridCol w:w="708"/>
            </w:tblGrid>
            <w:tr w14:paraId="064812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57" w:type="dxa"/>
                  <w:noWrap w:val="0"/>
                  <w:vAlign w:val="center"/>
                </w:tcPr>
                <w:p w14:paraId="0894C470">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污染源</w:t>
                  </w:r>
                </w:p>
              </w:tc>
              <w:tc>
                <w:tcPr>
                  <w:tcW w:w="459" w:type="dxa"/>
                  <w:noWrap w:val="0"/>
                  <w:vAlign w:val="center"/>
                </w:tcPr>
                <w:p w14:paraId="38D83E79">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污染物</w:t>
                  </w:r>
                </w:p>
              </w:tc>
              <w:tc>
                <w:tcPr>
                  <w:tcW w:w="3573" w:type="dxa"/>
                  <w:noWrap w:val="0"/>
                  <w:vAlign w:val="center"/>
                </w:tcPr>
                <w:p w14:paraId="51C9AF8A">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治理措施</w:t>
                  </w:r>
                </w:p>
              </w:tc>
              <w:tc>
                <w:tcPr>
                  <w:tcW w:w="1140" w:type="dxa"/>
                  <w:noWrap w:val="0"/>
                  <w:vAlign w:val="center"/>
                </w:tcPr>
                <w:p w14:paraId="1129BBFA">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排放量t/a</w:t>
                  </w:r>
                </w:p>
              </w:tc>
              <w:tc>
                <w:tcPr>
                  <w:tcW w:w="708" w:type="dxa"/>
                  <w:noWrap w:val="0"/>
                  <w:vAlign w:val="center"/>
                </w:tcPr>
                <w:p w14:paraId="03012CFB">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排放方式</w:t>
                  </w:r>
                </w:p>
              </w:tc>
            </w:tr>
            <w:tr w14:paraId="1D9871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057" w:type="dxa"/>
                  <w:noWrap w:val="0"/>
                  <w:vAlign w:val="center"/>
                </w:tcPr>
                <w:p w14:paraId="689C072A">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堆场扬尘</w:t>
                  </w:r>
                </w:p>
              </w:tc>
              <w:tc>
                <w:tcPr>
                  <w:tcW w:w="459" w:type="dxa"/>
                  <w:vMerge w:val="restart"/>
                  <w:noWrap w:val="0"/>
                  <w:vAlign w:val="center"/>
                </w:tcPr>
                <w:p w14:paraId="63CE5A9B">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颗粒物</w:t>
                  </w:r>
                </w:p>
              </w:tc>
              <w:tc>
                <w:tcPr>
                  <w:tcW w:w="3573" w:type="dxa"/>
                  <w:noWrap w:val="0"/>
                  <w:vAlign w:val="center"/>
                </w:tcPr>
                <w:p w14:paraId="3FF5C1F5">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原料装卸过程中，采取喷淋降尘措施；原料堆存期间，对其表面覆盖篷布，并</w:t>
                  </w:r>
                  <w:r>
                    <w:rPr>
                      <w:rStyle w:val="53"/>
                      <w:rFonts w:hint="default" w:ascii="Times New Roman" w:hAnsi="Times New Roman" w:cs="Times New Roman"/>
                      <w:b w:val="0"/>
                      <w:bCs/>
                      <w:color w:val="000000"/>
                      <w:sz w:val="21"/>
                      <w:szCs w:val="21"/>
                      <w:highlight w:val="none"/>
                      <w:lang w:val="en-US" w:eastAsia="zh-CN"/>
                    </w:rPr>
                    <w:t>洒水降尘</w:t>
                  </w:r>
                  <w:r>
                    <w:rPr>
                      <w:rStyle w:val="53"/>
                      <w:rFonts w:hint="default" w:ascii="Times New Roman" w:hAnsi="Times New Roman" w:eastAsia="宋体" w:cs="Times New Roman"/>
                      <w:b w:val="0"/>
                      <w:bCs/>
                      <w:color w:val="000000"/>
                      <w:sz w:val="21"/>
                      <w:szCs w:val="21"/>
                      <w:highlight w:val="none"/>
                      <w:lang w:val="en-US" w:eastAsia="zh-CN"/>
                    </w:rPr>
                    <w:t>。</w:t>
                  </w:r>
                </w:p>
              </w:tc>
              <w:tc>
                <w:tcPr>
                  <w:tcW w:w="1140" w:type="dxa"/>
                  <w:noWrap w:val="0"/>
                  <w:vAlign w:val="center"/>
                </w:tcPr>
                <w:p w14:paraId="0F054089">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5.72t/a</w:t>
                  </w:r>
                </w:p>
              </w:tc>
              <w:tc>
                <w:tcPr>
                  <w:tcW w:w="708" w:type="dxa"/>
                  <w:vMerge w:val="restart"/>
                  <w:noWrap w:val="0"/>
                  <w:vAlign w:val="center"/>
                </w:tcPr>
                <w:p w14:paraId="6D6002C2">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无组织</w:t>
                  </w:r>
                </w:p>
              </w:tc>
            </w:tr>
            <w:tr w14:paraId="1DBC71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7" w:type="dxa"/>
                  <w:noWrap w:val="0"/>
                  <w:vAlign w:val="center"/>
                </w:tcPr>
                <w:p w14:paraId="3A291009">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进料粉尘</w:t>
                  </w:r>
                </w:p>
              </w:tc>
              <w:tc>
                <w:tcPr>
                  <w:tcW w:w="459" w:type="dxa"/>
                  <w:vMerge w:val="continue"/>
                  <w:noWrap w:val="0"/>
                  <w:vAlign w:val="center"/>
                </w:tcPr>
                <w:p w14:paraId="28FA9D7A">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c>
                <w:tcPr>
                  <w:tcW w:w="3573" w:type="dxa"/>
                  <w:noWrap w:val="0"/>
                  <w:vAlign w:val="center"/>
                </w:tcPr>
                <w:p w14:paraId="49E76466">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投料进口处为半封闭式，在进料口采取雾炮机喷淋降尘。</w:t>
                  </w:r>
                </w:p>
              </w:tc>
              <w:tc>
                <w:tcPr>
                  <w:tcW w:w="1140" w:type="dxa"/>
                  <w:noWrap w:val="0"/>
                  <w:vAlign w:val="center"/>
                </w:tcPr>
                <w:p w14:paraId="6F98780D">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0.36t/a</w:t>
                  </w:r>
                </w:p>
              </w:tc>
              <w:tc>
                <w:tcPr>
                  <w:tcW w:w="708" w:type="dxa"/>
                  <w:vMerge w:val="continue"/>
                  <w:noWrap w:val="0"/>
                  <w:vAlign w:val="center"/>
                </w:tcPr>
                <w:p w14:paraId="777E9011">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r>
            <w:tr w14:paraId="24E55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7" w:type="dxa"/>
                  <w:shd w:val="clear" w:color="auto" w:fill="auto"/>
                  <w:noWrap w:val="0"/>
                  <w:vAlign w:val="center"/>
                </w:tcPr>
                <w:p w14:paraId="3B62D98C">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研磨、筛分粉尘</w:t>
                  </w:r>
                </w:p>
              </w:tc>
              <w:tc>
                <w:tcPr>
                  <w:tcW w:w="459" w:type="dxa"/>
                  <w:vMerge w:val="continue"/>
                  <w:shd w:val="clear" w:color="auto" w:fill="auto"/>
                  <w:noWrap w:val="0"/>
                  <w:vAlign w:val="center"/>
                </w:tcPr>
                <w:p w14:paraId="0241B641">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c>
                <w:tcPr>
                  <w:tcW w:w="3573" w:type="dxa"/>
                  <w:shd w:val="clear" w:color="auto" w:fill="auto"/>
                  <w:noWrap w:val="0"/>
                  <w:vAlign w:val="center"/>
                </w:tcPr>
                <w:p w14:paraId="659E1D5E">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滚筒筛、球磨机、脱水筛均采用全封闭结构；筛分破碎物料均为湿性物料；滚筒筛、球磨机采用湿式作业。</w:t>
                  </w:r>
                </w:p>
              </w:tc>
              <w:tc>
                <w:tcPr>
                  <w:tcW w:w="1140" w:type="dxa"/>
                  <w:shd w:val="clear" w:color="auto" w:fill="auto"/>
                  <w:noWrap w:val="0"/>
                  <w:vAlign w:val="center"/>
                </w:tcPr>
                <w:p w14:paraId="4DBFBE48">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3.</w:t>
                  </w:r>
                  <w:r>
                    <w:rPr>
                      <w:rStyle w:val="53"/>
                      <w:rFonts w:hint="eastAsia" w:ascii="Times New Roman" w:hAnsi="Times New Roman" w:cs="Times New Roman"/>
                      <w:b w:val="0"/>
                      <w:bCs/>
                      <w:color w:val="000000"/>
                      <w:sz w:val="21"/>
                      <w:szCs w:val="21"/>
                      <w:highlight w:val="none"/>
                      <w:lang w:val="en-US" w:eastAsia="zh-CN"/>
                    </w:rPr>
                    <w:t>56</w:t>
                  </w:r>
                  <w:r>
                    <w:rPr>
                      <w:rStyle w:val="53"/>
                      <w:rFonts w:hint="default" w:ascii="Times New Roman" w:hAnsi="Times New Roman" w:eastAsia="宋体" w:cs="Times New Roman"/>
                      <w:b w:val="0"/>
                      <w:bCs/>
                      <w:color w:val="000000"/>
                      <w:sz w:val="21"/>
                      <w:szCs w:val="21"/>
                      <w:highlight w:val="none"/>
                      <w:lang w:val="en-US" w:eastAsia="zh-CN"/>
                    </w:rPr>
                    <w:t>t/a</w:t>
                  </w:r>
                </w:p>
              </w:tc>
              <w:tc>
                <w:tcPr>
                  <w:tcW w:w="708" w:type="dxa"/>
                  <w:vMerge w:val="continue"/>
                  <w:shd w:val="clear" w:color="auto" w:fill="auto"/>
                  <w:noWrap w:val="0"/>
                  <w:vAlign w:val="center"/>
                </w:tcPr>
                <w:p w14:paraId="69CC3BC1">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r>
            <w:tr w14:paraId="1B4CF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7" w:type="dxa"/>
                  <w:shd w:val="clear" w:color="auto" w:fill="auto"/>
                  <w:noWrap w:val="0"/>
                  <w:vAlign w:val="center"/>
                </w:tcPr>
                <w:p w14:paraId="502A0570">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未被收集的粉尘</w:t>
                  </w:r>
                </w:p>
              </w:tc>
              <w:tc>
                <w:tcPr>
                  <w:tcW w:w="459" w:type="dxa"/>
                  <w:vMerge w:val="continue"/>
                  <w:shd w:val="clear" w:color="auto" w:fill="auto"/>
                  <w:noWrap w:val="0"/>
                  <w:vAlign w:val="center"/>
                </w:tcPr>
                <w:p w14:paraId="2DC31155">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c>
                <w:tcPr>
                  <w:tcW w:w="3573" w:type="dxa"/>
                  <w:shd w:val="clear" w:color="auto" w:fill="auto"/>
                  <w:noWrap w:val="0"/>
                  <w:vAlign w:val="center"/>
                </w:tcPr>
                <w:p w14:paraId="11C253AB">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直线振动筛位于全封闭钢结构厂房内，采用集气罩+</w:t>
                  </w:r>
                  <w:r>
                    <w:rPr>
                      <w:rStyle w:val="53"/>
                      <w:rFonts w:hint="default" w:ascii="Times New Roman" w:hAnsi="Times New Roman" w:cs="Times New Roman"/>
                      <w:b w:val="0"/>
                      <w:bCs/>
                      <w:color w:val="000000"/>
                      <w:sz w:val="21"/>
                      <w:szCs w:val="21"/>
                      <w:highlight w:val="none"/>
                      <w:lang w:val="en-US" w:eastAsia="zh-CN"/>
                    </w:rPr>
                    <w:t>袋式除尘器</w:t>
                  </w:r>
                  <w:r>
                    <w:rPr>
                      <w:rStyle w:val="53"/>
                      <w:rFonts w:hint="default" w:ascii="Times New Roman" w:hAnsi="Times New Roman" w:eastAsia="宋体" w:cs="Times New Roman"/>
                      <w:b w:val="0"/>
                      <w:bCs/>
                      <w:color w:val="000000"/>
                      <w:sz w:val="21"/>
                      <w:szCs w:val="21"/>
                      <w:highlight w:val="none"/>
                      <w:lang w:val="en-US" w:eastAsia="zh-CN"/>
                    </w:rPr>
                    <w:t>+15高排气筒处置后排放，集气效率90%</w:t>
                  </w:r>
                </w:p>
              </w:tc>
              <w:tc>
                <w:tcPr>
                  <w:tcW w:w="1140" w:type="dxa"/>
                  <w:shd w:val="clear" w:color="auto" w:fill="auto"/>
                  <w:noWrap w:val="0"/>
                  <w:vAlign w:val="center"/>
                </w:tcPr>
                <w:p w14:paraId="399337EB">
                  <w:pPr>
                    <w:pStyle w:val="52"/>
                    <w:adjustRightInd/>
                    <w:spacing w:line="240" w:lineRule="auto"/>
                    <w:jc w:val="center"/>
                    <w:rPr>
                      <w:rStyle w:val="53"/>
                      <w:rFonts w:hint="default" w:ascii="Times New Roman" w:hAnsi="Times New Roman"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0.375</w:t>
                  </w:r>
                </w:p>
              </w:tc>
              <w:tc>
                <w:tcPr>
                  <w:tcW w:w="708" w:type="dxa"/>
                  <w:vMerge w:val="continue"/>
                  <w:shd w:val="clear" w:color="auto" w:fill="auto"/>
                  <w:noWrap w:val="0"/>
                  <w:vAlign w:val="center"/>
                </w:tcPr>
                <w:p w14:paraId="1628FE85">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r>
            <w:tr w14:paraId="1D1D4B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057" w:type="dxa"/>
                  <w:vMerge w:val="restart"/>
                  <w:shd w:val="clear" w:color="auto" w:fill="auto"/>
                  <w:noWrap w:val="0"/>
                  <w:vAlign w:val="center"/>
                </w:tcPr>
                <w:p w14:paraId="79E9C634">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筛分粉尘</w:t>
                  </w:r>
                </w:p>
              </w:tc>
              <w:tc>
                <w:tcPr>
                  <w:tcW w:w="459" w:type="dxa"/>
                  <w:vMerge w:val="continue"/>
                  <w:shd w:val="clear" w:color="auto" w:fill="auto"/>
                  <w:noWrap w:val="0"/>
                  <w:vAlign w:val="center"/>
                </w:tcPr>
                <w:p w14:paraId="599151EA">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c>
                <w:tcPr>
                  <w:tcW w:w="3573" w:type="dxa"/>
                  <w:shd w:val="clear" w:color="auto" w:fill="auto"/>
                  <w:noWrap w:val="0"/>
                  <w:vAlign w:val="center"/>
                </w:tcPr>
                <w:p w14:paraId="0CCB9954">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直线振动筛均位于全封闭钢结构厂房内，采用集气罩+</w:t>
                  </w:r>
                  <w:r>
                    <w:rPr>
                      <w:rStyle w:val="53"/>
                      <w:rFonts w:hint="default" w:ascii="Times New Roman" w:hAnsi="Times New Roman" w:cs="Times New Roman"/>
                      <w:b w:val="0"/>
                      <w:bCs/>
                      <w:color w:val="000000"/>
                      <w:sz w:val="21"/>
                      <w:szCs w:val="21"/>
                      <w:highlight w:val="none"/>
                      <w:lang w:val="en-US" w:eastAsia="zh-CN"/>
                    </w:rPr>
                    <w:t>袋式除尘器</w:t>
                  </w:r>
                  <w:r>
                    <w:rPr>
                      <w:rStyle w:val="53"/>
                      <w:rFonts w:hint="default" w:ascii="Times New Roman" w:hAnsi="Times New Roman" w:eastAsia="宋体" w:cs="Times New Roman"/>
                      <w:b w:val="0"/>
                      <w:bCs/>
                      <w:color w:val="000000"/>
                      <w:sz w:val="21"/>
                      <w:szCs w:val="21"/>
                      <w:highlight w:val="none"/>
                      <w:lang w:val="en-US" w:eastAsia="zh-CN"/>
                    </w:rPr>
                    <w:t>+15高排气筒处置后排放</w:t>
                  </w:r>
                  <w:r>
                    <w:rPr>
                      <w:rStyle w:val="53"/>
                      <w:rFonts w:hint="default" w:ascii="Times New Roman" w:hAnsi="Times New Roman" w:cs="Times New Roman"/>
                      <w:b w:val="0"/>
                      <w:bCs/>
                      <w:color w:val="000000"/>
                      <w:sz w:val="21"/>
                      <w:szCs w:val="21"/>
                      <w:highlight w:val="none"/>
                      <w:lang w:val="en-US" w:eastAsia="zh-CN"/>
                    </w:rPr>
                    <w:t>，</w:t>
                  </w:r>
                  <w:r>
                    <w:rPr>
                      <w:rStyle w:val="53"/>
                      <w:rFonts w:hint="default" w:ascii="Times New Roman" w:hAnsi="Times New Roman" w:eastAsia="宋体" w:cs="Times New Roman"/>
                      <w:b w:val="0"/>
                      <w:bCs/>
                      <w:color w:val="000000"/>
                      <w:sz w:val="21"/>
                      <w:szCs w:val="21"/>
                      <w:highlight w:val="none"/>
                      <w:lang w:val="en-US" w:eastAsia="zh-CN"/>
                    </w:rPr>
                    <w:t>，集气效率90%</w:t>
                  </w:r>
                </w:p>
              </w:tc>
              <w:tc>
                <w:tcPr>
                  <w:tcW w:w="1140" w:type="dxa"/>
                  <w:shd w:val="clear" w:color="auto" w:fill="auto"/>
                  <w:noWrap w:val="0"/>
                  <w:vAlign w:val="center"/>
                </w:tcPr>
                <w:p w14:paraId="22177066">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3.375t/a</w:t>
                  </w:r>
                </w:p>
              </w:tc>
              <w:tc>
                <w:tcPr>
                  <w:tcW w:w="708" w:type="dxa"/>
                  <w:vMerge w:val="restart"/>
                  <w:shd w:val="clear" w:color="auto" w:fill="auto"/>
                  <w:noWrap w:val="0"/>
                  <w:vAlign w:val="center"/>
                </w:tcPr>
                <w:p w14:paraId="17B2C576">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有组织</w:t>
                  </w:r>
                </w:p>
              </w:tc>
            </w:tr>
            <w:tr w14:paraId="12FA3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057" w:type="dxa"/>
                  <w:vMerge w:val="continue"/>
                  <w:shd w:val="clear" w:color="auto" w:fill="auto"/>
                  <w:noWrap w:val="0"/>
                  <w:vAlign w:val="center"/>
                </w:tcPr>
                <w:p w14:paraId="73F901B4">
                  <w:pPr>
                    <w:pStyle w:val="52"/>
                    <w:adjustRightInd/>
                    <w:spacing w:line="240" w:lineRule="auto"/>
                    <w:jc w:val="center"/>
                    <w:rPr>
                      <w:rFonts w:hint="default" w:ascii="Times New Roman" w:hAnsi="Times New Roman" w:cs="Times New Roman"/>
                    </w:rPr>
                  </w:pPr>
                </w:p>
              </w:tc>
              <w:tc>
                <w:tcPr>
                  <w:tcW w:w="459" w:type="dxa"/>
                  <w:vMerge w:val="continue"/>
                  <w:shd w:val="clear" w:color="auto" w:fill="auto"/>
                  <w:noWrap w:val="0"/>
                  <w:vAlign w:val="center"/>
                </w:tcPr>
                <w:p w14:paraId="381BC279">
                  <w:pPr>
                    <w:pStyle w:val="52"/>
                    <w:adjustRightInd/>
                    <w:spacing w:line="240" w:lineRule="auto"/>
                    <w:jc w:val="center"/>
                    <w:rPr>
                      <w:rFonts w:hint="default" w:ascii="Times New Roman" w:hAnsi="Times New Roman" w:cs="Times New Roman"/>
                    </w:rPr>
                  </w:pPr>
                </w:p>
              </w:tc>
              <w:tc>
                <w:tcPr>
                  <w:tcW w:w="3573" w:type="dxa"/>
                  <w:shd w:val="clear" w:color="auto" w:fill="auto"/>
                  <w:noWrap w:val="0"/>
                  <w:vAlign w:val="center"/>
                </w:tcPr>
                <w:p w14:paraId="4A2DCEA2">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方形摇摆筛设备结构密闭(有排气孔)，由管道直连排气孔，进袋式除尘器，通过1根15m排气筒DA002排放</w:t>
                  </w:r>
                </w:p>
              </w:tc>
              <w:tc>
                <w:tcPr>
                  <w:tcW w:w="1140" w:type="dxa"/>
                  <w:shd w:val="clear" w:color="auto" w:fill="auto"/>
                  <w:noWrap w:val="0"/>
                  <w:vAlign w:val="center"/>
                </w:tcPr>
                <w:p w14:paraId="043961D4">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3.75</w:t>
                  </w:r>
                </w:p>
              </w:tc>
              <w:tc>
                <w:tcPr>
                  <w:tcW w:w="708" w:type="dxa"/>
                  <w:vMerge w:val="continue"/>
                  <w:shd w:val="clear" w:color="auto" w:fill="auto"/>
                  <w:noWrap w:val="0"/>
                  <w:vAlign w:val="center"/>
                </w:tcPr>
                <w:p w14:paraId="463CEA60">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r>
            <w:tr w14:paraId="20CAE3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7" w:type="dxa"/>
                  <w:shd w:val="clear" w:color="auto" w:fill="auto"/>
                  <w:noWrap w:val="0"/>
                  <w:vAlign w:val="center"/>
                </w:tcPr>
                <w:p w14:paraId="7CB526F4">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eastAsia="宋体" w:cs="Times New Roman"/>
                      <w:b w:val="0"/>
                      <w:bCs/>
                      <w:color w:val="000000"/>
                      <w:sz w:val="21"/>
                      <w:szCs w:val="21"/>
                      <w:highlight w:val="none"/>
                      <w:lang w:val="en-US" w:eastAsia="zh-CN"/>
                    </w:rPr>
                    <w:t>烘干粉尘</w:t>
                  </w:r>
                </w:p>
              </w:tc>
              <w:tc>
                <w:tcPr>
                  <w:tcW w:w="459" w:type="dxa"/>
                  <w:vMerge w:val="continue"/>
                  <w:shd w:val="clear" w:color="auto" w:fill="auto"/>
                  <w:noWrap w:val="0"/>
                  <w:vAlign w:val="center"/>
                </w:tcPr>
                <w:p w14:paraId="741CC9CE">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p>
              </w:tc>
              <w:tc>
                <w:tcPr>
                  <w:tcW w:w="3573" w:type="dxa"/>
                  <w:shd w:val="clear" w:color="auto" w:fill="auto"/>
                  <w:noWrap w:val="0"/>
                  <w:vAlign w:val="center"/>
                </w:tcPr>
                <w:p w14:paraId="7FFF3234">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设备全</w:t>
                  </w:r>
                  <w:r>
                    <w:rPr>
                      <w:rStyle w:val="53"/>
                      <w:rFonts w:hint="default" w:ascii="Times New Roman" w:hAnsi="Times New Roman" w:eastAsia="宋体" w:cs="Times New Roman"/>
                      <w:b w:val="0"/>
                      <w:bCs/>
                      <w:color w:val="000000"/>
                      <w:sz w:val="21"/>
                      <w:szCs w:val="21"/>
                      <w:highlight w:val="none"/>
                      <w:lang w:val="en-US" w:eastAsia="zh-CN"/>
                    </w:rPr>
                    <w:t>封闭，采用</w:t>
                  </w:r>
                  <w:r>
                    <w:rPr>
                      <w:rStyle w:val="53"/>
                      <w:rFonts w:hint="default" w:ascii="Times New Roman" w:hAnsi="Times New Roman" w:cs="Times New Roman"/>
                      <w:b w:val="0"/>
                      <w:bCs/>
                      <w:color w:val="000000"/>
                      <w:sz w:val="21"/>
                      <w:szCs w:val="21"/>
                      <w:highlight w:val="none"/>
                      <w:lang w:val="en-US" w:eastAsia="zh-CN"/>
                    </w:rPr>
                    <w:t>袋式除尘器</w:t>
                  </w:r>
                  <w:r>
                    <w:rPr>
                      <w:rStyle w:val="53"/>
                      <w:rFonts w:hint="default" w:ascii="Times New Roman" w:hAnsi="Times New Roman" w:eastAsia="宋体" w:cs="Times New Roman"/>
                      <w:b w:val="0"/>
                      <w:bCs/>
                      <w:color w:val="000000"/>
                      <w:sz w:val="21"/>
                      <w:szCs w:val="21"/>
                      <w:highlight w:val="none"/>
                      <w:lang w:val="en-US" w:eastAsia="zh-CN"/>
                    </w:rPr>
                    <w:t>+15高排气筒处置后排放</w:t>
                  </w:r>
                </w:p>
              </w:tc>
              <w:tc>
                <w:tcPr>
                  <w:tcW w:w="1140" w:type="dxa"/>
                  <w:shd w:val="clear" w:color="auto" w:fill="auto"/>
                  <w:noWrap w:val="0"/>
                  <w:vAlign w:val="center"/>
                </w:tcPr>
                <w:p w14:paraId="0DD0C078">
                  <w:pPr>
                    <w:pStyle w:val="52"/>
                    <w:adjustRightInd/>
                    <w:spacing w:line="240" w:lineRule="auto"/>
                    <w:jc w:val="center"/>
                    <w:rPr>
                      <w:rStyle w:val="53"/>
                      <w:rFonts w:hint="default" w:ascii="Times New Roman" w:hAnsi="Times New Roman" w:eastAsia="宋体" w:cs="Times New Roman"/>
                      <w:b w:val="0"/>
                      <w:bCs/>
                      <w:color w:val="000000"/>
                      <w:sz w:val="21"/>
                      <w:szCs w:val="21"/>
                      <w:highlight w:val="none"/>
                      <w:lang w:val="en-US" w:eastAsia="zh-CN"/>
                    </w:rPr>
                  </w:pPr>
                  <w:r>
                    <w:rPr>
                      <w:rStyle w:val="53"/>
                      <w:rFonts w:hint="default" w:ascii="Times New Roman" w:hAnsi="Times New Roman" w:cs="Times New Roman"/>
                      <w:b w:val="0"/>
                      <w:bCs/>
                      <w:color w:val="000000"/>
                      <w:sz w:val="21"/>
                      <w:szCs w:val="21"/>
                      <w:highlight w:val="none"/>
                      <w:lang w:val="en-US" w:eastAsia="zh-CN"/>
                    </w:rPr>
                    <w:t>5</w:t>
                  </w:r>
                  <w:r>
                    <w:rPr>
                      <w:rStyle w:val="53"/>
                      <w:rFonts w:hint="default" w:ascii="Times New Roman" w:hAnsi="Times New Roman" w:eastAsia="宋体" w:cs="Times New Roman"/>
                      <w:b w:val="0"/>
                      <w:bCs/>
                      <w:color w:val="000000"/>
                      <w:sz w:val="21"/>
                      <w:szCs w:val="21"/>
                      <w:highlight w:val="none"/>
                      <w:lang w:val="en-US" w:eastAsia="zh-CN"/>
                    </w:rPr>
                    <w:t>t/a</w:t>
                  </w:r>
                </w:p>
              </w:tc>
              <w:tc>
                <w:tcPr>
                  <w:tcW w:w="708" w:type="dxa"/>
                  <w:vMerge w:val="continue"/>
                  <w:shd w:val="clear" w:color="auto" w:fill="auto"/>
                  <w:noWrap w:val="0"/>
                  <w:vAlign w:val="center"/>
                </w:tcPr>
                <w:p w14:paraId="33ED172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r>
          </w:tbl>
          <w:p w14:paraId="202C9FE6">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1.2废气治理措施及其可行性分析</w:t>
            </w:r>
          </w:p>
          <w:p w14:paraId="0284D095">
            <w:pPr>
              <w:pStyle w:val="48"/>
              <w:spacing w:line="360" w:lineRule="auto"/>
              <w:ind w:firstLine="480" w:firstLineChars="200"/>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本项目原料装卸料时采取喷淋降尘，堆存时表面覆盖篷布；投料进口处为半封闭式，在进料口采取喷淋降尘；球磨机、滚筒筛、脱水筛均采用全封闭结构；电烘干机、方形摇摆筛设备采用全封闭结构并留有排气孔，由管道直连排气孔，进袋式除尘器，通过1根15m排气筒排放；直线振动筛均位于全封闭钢结构厂房内，并采用集气罩+袋式除尘器+15高排气筒处置后排放。整个运行过程中产生的废气可满足《大气污染物综合排放标准》（GB16297-1996）中表2新污染源二级排放标准限值要求（</w:t>
            </w:r>
            <w:r>
              <w:rPr>
                <w:rFonts w:hint="default" w:ascii="Times New Roman" w:hAnsi="Times New Roman" w:cs="Times New Roman"/>
                <w:color w:val="auto"/>
                <w:kern w:val="0"/>
                <w:sz w:val="24"/>
                <w:szCs w:val="24"/>
                <w:lang w:val="en-US" w:eastAsia="zh-CN" w:bidi="ar-SA"/>
              </w:rPr>
              <w:t>无组织</w:t>
            </w:r>
            <w:r>
              <w:rPr>
                <w:rFonts w:hint="default" w:ascii="Times New Roman" w:hAnsi="Times New Roman" w:eastAsia="宋体" w:cs="Times New Roman"/>
                <w:color w:val="auto"/>
                <w:kern w:val="0"/>
                <w:sz w:val="24"/>
                <w:szCs w:val="24"/>
                <w:lang w:val="en-US" w:eastAsia="zh-CN" w:bidi="ar-SA"/>
              </w:rPr>
              <w:t>颗粒物：1.0mg/m</w:t>
            </w:r>
            <w:r>
              <w:rPr>
                <w:rFonts w:hint="default" w:ascii="Times New Roman" w:hAnsi="Times New Roman" w:eastAsia="宋体" w:cs="Times New Roman"/>
                <w:color w:val="auto"/>
                <w:kern w:val="0"/>
                <w:sz w:val="24"/>
                <w:szCs w:val="24"/>
                <w:vertAlign w:val="superscript"/>
                <w:lang w:val="en-US" w:eastAsia="zh-CN" w:bidi="ar-SA"/>
              </w:rPr>
              <w:t>3</w:t>
            </w:r>
            <w:r>
              <w:rPr>
                <w:rFonts w:hint="default" w:ascii="Times New Roman" w:hAnsi="Times New Roman" w:cs="Times New Roman"/>
                <w:color w:val="auto"/>
                <w:kern w:val="0"/>
                <w:sz w:val="24"/>
                <w:szCs w:val="24"/>
                <w:vertAlign w:val="baseline"/>
                <w:lang w:val="en-US" w:eastAsia="zh-CN" w:bidi="ar-SA"/>
              </w:rPr>
              <w:t>、有组织颗粒物：1.9kg/h</w:t>
            </w:r>
            <w:r>
              <w:rPr>
                <w:rFonts w:hint="default" w:ascii="Times New Roman" w:hAnsi="Times New Roman" w:eastAsia="宋体" w:cs="Times New Roman"/>
                <w:color w:val="auto"/>
                <w:kern w:val="0"/>
                <w:sz w:val="24"/>
                <w:szCs w:val="24"/>
                <w:lang w:val="en-US" w:eastAsia="zh-CN" w:bidi="ar-SA"/>
              </w:rPr>
              <w:t>）。堆料场的设置满足《工业料场堆场扬尘整治规范》（DB65/T 4061-2017）要求。</w:t>
            </w:r>
          </w:p>
          <w:p w14:paraId="02E032D3">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1.3非正常工况废气排放</w:t>
            </w:r>
          </w:p>
          <w:p w14:paraId="37DCCB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baseline"/>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2"/>
                <w:sz w:val="24"/>
                <w:szCs w:val="24"/>
                <w:lang w:val="en-US" w:eastAsia="zh-CN" w:bidi="ar-SA"/>
              </w:rPr>
              <w:t>环保措施岀现故障时，会使污染物处理效率下降或者未经处理而直接排入环境中。本项目主要考虑袋式除尘器出现故障，按最不利情况考虑处理效率下降为0%时的情况，非正常工况工艺废气排放情况见表4-3。</w:t>
            </w:r>
          </w:p>
          <w:p w14:paraId="07CD67D8">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1.4 监测计划</w:t>
            </w:r>
          </w:p>
          <w:p w14:paraId="7AFAAE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baseline"/>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2"/>
                <w:sz w:val="24"/>
                <w:szCs w:val="24"/>
                <w:lang w:val="en-US" w:eastAsia="zh-CN" w:bidi="ar-SA"/>
              </w:rPr>
              <w:t>为了掌握本项目产生的各污染物排放情况，需对各污染源进行监测。根据《排污单位自行监测技术指南-总则》（HJ819-2017）制定监测计划，监测计划见表4-4。</w:t>
            </w:r>
          </w:p>
          <w:p w14:paraId="22E91E7D">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2. 废水</w:t>
            </w:r>
          </w:p>
          <w:p w14:paraId="2840E57E">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2.1 废水源强分析</w:t>
            </w:r>
          </w:p>
          <w:p w14:paraId="3A85D0F1">
            <w:pPr>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项目降尘用水蒸发损耗，无废水产生。项目废水主要为生产废水和生活污水。</w:t>
            </w:r>
          </w:p>
          <w:p w14:paraId="659DE6E2">
            <w:pPr>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生产废水：洗砂废水量约为4147200t/a（约17280t/d），经管道收集送浓密池加入PAC絮凝沉淀处理后回用于生产工序，不外排。</w:t>
            </w:r>
          </w:p>
          <w:p w14:paraId="20A96C2D">
            <w:pPr>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生活污水：生活污水量按照用水量的80%计，则生活污水产生量为1.2m</w:t>
            </w:r>
            <w:r>
              <w:rPr>
                <w:rFonts w:hint="default" w:ascii="Times New Roman" w:hAnsi="Times New Roman" w:eastAsia="宋体" w:cs="Times New Roman"/>
                <w:color w:val="auto"/>
                <w:kern w:val="2"/>
                <w:sz w:val="24"/>
                <w:szCs w:val="24"/>
                <w:highlight w:val="none"/>
                <w:vertAlign w:val="superscript"/>
                <w:lang w:val="en-US" w:eastAsia="zh-CN"/>
              </w:rPr>
              <w:t>3</w:t>
            </w:r>
            <w:r>
              <w:rPr>
                <w:rFonts w:hint="default" w:ascii="Times New Roman" w:hAnsi="Times New Roman" w:eastAsia="宋体" w:cs="Times New Roman"/>
                <w:color w:val="auto"/>
                <w:kern w:val="2"/>
                <w:sz w:val="24"/>
                <w:szCs w:val="24"/>
                <w:highlight w:val="none"/>
                <w:lang w:val="en-US" w:eastAsia="zh-CN"/>
              </w:rPr>
              <w:t>/d（288m</w:t>
            </w:r>
            <w:r>
              <w:rPr>
                <w:rFonts w:hint="default" w:ascii="Times New Roman" w:hAnsi="Times New Roman" w:eastAsia="宋体" w:cs="Times New Roman"/>
                <w:color w:val="auto"/>
                <w:kern w:val="2"/>
                <w:sz w:val="24"/>
                <w:szCs w:val="24"/>
                <w:highlight w:val="none"/>
                <w:vertAlign w:val="superscript"/>
                <w:lang w:val="en-US" w:eastAsia="zh-CN"/>
              </w:rPr>
              <w:t>3</w:t>
            </w:r>
            <w:r>
              <w:rPr>
                <w:rFonts w:hint="default" w:ascii="Times New Roman" w:hAnsi="Times New Roman" w:eastAsia="宋体" w:cs="Times New Roman"/>
                <w:color w:val="auto"/>
                <w:kern w:val="2"/>
                <w:sz w:val="24"/>
                <w:szCs w:val="24"/>
                <w:highlight w:val="none"/>
                <w:lang w:val="en-US" w:eastAsia="zh-CN"/>
              </w:rPr>
              <w:t>/a）。本项目生活污水中污染物浓度COD为300mg/L，BOD5为200mg/L，SS为150mg/L，氨氮为30mg/L，动植物油为20mg/L，污染物排放量：COD为0.0864t/a，BOD</w:t>
            </w:r>
            <w:r>
              <w:rPr>
                <w:rFonts w:hint="default" w:ascii="Times New Roman" w:hAnsi="Times New Roman" w:eastAsia="宋体" w:cs="Times New Roman"/>
                <w:color w:val="auto"/>
                <w:kern w:val="2"/>
                <w:sz w:val="24"/>
                <w:szCs w:val="24"/>
                <w:highlight w:val="none"/>
                <w:vertAlign w:val="subscript"/>
                <w:lang w:val="en-US" w:eastAsia="zh-CN"/>
              </w:rPr>
              <w:t>5</w:t>
            </w:r>
            <w:r>
              <w:rPr>
                <w:rFonts w:hint="default" w:ascii="Times New Roman" w:hAnsi="Times New Roman" w:eastAsia="宋体" w:cs="Times New Roman"/>
                <w:color w:val="auto"/>
                <w:kern w:val="2"/>
                <w:sz w:val="24"/>
                <w:szCs w:val="24"/>
                <w:highlight w:val="none"/>
                <w:lang w:val="en-US" w:eastAsia="zh-CN"/>
              </w:rPr>
              <w:t>为0.0576t/a，SS为0.0432t/a，氨氮为0.00864t/a，动植物油为0.00576t/a。</w:t>
            </w:r>
          </w:p>
          <w:p w14:paraId="17301ED6">
            <w:pPr>
              <w:pStyle w:val="48"/>
              <w:spacing w:line="360" w:lineRule="auto"/>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综上所述，项目废水排放总量为</w:t>
            </w:r>
            <w:r>
              <w:rPr>
                <w:rFonts w:hint="default" w:ascii="Times New Roman" w:hAnsi="Times New Roman" w:cs="Times New Roman"/>
                <w:color w:val="auto"/>
                <w:kern w:val="2"/>
                <w:sz w:val="24"/>
                <w:szCs w:val="24"/>
                <w:highlight w:val="none"/>
                <w:lang w:val="en-US" w:eastAsia="zh-CN"/>
              </w:rPr>
              <w:t>1.2</w:t>
            </w:r>
            <w:r>
              <w:rPr>
                <w:rFonts w:hint="default" w:ascii="Times New Roman" w:hAnsi="Times New Roman" w:eastAsia="宋体" w:cs="Times New Roman"/>
                <w:color w:val="auto"/>
                <w:kern w:val="2"/>
                <w:sz w:val="24"/>
                <w:szCs w:val="24"/>
                <w:highlight w:val="none"/>
                <w:lang w:val="en-US" w:eastAsia="zh-CN"/>
              </w:rPr>
              <w:t>m</w:t>
            </w:r>
            <w:r>
              <w:rPr>
                <w:rFonts w:hint="default" w:ascii="Times New Roman" w:hAnsi="Times New Roman" w:eastAsia="宋体" w:cs="Times New Roman"/>
                <w:color w:val="auto"/>
                <w:kern w:val="2"/>
                <w:sz w:val="24"/>
                <w:szCs w:val="24"/>
                <w:highlight w:val="none"/>
                <w:vertAlign w:val="superscript"/>
                <w:lang w:val="en-US" w:eastAsia="zh-CN"/>
              </w:rPr>
              <w:t>3</w:t>
            </w:r>
            <w:r>
              <w:rPr>
                <w:rFonts w:hint="default" w:ascii="Times New Roman" w:hAnsi="Times New Roman" w:eastAsia="宋体" w:cs="Times New Roman"/>
                <w:color w:val="auto"/>
                <w:kern w:val="2"/>
                <w:sz w:val="24"/>
                <w:szCs w:val="24"/>
                <w:highlight w:val="none"/>
                <w:lang w:val="en-US" w:eastAsia="zh-CN"/>
              </w:rPr>
              <w:t>/d（</w:t>
            </w:r>
            <w:r>
              <w:rPr>
                <w:rFonts w:hint="default" w:ascii="Times New Roman" w:hAnsi="Times New Roman" w:cs="Times New Roman"/>
                <w:color w:val="auto"/>
                <w:kern w:val="2"/>
                <w:sz w:val="24"/>
                <w:szCs w:val="24"/>
                <w:highlight w:val="none"/>
                <w:lang w:val="en-US" w:eastAsia="zh-CN"/>
              </w:rPr>
              <w:t>288</w:t>
            </w:r>
            <w:r>
              <w:rPr>
                <w:rFonts w:hint="default" w:ascii="Times New Roman" w:hAnsi="Times New Roman" w:eastAsia="宋体" w:cs="Times New Roman"/>
                <w:color w:val="auto"/>
                <w:kern w:val="2"/>
                <w:sz w:val="24"/>
                <w:szCs w:val="24"/>
                <w:highlight w:val="none"/>
                <w:lang w:val="en-US" w:eastAsia="zh-CN"/>
              </w:rPr>
              <w:t>m</w:t>
            </w:r>
            <w:r>
              <w:rPr>
                <w:rFonts w:hint="default" w:ascii="Times New Roman" w:hAnsi="Times New Roman" w:eastAsia="宋体" w:cs="Times New Roman"/>
                <w:color w:val="auto"/>
                <w:kern w:val="2"/>
                <w:sz w:val="24"/>
                <w:szCs w:val="24"/>
                <w:highlight w:val="none"/>
                <w:vertAlign w:val="superscript"/>
                <w:lang w:val="en-US" w:eastAsia="zh-CN"/>
              </w:rPr>
              <w:t>3</w:t>
            </w:r>
            <w:r>
              <w:rPr>
                <w:rFonts w:hint="default" w:ascii="Times New Roman" w:hAnsi="Times New Roman" w:eastAsia="宋体" w:cs="Times New Roman"/>
                <w:color w:val="auto"/>
                <w:kern w:val="2"/>
                <w:sz w:val="24"/>
                <w:szCs w:val="24"/>
                <w:highlight w:val="none"/>
                <w:lang w:val="en-US" w:eastAsia="zh-CN"/>
              </w:rPr>
              <w:t>/a），为生活污水，水质较简单，排入市政管网，最终排入和丰工业园区污水处理厂处理。本项目废水排放浓度符合《污水综合排放标准》（GB8978-1996）表4中的三级标准限值</w:t>
            </w:r>
          </w:p>
          <w:p w14:paraId="28E58844">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2.2 污水排放的可行性分析</w:t>
            </w:r>
          </w:p>
          <w:p w14:paraId="19E326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cs="Times New Roman"/>
                <w:bCs/>
                <w:color w:val="auto"/>
                <w:spacing w:val="0"/>
                <w:sz w:val="24"/>
                <w:szCs w:val="24"/>
                <w:highlight w:val="none"/>
                <w:lang w:eastAsia="zh-CN"/>
              </w:rPr>
              <w:t>和布克赛尔蒙古自治县</w:t>
            </w:r>
            <w:r>
              <w:rPr>
                <w:rFonts w:hint="default" w:ascii="Times New Roman" w:hAnsi="Times New Roman" w:cs="Times New Roman"/>
                <w:bCs/>
                <w:color w:val="auto"/>
                <w:spacing w:val="0"/>
                <w:sz w:val="24"/>
                <w:szCs w:val="24"/>
                <w:highlight w:val="none"/>
                <w:lang w:val="en-US" w:eastAsia="zh-CN"/>
              </w:rPr>
              <w:t>和丰</w:t>
            </w:r>
            <w:r>
              <w:rPr>
                <w:rFonts w:hint="default" w:ascii="Times New Roman" w:hAnsi="Times New Roman" w:eastAsia="宋体" w:cs="Times New Roman"/>
                <w:bCs/>
                <w:color w:val="auto"/>
                <w:spacing w:val="0"/>
                <w:sz w:val="24"/>
                <w:szCs w:val="24"/>
                <w:highlight w:val="none"/>
              </w:rPr>
              <w:t>工业园区污水处理厂废水处理系统处理规模为10000m³/d。目前园区工程主体已建设完成，采用“粗格栅及提升泵房+细格栅及曝气沉砂池+事故调节池+A2O生化池+高效澄清池+深床反硝化滤池+臭氧催化氧化+消毒+中水回用”工艺流程。</w:t>
            </w:r>
            <w:bookmarkStart w:id="7" w:name="OLE_LINK28"/>
            <w:bookmarkStart w:id="8" w:name="OLE_LINK32"/>
            <w:r>
              <w:rPr>
                <w:rFonts w:hint="default" w:ascii="Times New Roman" w:hAnsi="Times New Roman" w:eastAsia="宋体" w:cs="Times New Roman"/>
                <w:bCs/>
                <w:color w:val="auto"/>
                <w:spacing w:val="0"/>
                <w:sz w:val="24"/>
                <w:szCs w:val="24"/>
                <w:highlight w:val="none"/>
              </w:rPr>
              <w:t>本项目位于污水处理厂的接管范围内，外排生产废水及生活污水满足《污水综合排放标准》（GB8979-1996）中三级标准及园区污水处理厂进水水质要求</w:t>
            </w:r>
            <w:bookmarkEnd w:id="7"/>
            <w:r>
              <w:rPr>
                <w:rFonts w:hint="default" w:ascii="Times New Roman" w:hAnsi="Times New Roman" w:eastAsia="宋体" w:cs="Times New Roman"/>
                <w:bCs/>
                <w:color w:val="auto"/>
                <w:spacing w:val="0"/>
                <w:sz w:val="24"/>
                <w:szCs w:val="24"/>
                <w:highlight w:val="none"/>
              </w:rPr>
              <w:t>，排入园区污水处理厂进一步处理</w:t>
            </w:r>
            <w:bookmarkEnd w:id="8"/>
            <w:r>
              <w:rPr>
                <w:rFonts w:hint="default" w:ascii="Times New Roman" w:hAnsi="Times New Roman" w:eastAsia="宋体" w:cs="Times New Roman"/>
                <w:bCs/>
                <w:color w:val="auto"/>
                <w:spacing w:val="0"/>
                <w:sz w:val="24"/>
                <w:szCs w:val="24"/>
                <w:highlight w:val="none"/>
              </w:rPr>
              <w:t>。</w:t>
            </w:r>
            <w:r>
              <w:rPr>
                <w:rFonts w:hint="default" w:ascii="Times New Roman" w:hAnsi="Times New Roman" w:eastAsia="宋体" w:cs="Times New Roman"/>
                <w:color w:val="auto"/>
                <w:sz w:val="24"/>
                <w:lang w:val="en-US" w:eastAsia="zh-CN"/>
              </w:rPr>
              <w:t>现污水处理厂执行一级A排放标准。</w:t>
            </w:r>
          </w:p>
          <w:p w14:paraId="4F4077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pacing w:val="0"/>
                <w:sz w:val="24"/>
                <w:szCs w:val="24"/>
                <w:highlight w:val="none"/>
              </w:rPr>
            </w:pPr>
            <w:r>
              <w:rPr>
                <w:rFonts w:hint="default" w:ascii="Times New Roman" w:hAnsi="Times New Roman" w:eastAsia="宋体" w:cs="Times New Roman"/>
                <w:color w:val="auto"/>
                <w:sz w:val="24"/>
                <w:lang w:val="en-US" w:eastAsia="zh-CN"/>
              </w:rPr>
              <w:t>本项目产生的生活污水排放量为1.2m³/d，远小于</w:t>
            </w:r>
            <w:r>
              <w:rPr>
                <w:rFonts w:hint="eastAsia" w:ascii="Times New Roman" w:hAnsi="Times New Roman" w:cs="Times New Roman"/>
                <w:bCs/>
                <w:color w:val="auto"/>
                <w:spacing w:val="0"/>
                <w:sz w:val="24"/>
                <w:szCs w:val="24"/>
                <w:highlight w:val="none"/>
                <w:lang w:eastAsia="zh-CN"/>
              </w:rPr>
              <w:t>和布克赛尔蒙古自治县</w:t>
            </w:r>
            <w:r>
              <w:rPr>
                <w:rFonts w:hint="default" w:ascii="Times New Roman" w:hAnsi="Times New Roman" w:cs="Times New Roman"/>
                <w:bCs/>
                <w:color w:val="auto"/>
                <w:spacing w:val="0"/>
                <w:sz w:val="24"/>
                <w:szCs w:val="24"/>
                <w:highlight w:val="none"/>
                <w:lang w:val="en-US" w:eastAsia="zh-CN"/>
              </w:rPr>
              <w:t>和丰</w:t>
            </w:r>
            <w:r>
              <w:rPr>
                <w:rFonts w:hint="default" w:ascii="Times New Roman" w:hAnsi="Times New Roman" w:eastAsia="宋体" w:cs="Times New Roman"/>
                <w:bCs/>
                <w:color w:val="auto"/>
                <w:spacing w:val="0"/>
                <w:sz w:val="24"/>
                <w:szCs w:val="24"/>
                <w:highlight w:val="none"/>
              </w:rPr>
              <w:t>工业园区</w:t>
            </w:r>
            <w:r>
              <w:rPr>
                <w:rFonts w:hint="default" w:ascii="Times New Roman" w:hAnsi="Times New Roman" w:eastAsia="宋体" w:cs="Times New Roman"/>
                <w:color w:val="auto"/>
                <w:sz w:val="24"/>
                <w:lang w:val="en-US" w:eastAsia="zh-CN"/>
              </w:rPr>
              <w:t>污水处理厂处理污水量，</w:t>
            </w:r>
            <w:r>
              <w:rPr>
                <w:rFonts w:hint="eastAsia" w:ascii="Times New Roman" w:hAnsi="Times New Roman" w:cs="Times New Roman"/>
                <w:bCs/>
                <w:color w:val="auto"/>
                <w:spacing w:val="0"/>
                <w:sz w:val="24"/>
                <w:szCs w:val="24"/>
                <w:highlight w:val="none"/>
                <w:lang w:eastAsia="zh-CN"/>
              </w:rPr>
              <w:t>和布克赛尔蒙古自治县</w:t>
            </w:r>
            <w:r>
              <w:rPr>
                <w:rFonts w:hint="default" w:ascii="Times New Roman" w:hAnsi="Times New Roman" w:cs="Times New Roman"/>
                <w:bCs/>
                <w:color w:val="auto"/>
                <w:spacing w:val="0"/>
                <w:sz w:val="24"/>
                <w:szCs w:val="24"/>
                <w:highlight w:val="none"/>
                <w:lang w:val="en-US" w:eastAsia="zh-CN"/>
              </w:rPr>
              <w:t>和丰</w:t>
            </w:r>
            <w:r>
              <w:rPr>
                <w:rFonts w:hint="default" w:ascii="Times New Roman" w:hAnsi="Times New Roman" w:eastAsia="宋体" w:cs="Times New Roman"/>
                <w:bCs/>
                <w:color w:val="auto"/>
                <w:spacing w:val="0"/>
                <w:sz w:val="24"/>
                <w:szCs w:val="24"/>
                <w:highlight w:val="none"/>
              </w:rPr>
              <w:t>工业园区</w:t>
            </w:r>
            <w:r>
              <w:rPr>
                <w:rFonts w:hint="default" w:ascii="Times New Roman" w:hAnsi="Times New Roman" w:eastAsia="宋体" w:cs="Times New Roman"/>
                <w:color w:val="auto"/>
                <w:sz w:val="24"/>
                <w:lang w:val="en-US" w:eastAsia="zh-CN"/>
              </w:rPr>
              <w:t>污水处理厂富余处理能力可以满足本项目污水排放。因此项目废水不会对污水处理厂造成影响，本项目废水接入</w:t>
            </w:r>
            <w:r>
              <w:rPr>
                <w:rFonts w:hint="eastAsia" w:ascii="Times New Roman" w:hAnsi="Times New Roman" w:cs="Times New Roman"/>
                <w:bCs/>
                <w:color w:val="auto"/>
                <w:spacing w:val="0"/>
                <w:sz w:val="24"/>
                <w:szCs w:val="24"/>
                <w:highlight w:val="none"/>
                <w:lang w:eastAsia="zh-CN"/>
              </w:rPr>
              <w:t>和布克赛尔蒙古自治县</w:t>
            </w:r>
            <w:r>
              <w:rPr>
                <w:rFonts w:hint="default" w:ascii="Times New Roman" w:hAnsi="Times New Roman" w:cs="Times New Roman"/>
                <w:bCs/>
                <w:color w:val="auto"/>
                <w:spacing w:val="0"/>
                <w:sz w:val="24"/>
                <w:szCs w:val="24"/>
                <w:highlight w:val="none"/>
                <w:lang w:val="en-US" w:eastAsia="zh-CN"/>
              </w:rPr>
              <w:t>和丰</w:t>
            </w:r>
            <w:r>
              <w:rPr>
                <w:rFonts w:hint="default" w:ascii="Times New Roman" w:hAnsi="Times New Roman" w:eastAsia="宋体" w:cs="Times New Roman"/>
                <w:bCs/>
                <w:color w:val="auto"/>
                <w:spacing w:val="0"/>
                <w:sz w:val="24"/>
                <w:szCs w:val="24"/>
                <w:highlight w:val="none"/>
              </w:rPr>
              <w:t>工业园区</w:t>
            </w:r>
            <w:r>
              <w:rPr>
                <w:rFonts w:hint="default" w:ascii="Times New Roman" w:hAnsi="Times New Roman" w:eastAsia="宋体" w:cs="Times New Roman"/>
                <w:color w:val="auto"/>
                <w:sz w:val="24"/>
                <w:lang w:val="en-US" w:eastAsia="zh-CN"/>
              </w:rPr>
              <w:t>污水处理厂可行。</w:t>
            </w:r>
          </w:p>
          <w:p w14:paraId="35BD75A6">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3. 噪声</w:t>
            </w:r>
          </w:p>
          <w:p w14:paraId="4FD31C4B">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3.1 噪声源强</w:t>
            </w:r>
          </w:p>
          <w:p w14:paraId="5B715EE2">
            <w:pPr>
              <w:keepNext w:val="0"/>
              <w:keepLines w:val="0"/>
              <w:suppressLineNumbers w:val="0"/>
              <w:spacing w:before="120" w:beforeLines="50" w:beforeAutospacing="0" w:after="0" w:afterAutospacing="0" w:line="360" w:lineRule="auto"/>
              <w:ind w:left="0" w:right="0"/>
              <w:textAlignment w:val="baseline"/>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 声环境影响分析</w:t>
            </w:r>
          </w:p>
          <w:p w14:paraId="621A1446">
            <w:pPr>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highlight w:val="none"/>
              </w:rPr>
              <w:t>3.1 噪声源强</w:t>
            </w:r>
          </w:p>
          <w:p w14:paraId="48E410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12"/>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本项目主要的高噪声设备为球磨机、筛分机、磁选机等，其噪声值一般在</w:t>
            </w:r>
            <w:r>
              <w:rPr>
                <w:rFonts w:hint="eastAsia" w:ascii="Times New Roman" w:hAnsi="Times New Roman" w:cs="Times New Roman"/>
                <w:color w:val="auto"/>
                <w:sz w:val="24"/>
                <w:szCs w:val="24"/>
                <w:highlight w:val="none"/>
                <w:lang w:val="en-US" w:eastAsia="zh-CN"/>
              </w:rPr>
              <w:t>70</w:t>
            </w:r>
            <w:r>
              <w:rPr>
                <w:rFonts w:hint="default" w:ascii="Times New Roman" w:hAnsi="Times New Roman" w:eastAsia="宋体" w:cs="Times New Roman"/>
                <w:color w:val="auto"/>
                <w:sz w:val="24"/>
                <w:szCs w:val="24"/>
                <w:highlight w:val="none"/>
                <w:lang w:val="en-US" w:eastAsia="zh-CN"/>
              </w:rPr>
              <w:t>-85dB（A）之间，主要噪声源强见表4-6。</w:t>
            </w:r>
          </w:p>
          <w:p w14:paraId="5FC42BC3">
            <w:pPr>
              <w:keepNext w:val="0"/>
              <w:keepLines w:val="0"/>
              <w:suppressLineNumbers w:val="0"/>
              <w:spacing w:before="120" w:beforeLines="50" w:beforeAutospacing="0" w:after="0" w:afterAutospacing="0" w:line="360" w:lineRule="auto"/>
              <w:ind w:left="0" w:right="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b/>
                <w:bCs/>
                <w:color w:val="auto"/>
                <w:sz w:val="24"/>
                <w:highlight w:val="none"/>
              </w:rPr>
              <w:t>3.2 噪声影响</w:t>
            </w:r>
            <w:r>
              <w:rPr>
                <w:rFonts w:hint="default" w:ascii="Times New Roman" w:hAnsi="Times New Roman" w:cs="Times New Roman"/>
                <w:b/>
                <w:bCs/>
                <w:color w:val="auto"/>
                <w:sz w:val="24"/>
                <w:highlight w:val="none"/>
                <w:lang w:val="en-US" w:eastAsia="zh-CN"/>
              </w:rPr>
              <w:t>预测</w:t>
            </w:r>
          </w:p>
          <w:p w14:paraId="167FC28A">
            <w:pPr>
              <w:keepNext w:val="0"/>
              <w:keepLines w:val="0"/>
              <w:suppressLineNumbers w:val="0"/>
              <w:spacing w:before="120" w:beforeLines="5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厂区中多个噪声源叠加的综合噪声计算公式如下：</w:t>
            </w:r>
          </w:p>
          <w:p w14:paraId="77B11DF8">
            <w:pPr>
              <w:keepNext w:val="0"/>
              <w:keepLines w:val="0"/>
              <w:suppressLineNumbers w:val="0"/>
              <w:spacing w:before="120" w:beforeLines="5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pict>
                <v:shape id="_x0000_s1026" o:spid="_x0000_s1026" o:spt="75" type="#_x0000_t75" style="position:absolute;left:0pt;margin-left:127.75pt;margin-top:5.65pt;height:38.2pt;width:128pt;z-index:251668480;mso-width-relative:page;mso-height-relative:page;" o:ole="t" filled="f" o:preferrelative="t" stroked="f" coordsize="21600,21600">
                  <v:path/>
                  <v:fill on="f" focussize="0,0"/>
                  <v:stroke on="f"/>
                  <v:imagedata r:id="rId11" o:title=""/>
                  <o:lock v:ext="edit" aspectratio="t"/>
                </v:shape>
                <o:OLEObject Type="Embed" ProgID="" ShapeID="_x0000_s1026" DrawAspect="Content" ObjectID="_1468075727" r:id="rId10">
                  <o:LockedField>false</o:LockedField>
                </o:OLEObject>
              </w:pict>
            </w:r>
          </w:p>
          <w:p w14:paraId="690D0F1B">
            <w:pPr>
              <w:keepNext w:val="0"/>
              <w:keepLines w:val="0"/>
              <w:suppressLineNumbers w:val="0"/>
              <w:spacing w:before="120" w:beforeLines="50" w:beforeAutospacing="0" w:after="0" w:afterAutospacing="0" w:line="360" w:lineRule="auto"/>
              <w:ind w:right="0"/>
              <w:rPr>
                <w:rFonts w:hint="default" w:ascii="Times New Roman" w:hAnsi="Times New Roman" w:eastAsia="宋体" w:cs="Times New Roman"/>
                <w:bCs/>
                <w:color w:val="auto"/>
                <w:sz w:val="24"/>
                <w:highlight w:val="none"/>
                <w:lang w:val="en-US" w:eastAsia="zh-CN"/>
              </w:rPr>
            </w:pPr>
          </w:p>
          <w:p w14:paraId="3B21EA09">
            <w:pPr>
              <w:pStyle w:val="76"/>
              <w:adjustRightInd w:val="0"/>
              <w:ind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式中：</w:t>
            </w:r>
            <w:r>
              <w:rPr>
                <w:rFonts w:hint="default" w:ascii="Times New Roman" w:hAnsi="Times New Roman" w:eastAsia="宋体" w:cs="Times New Roman"/>
                <w:color w:val="auto"/>
                <w:highlight w:val="none"/>
                <w:lang w:val="en-US" w:eastAsia="zh-CN"/>
              </w:rPr>
              <w:object>
                <v:shape id="_x0000_i1027" o:spt="75" type="#_x0000_t75" style="height:19pt;width:35pt;" o:ole="t" filled="f" o:preferrelative="t" stroked="f" coordsize="21600,21600">
                  <v:path/>
                  <v:fill on="f" focussize="0,0"/>
                  <v:stroke on="f"/>
                  <v:imagedata r:id="rId13" o:title=""/>
                  <o:lock v:ext="edit" aspectratio="t"/>
                  <w10:wrap type="none"/>
                  <w10:anchorlock/>
                </v:shape>
                <o:OLEObject Type="Embed" ProgID="Equation.3" ShapeID="_x0000_i1027" DrawAspect="Content" ObjectID="_1468075728" r:id="rId12">
                  <o:LockedField>false</o:LockedField>
                </o:OLEObject>
              </w:object>
            </w:r>
            <w:r>
              <w:rPr>
                <w:rFonts w:hint="default" w:ascii="Times New Roman" w:hAnsi="Times New Roman" w:eastAsia="宋体" w:cs="Times New Roman"/>
                <w:color w:val="auto"/>
                <w:highlight w:val="none"/>
                <w:lang w:val="en-US" w:eastAsia="zh-CN"/>
              </w:rPr>
              <w:t>—靠近围护结构处室内N个声源i倍频带的叠加声压级，dB；</w:t>
            </w:r>
          </w:p>
          <w:p w14:paraId="2D733FC4">
            <w:pPr>
              <w:pStyle w:val="76"/>
              <w:adjustRightInd w:val="0"/>
              <w:ind w:leftChars="300"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object>
                <v:shape id="_x0000_i1028" o:spt="75" type="#_x0000_t75" style="height:19pt;width:21pt;" o:ole="t" filled="f" o:preferrelative="t" stroked="f" coordsize="21600,21600">
                  <v:path/>
                  <v:fill on="f" focussize="0,0"/>
                  <v:stroke on="f"/>
                  <v:imagedata r:id="rId15" o:title=""/>
                  <o:lock v:ext="edit" aspectratio="t"/>
                  <w10:wrap type="none"/>
                  <w10:anchorlock/>
                </v:shape>
                <o:OLEObject Type="Embed" ProgID="Equation.3" ShapeID="_x0000_i1028" DrawAspect="Content" ObjectID="_1468075729" r:id="rId14">
                  <o:LockedField>false</o:LockedField>
                </o:OLEObject>
              </w:object>
            </w:r>
            <w:r>
              <w:rPr>
                <w:rFonts w:hint="default" w:ascii="Times New Roman" w:hAnsi="Times New Roman" w:eastAsia="宋体" w:cs="Times New Roman"/>
                <w:color w:val="auto"/>
                <w:highlight w:val="none"/>
                <w:lang w:val="en-US" w:eastAsia="zh-CN"/>
              </w:rPr>
              <w:t>—室内j声源i倍频带的声压级，dB；</w:t>
            </w:r>
          </w:p>
          <w:p w14:paraId="71CF9242">
            <w:pPr>
              <w:pStyle w:val="76"/>
              <w:adjustRightInd w:val="0"/>
              <w:ind w:leftChars="300"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object>
                <v:shape id="_x0000_i1029" o:spt="75" type="#_x0000_t75" style="height:13.95pt;width:13.95pt;" o:ole="t" filled="f" o:preferrelative="t" stroked="f" coordsize="21600,21600">
                  <v:path/>
                  <v:fill on="f" focussize="0,0"/>
                  <v:stroke on="f"/>
                  <v:imagedata r:id="rId17" o:title=""/>
                  <o:lock v:ext="edit" aspectratio="t"/>
                  <w10:wrap type="none"/>
                  <w10:anchorlock/>
                </v:shape>
                <o:OLEObject Type="Embed" ProgID="Equation.3" ShapeID="_x0000_i1029" DrawAspect="Content" ObjectID="_1468075730" r:id="rId16">
                  <o:LockedField>false</o:LockedField>
                </o:OLEObject>
              </w:object>
            </w:r>
            <w:r>
              <w:rPr>
                <w:rFonts w:hint="default" w:ascii="Times New Roman" w:hAnsi="Times New Roman" w:eastAsia="宋体" w:cs="Times New Roman"/>
                <w:color w:val="auto"/>
                <w:highlight w:val="none"/>
                <w:lang w:val="en-US" w:eastAsia="zh-CN"/>
              </w:rPr>
              <w:t>—室内声源总数。</w:t>
            </w:r>
          </w:p>
          <w:p w14:paraId="16659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12"/>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根据多个噪声源叠加公式，计算得叠加噪声源强为</w:t>
            </w:r>
            <w:r>
              <w:rPr>
                <w:rFonts w:hint="eastAsia" w:ascii="Times New Roman" w:hAnsi="Times New Roman" w:cs="Times New Roman"/>
                <w:color w:val="auto"/>
                <w:sz w:val="24"/>
                <w:szCs w:val="24"/>
                <w:highlight w:val="none"/>
                <w:lang w:val="en-US" w:eastAsia="zh-CN"/>
              </w:rPr>
              <w:t>88.2</w:t>
            </w:r>
            <w:r>
              <w:rPr>
                <w:rFonts w:hint="default" w:ascii="Times New Roman" w:hAnsi="Times New Roman" w:eastAsia="宋体" w:cs="Times New Roman"/>
                <w:color w:val="auto"/>
                <w:sz w:val="24"/>
                <w:szCs w:val="24"/>
                <w:highlight w:val="none"/>
                <w:lang w:val="en-US" w:eastAsia="zh-CN"/>
              </w:rPr>
              <w:t>dB。项目主要噪声源为点源，声源处于半自由声场，随着传播距离的增加必将引起衰减，衰减值的计算公式为：</w:t>
            </w:r>
          </w:p>
          <w:p w14:paraId="30E6E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object>
                <v:shape id="_x0000_i1030" o:spt="75" type="#_x0000_t75" style="height:21.4pt;width:169.05pt;" o:ole="t" filled="f" o:preferrelative="t" stroked="f" coordsize="21600,21600">
                  <v:path/>
                  <v:fill on="f" focussize="0,0"/>
                  <v:stroke on="f"/>
                  <v:imagedata r:id="rId19" o:title=""/>
                  <o:lock v:ext="edit" aspectratio="t"/>
                  <w10:wrap type="none"/>
                  <w10:anchorlock/>
                </v:shape>
                <o:OLEObject Type="Embed" ProgID="Equation.3" ShapeID="_x0000_i1030" DrawAspect="Content" ObjectID="_1468075731" r:id="rId18">
                  <o:LockedField>false</o:LockedField>
                </o:OLEObject>
              </w:object>
            </w:r>
          </w:p>
          <w:p w14:paraId="2D9426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12"/>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式中：LA(r)－距声源r处的A声级，dB（A）；</w:t>
            </w:r>
          </w:p>
          <w:p w14:paraId="00248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720" w:leftChars="300" w:right="0" w:firstLine="508" w:firstLineChars="212"/>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LAw－点声源A计权声功率级，dB；</w:t>
            </w:r>
          </w:p>
          <w:p w14:paraId="50068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720" w:leftChars="300" w:right="0" w:firstLine="508" w:firstLineChars="212"/>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r－预测点距声源的距离。</w:t>
            </w:r>
          </w:p>
          <w:p w14:paraId="603F24E6">
            <w:pPr>
              <w:keepNext w:val="0"/>
              <w:keepLines w:val="0"/>
              <w:suppressLineNumbers w:val="0"/>
              <w:spacing w:before="120" w:beforeLines="50" w:beforeAutospacing="0" w:after="0" w:afterAutospacing="0" w:line="360" w:lineRule="auto"/>
              <w:ind w:left="0" w:right="0"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根据表</w:t>
            </w:r>
            <w:r>
              <w:rPr>
                <w:rFonts w:hint="default" w:ascii="Times New Roman" w:hAnsi="Times New Roman" w:cs="Times New Roman"/>
                <w:bCs/>
                <w:color w:val="auto"/>
                <w:sz w:val="24"/>
                <w:highlight w:val="none"/>
                <w:lang w:val="en-US" w:eastAsia="zh-CN"/>
              </w:rPr>
              <w:t>4-7</w:t>
            </w:r>
            <w:r>
              <w:rPr>
                <w:rFonts w:hint="default" w:ascii="Times New Roman" w:hAnsi="Times New Roman" w:cs="Times New Roman"/>
                <w:bCs/>
                <w:color w:val="auto"/>
                <w:sz w:val="24"/>
                <w:highlight w:val="none"/>
              </w:rPr>
              <w:t>预测计算结果可以看出，本项目</w:t>
            </w:r>
            <w:r>
              <w:rPr>
                <w:rFonts w:hint="default" w:ascii="Times New Roman" w:hAnsi="Times New Roman" w:cs="Times New Roman"/>
                <w:bCs/>
                <w:color w:val="auto"/>
                <w:sz w:val="24"/>
                <w:highlight w:val="none"/>
                <w:lang w:eastAsia="zh-CN"/>
              </w:rPr>
              <w:t>采用低噪声设备，设备</w:t>
            </w:r>
            <w:r>
              <w:rPr>
                <w:rFonts w:hint="default" w:ascii="Times New Roman" w:hAnsi="Times New Roman" w:cs="Times New Roman"/>
                <w:bCs/>
                <w:color w:val="auto"/>
                <w:sz w:val="24"/>
                <w:highlight w:val="none"/>
              </w:rPr>
              <w:t>噪声经过距离衰减等措施后，厂界昼间</w:t>
            </w:r>
            <w:r>
              <w:rPr>
                <w:rFonts w:hint="default" w:ascii="Times New Roman" w:hAnsi="Times New Roman" w:cs="Times New Roman"/>
                <w:bCs/>
                <w:color w:val="auto"/>
                <w:sz w:val="24"/>
                <w:highlight w:val="none"/>
                <w:lang w:val="en-US" w:eastAsia="zh-CN"/>
              </w:rPr>
              <w:t>贡献值</w:t>
            </w:r>
            <w:r>
              <w:rPr>
                <w:rFonts w:hint="default" w:ascii="Times New Roman" w:hAnsi="Times New Roman" w:cs="Times New Roman"/>
                <w:bCs/>
                <w:color w:val="auto"/>
                <w:sz w:val="24"/>
                <w:highlight w:val="none"/>
              </w:rPr>
              <w:t>噪声能达到《工业企业厂界环境噪声排放标准》（GB12348-2008）中</w:t>
            </w:r>
            <w:r>
              <w:rPr>
                <w:rFonts w:hint="default" w:ascii="Times New Roman" w:hAnsi="Times New Roman" w:cs="Times New Roman"/>
                <w:bCs/>
                <w:color w:val="auto"/>
                <w:sz w:val="24"/>
                <w:highlight w:val="none"/>
                <w:lang w:val="en-US" w:eastAsia="zh-CN"/>
              </w:rPr>
              <w:t>3</w:t>
            </w:r>
            <w:r>
              <w:rPr>
                <w:rFonts w:hint="default" w:ascii="Times New Roman" w:hAnsi="Times New Roman" w:cs="Times New Roman"/>
                <w:bCs/>
                <w:color w:val="auto"/>
                <w:sz w:val="24"/>
                <w:highlight w:val="none"/>
              </w:rPr>
              <w:t>类</w:t>
            </w:r>
            <w:r>
              <w:rPr>
                <w:rFonts w:hint="default" w:ascii="Times New Roman" w:hAnsi="Times New Roman" w:cs="Times New Roman"/>
                <w:bCs/>
                <w:color w:val="auto"/>
                <w:sz w:val="24"/>
                <w:highlight w:val="none"/>
                <w:lang w:val="en-US" w:eastAsia="zh-CN"/>
              </w:rPr>
              <w:t>声环境功能区</w:t>
            </w:r>
            <w:r>
              <w:rPr>
                <w:rFonts w:hint="default" w:ascii="Times New Roman" w:hAnsi="Times New Roman" w:cs="Times New Roman"/>
                <w:bCs/>
                <w:color w:val="auto"/>
                <w:sz w:val="24"/>
                <w:highlight w:val="none"/>
              </w:rPr>
              <w:t>限值。</w:t>
            </w:r>
          </w:p>
          <w:p w14:paraId="1F3069CB">
            <w:pPr>
              <w:pStyle w:val="48"/>
              <w:spacing w:line="360" w:lineRule="auto"/>
              <w:rPr>
                <w:rFonts w:hint="default" w:ascii="Times New Roman" w:hAnsi="Times New Roman" w:eastAsia="宋体" w:cs="Times New Roman"/>
                <w:b/>
                <w:color w:val="auto"/>
                <w:spacing w:val="-10"/>
                <w:sz w:val="24"/>
                <w:szCs w:val="24"/>
                <w:highlight w:val="none"/>
              </w:rPr>
            </w:pPr>
            <w:r>
              <w:rPr>
                <w:rFonts w:hint="default" w:ascii="Times New Roman" w:hAnsi="Times New Roman" w:eastAsia="宋体" w:cs="Times New Roman"/>
                <w:b/>
                <w:color w:val="auto"/>
                <w:spacing w:val="-10"/>
                <w:sz w:val="24"/>
                <w:szCs w:val="24"/>
                <w:highlight w:val="none"/>
              </w:rPr>
              <w:t>3.</w:t>
            </w:r>
            <w:r>
              <w:rPr>
                <w:rFonts w:hint="default" w:ascii="Times New Roman" w:hAnsi="Times New Roman" w:eastAsia="宋体" w:cs="Times New Roman"/>
                <w:b/>
                <w:color w:val="auto"/>
                <w:spacing w:val="-10"/>
                <w:sz w:val="24"/>
                <w:szCs w:val="24"/>
                <w:highlight w:val="none"/>
                <w:lang w:val="en-US" w:eastAsia="zh-CN"/>
              </w:rPr>
              <w:t>2</w:t>
            </w:r>
            <w:r>
              <w:rPr>
                <w:rFonts w:hint="default" w:ascii="Times New Roman" w:hAnsi="Times New Roman" w:eastAsia="宋体" w:cs="Times New Roman"/>
                <w:b/>
                <w:color w:val="auto"/>
                <w:spacing w:val="-10"/>
                <w:sz w:val="24"/>
                <w:szCs w:val="24"/>
                <w:highlight w:val="none"/>
              </w:rPr>
              <w:t xml:space="preserve"> 监测计划</w:t>
            </w:r>
          </w:p>
          <w:p w14:paraId="0587F49E">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根据《排污单位自行监测技术指南 总则》（HJ819-2017）、《排污许可申请与核发技术规范 总则》（HJ 942-2018），本项目运营期常规环境监测计划详见下表。</w:t>
            </w:r>
          </w:p>
          <w:p w14:paraId="0889BADA">
            <w:pPr>
              <w:pStyle w:val="48"/>
              <w:keepNext w:val="0"/>
              <w:keepLines w:val="0"/>
              <w:pageBreakBefore w:val="0"/>
              <w:widowControl/>
              <w:kinsoku/>
              <w:wordWrap/>
              <w:overflowPunct/>
              <w:topLinePunct w:val="0"/>
              <w:autoSpaceDE/>
              <w:autoSpaceDN/>
              <w:bidi w:val="0"/>
              <w:adjustRightInd/>
              <w:snapToGrid/>
              <w:spacing w:line="240" w:lineRule="auto"/>
              <w:ind w:firstLine="382" w:firstLineChars="200"/>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r>
              <w:rPr>
                <w:rFonts w:hint="default" w:ascii="Times New Roman" w:hAnsi="Times New Roman" w:eastAsia="宋体" w:cs="Times New Roman"/>
                <w:b/>
                <w:bCs w:val="0"/>
                <w:color w:val="auto"/>
                <w:spacing w:val="-10"/>
                <w:sz w:val="21"/>
                <w:szCs w:val="21"/>
                <w:highlight w:val="none"/>
                <w:lang w:eastAsia="zh-CN"/>
              </w:rPr>
              <w:t>表</w:t>
            </w:r>
            <w:r>
              <w:rPr>
                <w:rFonts w:hint="default" w:ascii="Times New Roman" w:hAnsi="Times New Roman" w:eastAsia="宋体" w:cs="Times New Roman"/>
                <w:b/>
                <w:bCs w:val="0"/>
                <w:color w:val="auto"/>
                <w:spacing w:val="-10"/>
                <w:sz w:val="21"/>
                <w:szCs w:val="21"/>
                <w:highlight w:val="none"/>
                <w:lang w:val="en-US" w:eastAsia="zh-CN"/>
              </w:rPr>
              <w:t>4-</w:t>
            </w:r>
            <w:r>
              <w:rPr>
                <w:rFonts w:hint="default" w:ascii="Times New Roman" w:hAnsi="Times New Roman" w:cs="Times New Roman"/>
                <w:b/>
                <w:bCs w:val="0"/>
                <w:color w:val="auto"/>
                <w:spacing w:val="-10"/>
                <w:sz w:val="21"/>
                <w:szCs w:val="21"/>
                <w:highlight w:val="none"/>
                <w:lang w:val="en-US" w:eastAsia="zh-CN"/>
              </w:rPr>
              <w:t>8</w:t>
            </w:r>
            <w:r>
              <w:rPr>
                <w:rFonts w:hint="default" w:ascii="Times New Roman" w:hAnsi="Times New Roman" w:eastAsia="宋体" w:cs="Times New Roman"/>
                <w:b/>
                <w:bCs w:val="0"/>
                <w:color w:val="auto"/>
                <w:spacing w:val="-10"/>
                <w:sz w:val="21"/>
                <w:szCs w:val="21"/>
                <w:highlight w:val="none"/>
                <w:lang w:val="en-US" w:eastAsia="zh-CN"/>
              </w:rPr>
              <w:t xml:space="preserve">   项目运营期环境监测计划表</w:t>
            </w:r>
          </w:p>
          <w:tbl>
            <w:tblPr>
              <w:tblStyle w:val="23"/>
              <w:tblW w:w="1587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125"/>
              <w:gridCol w:w="1200"/>
              <w:gridCol w:w="1225"/>
              <w:gridCol w:w="3717"/>
              <w:gridCol w:w="1589"/>
              <w:gridCol w:w="1589"/>
              <w:gridCol w:w="1589"/>
              <w:gridCol w:w="1589"/>
              <w:gridCol w:w="1590"/>
            </w:tblGrid>
            <w:tr w14:paraId="3D02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000000" w:sz="12" w:space="0"/>
                    <w:left w:val="nil"/>
                    <w:bottom w:val="single" w:color="000000" w:sz="12" w:space="0"/>
                    <w:right w:val="single" w:color="000000" w:sz="4" w:space="0"/>
                  </w:tcBorders>
                  <w:shd w:val="clear" w:color="auto" w:fill="FFFFFF"/>
                  <w:vAlign w:val="center"/>
                </w:tcPr>
                <w:p w14:paraId="737DA9B3">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类别</w:t>
                  </w:r>
                </w:p>
              </w:tc>
              <w:tc>
                <w:tcPr>
                  <w:tcW w:w="1125"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35A86D8B">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监测点</w:t>
                  </w:r>
                </w:p>
              </w:tc>
              <w:tc>
                <w:tcPr>
                  <w:tcW w:w="1200"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43CECD20">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监测项目</w:t>
                  </w:r>
                </w:p>
              </w:tc>
              <w:tc>
                <w:tcPr>
                  <w:tcW w:w="1225"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4FD74AC6">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监测频率</w:t>
                  </w:r>
                </w:p>
              </w:tc>
              <w:tc>
                <w:tcPr>
                  <w:tcW w:w="3717" w:type="dxa"/>
                  <w:tcBorders>
                    <w:top w:val="single" w:color="000000" w:sz="12" w:space="0"/>
                    <w:left w:val="single" w:color="000000" w:sz="4" w:space="0"/>
                    <w:bottom w:val="single" w:color="000000" w:sz="12" w:space="0"/>
                    <w:right w:val="nil"/>
                  </w:tcBorders>
                  <w:shd w:val="clear" w:color="auto" w:fill="FFFFFF"/>
                  <w:vAlign w:val="center"/>
                </w:tcPr>
                <w:p w14:paraId="7BB4B8CB">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执行标准</w:t>
                  </w:r>
                </w:p>
              </w:tc>
              <w:tc>
                <w:tcPr>
                  <w:tcW w:w="1589" w:type="dxa"/>
                  <w:tcBorders>
                    <w:left w:val="nil"/>
                  </w:tcBorders>
                </w:tcPr>
                <w:p w14:paraId="3CA6A9BC">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2BE97626">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1416E208">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5E710D89">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90" w:type="dxa"/>
                </w:tcPr>
                <w:p w14:paraId="3DA8D17F">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r>
            <w:tr w14:paraId="3CF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000000" w:sz="12" w:space="0"/>
                    <w:left w:val="nil"/>
                    <w:bottom w:val="single" w:color="000000" w:sz="12" w:space="0"/>
                    <w:right w:val="single" w:color="000000" w:sz="4" w:space="0"/>
                  </w:tcBorders>
                  <w:shd w:val="clear" w:color="auto" w:fill="FFFFFF"/>
                  <w:vAlign w:val="center"/>
                </w:tcPr>
                <w:p w14:paraId="0C79F2A7">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噪声</w:t>
                  </w:r>
                </w:p>
              </w:tc>
              <w:tc>
                <w:tcPr>
                  <w:tcW w:w="1125"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3E6FD7E1">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厂界四周</w:t>
                  </w:r>
                </w:p>
              </w:tc>
              <w:tc>
                <w:tcPr>
                  <w:tcW w:w="1200"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1420D9CB">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等效连续A声级</w:t>
                  </w:r>
                </w:p>
              </w:tc>
              <w:tc>
                <w:tcPr>
                  <w:tcW w:w="1225" w:type="dxa"/>
                  <w:tcBorders>
                    <w:top w:val="single" w:color="000000" w:sz="12" w:space="0"/>
                    <w:left w:val="single" w:color="000000" w:sz="4" w:space="0"/>
                    <w:bottom w:val="single" w:color="000000" w:sz="12" w:space="0"/>
                    <w:right w:val="single" w:color="000000" w:sz="4" w:space="0"/>
                  </w:tcBorders>
                  <w:shd w:val="clear" w:color="auto" w:fill="FFFFFF"/>
                  <w:vAlign w:val="center"/>
                </w:tcPr>
                <w:p w14:paraId="305EE4A2">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1次/季度</w:t>
                  </w:r>
                </w:p>
              </w:tc>
              <w:tc>
                <w:tcPr>
                  <w:tcW w:w="3717" w:type="dxa"/>
                  <w:tcBorders>
                    <w:top w:val="single" w:color="000000" w:sz="12" w:space="0"/>
                    <w:left w:val="single" w:color="000000" w:sz="4" w:space="0"/>
                    <w:bottom w:val="single" w:color="000000" w:sz="12" w:space="0"/>
                    <w:right w:val="nil"/>
                  </w:tcBorders>
                  <w:shd w:val="clear" w:color="auto" w:fill="FFFFFF"/>
                  <w:vAlign w:val="center"/>
                </w:tcPr>
                <w:p w14:paraId="008E440F">
                  <w:pPr>
                    <w:pStyle w:val="77"/>
                    <w:bidi w:val="0"/>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《工业企业厂界环境噪声排放标准》（GB12348-2008）3类标准</w:t>
                  </w:r>
                </w:p>
              </w:tc>
              <w:tc>
                <w:tcPr>
                  <w:tcW w:w="1589" w:type="dxa"/>
                  <w:tcBorders>
                    <w:left w:val="nil"/>
                  </w:tcBorders>
                </w:tcPr>
                <w:p w14:paraId="2CB54A30">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25F564F9">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1CF018C9">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89" w:type="dxa"/>
                </w:tcPr>
                <w:p w14:paraId="5BA688D8">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c>
                <w:tcPr>
                  <w:tcW w:w="1590" w:type="dxa"/>
                </w:tcPr>
                <w:p w14:paraId="2853C88F">
                  <w:pPr>
                    <w:pStyle w:val="4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pacing w:val="-10"/>
                      <w:sz w:val="24"/>
                      <w:szCs w:val="24"/>
                      <w:highlight w:val="none"/>
                      <w:vertAlign w:val="baseline"/>
                      <w:lang w:val="en-US" w:eastAsia="zh-CN"/>
                    </w:rPr>
                  </w:pPr>
                </w:p>
              </w:tc>
            </w:tr>
          </w:tbl>
          <w:p w14:paraId="7C9347B7">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 固体废物</w:t>
            </w:r>
          </w:p>
          <w:p w14:paraId="483D6A21">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rPr>
              <w:t>本项目固废主要为</w:t>
            </w:r>
            <w:r>
              <w:rPr>
                <w:rFonts w:hint="default" w:ascii="Times New Roman" w:hAnsi="Times New Roman" w:cs="Times New Roman"/>
                <w:color w:val="auto"/>
                <w:sz w:val="24"/>
                <w:szCs w:val="24"/>
                <w:lang w:val="en-US" w:eastAsia="zh-CN"/>
              </w:rPr>
              <w:t>生活垃圾、</w:t>
            </w:r>
            <w:r>
              <w:rPr>
                <w:rFonts w:hint="default" w:ascii="Times New Roman" w:hAnsi="Times New Roman" w:cs="Times New Roman"/>
                <w:color w:val="auto"/>
                <w:sz w:val="24"/>
                <w:szCs w:val="24"/>
                <w:highlight w:val="none"/>
                <w:lang w:val="en-US" w:eastAsia="zh-CN"/>
              </w:rPr>
              <w:t>泥饼、设备维护检修产生的</w:t>
            </w:r>
            <w:r>
              <w:rPr>
                <w:rFonts w:hint="eastAsia" w:ascii="Times New Roman" w:hAnsi="Times New Roman" w:cs="Times New Roman"/>
                <w:color w:val="auto"/>
                <w:sz w:val="24"/>
                <w:szCs w:val="24"/>
                <w:highlight w:val="none"/>
                <w:lang w:val="en-US" w:eastAsia="zh-CN"/>
              </w:rPr>
              <w:t>废机油、废润滑油</w:t>
            </w:r>
            <w:r>
              <w:rPr>
                <w:rFonts w:hint="default" w:ascii="Times New Roman" w:hAnsi="Times New Roman" w:cs="Times New Roman"/>
                <w:color w:val="auto"/>
                <w:sz w:val="24"/>
                <w:szCs w:val="24"/>
                <w:highlight w:val="none"/>
                <w:lang w:val="en-US" w:eastAsia="zh-CN"/>
              </w:rPr>
              <w:t>、磁选废渣、废PAC包装袋、废布袋，袋式除尘器收集到的除尘灰作为原料回用于生产。</w:t>
            </w:r>
          </w:p>
          <w:p w14:paraId="1C3F75AF">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4.1生活垃圾</w:t>
            </w:r>
          </w:p>
          <w:p w14:paraId="5B176943">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项目劳动定员15人，生活垃圾的产生量按0.5kg/人·d计算，年工作时间为240天，则生活垃圾产生量约为6kg/d（1.44t/a），集中收集于垃圾桶，委托环卫部门清运处置。根据《固体废物分类与代码目录》，生活垃圾废物种类为SW64其他垃圾，废物代码为900-099-S64。</w:t>
            </w:r>
          </w:p>
          <w:p w14:paraId="56ADC25D">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4.2污泥</w:t>
            </w:r>
          </w:p>
          <w:p w14:paraId="0CFE2B22">
            <w:pPr>
              <w:pStyle w:val="7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 w:val="0"/>
                <w:bCs/>
                <w:color w:val="auto"/>
                <w:sz w:val="24"/>
                <w:highlight w:val="none"/>
                <w:lang w:val="en-US" w:eastAsia="zh-CN"/>
              </w:rPr>
            </w:pPr>
            <w:r>
              <w:rPr>
                <w:rFonts w:hint="default" w:ascii="Times New Roman" w:hAnsi="Times New Roman" w:cs="Times New Roman"/>
                <w:b w:val="0"/>
                <w:bCs/>
                <w:color w:val="auto"/>
                <w:sz w:val="24"/>
                <w:highlight w:val="none"/>
                <w:lang w:val="en-US" w:eastAsia="zh-CN"/>
              </w:rPr>
              <w:t>本项目污泥进入</w:t>
            </w:r>
            <w:r>
              <w:rPr>
                <w:rFonts w:hint="default" w:ascii="Times New Roman" w:hAnsi="Times New Roman" w:eastAsia="宋体" w:cs="Times New Roman"/>
                <w:b w:val="0"/>
                <w:bCs w:val="0"/>
                <w:color w:val="auto"/>
                <w:lang w:val="en-US" w:eastAsia="zh-CN"/>
              </w:rPr>
              <w:t>浓密</w:t>
            </w:r>
            <w:r>
              <w:rPr>
                <w:rFonts w:hint="default" w:ascii="Times New Roman" w:hAnsi="Times New Roman" w:cs="Times New Roman"/>
                <w:b w:val="0"/>
                <w:bCs w:val="0"/>
                <w:color w:val="auto"/>
                <w:lang w:val="en-US" w:eastAsia="zh-CN"/>
              </w:rPr>
              <w:t>池</w:t>
            </w:r>
            <w:r>
              <w:rPr>
                <w:rFonts w:hint="default" w:ascii="Times New Roman" w:hAnsi="Times New Roman" w:eastAsia="宋体" w:cs="Times New Roman"/>
                <w:b w:val="0"/>
                <w:bCs w:val="0"/>
                <w:color w:val="auto"/>
                <w:lang w:val="en-US" w:eastAsia="zh-CN"/>
              </w:rPr>
              <w:t>浓缩</w:t>
            </w:r>
            <w:r>
              <w:rPr>
                <w:rFonts w:hint="default" w:ascii="Times New Roman" w:hAnsi="Times New Roman" w:cs="Times New Roman"/>
                <w:b w:val="0"/>
                <w:bCs w:val="0"/>
                <w:color w:val="auto"/>
                <w:lang w:val="en-US" w:eastAsia="zh-CN"/>
              </w:rPr>
              <w:t>后经过</w:t>
            </w:r>
            <w:r>
              <w:rPr>
                <w:rFonts w:hint="default" w:ascii="Times New Roman" w:hAnsi="Times New Roman" w:eastAsia="宋体" w:cs="Times New Roman"/>
                <w:b w:val="0"/>
                <w:bCs w:val="0"/>
                <w:color w:val="auto"/>
                <w:lang w:val="en-US" w:eastAsia="zh-CN"/>
              </w:rPr>
              <w:t>压滤机压滤</w:t>
            </w:r>
            <w:r>
              <w:rPr>
                <w:rFonts w:hint="default" w:ascii="Times New Roman" w:hAnsi="Times New Roman" w:cs="Times New Roman"/>
                <w:b w:val="0"/>
                <w:bCs w:val="0"/>
                <w:color w:val="auto"/>
                <w:lang w:val="en-US" w:eastAsia="zh-CN"/>
              </w:rPr>
              <w:t>，</w:t>
            </w:r>
            <w:r>
              <w:rPr>
                <w:rFonts w:hint="default" w:ascii="Times New Roman" w:hAnsi="Times New Roman" w:cs="Times New Roman"/>
                <w:b w:val="0"/>
                <w:bCs/>
                <w:color w:val="auto"/>
                <w:sz w:val="24"/>
                <w:highlight w:val="none"/>
                <w:lang w:val="en-US" w:eastAsia="zh-CN"/>
              </w:rPr>
              <w:t>压滤机压滤出来的泥饼产生量约为150000t/a，成分主要是砂石表面附着的石粉及泥土（粒径≤0.075mm），泥饼暂存于一般固废暂存间，</w:t>
            </w:r>
            <w:r>
              <w:rPr>
                <w:rFonts w:hint="default" w:ascii="Times New Roman" w:hAnsi="Times New Roman" w:eastAsia="宋体" w:cs="Times New Roman"/>
                <w:b w:val="0"/>
                <w:color w:val="000000"/>
                <w:highlight w:val="none"/>
              </w:rPr>
              <w:t>外售给</w:t>
            </w:r>
            <w:r>
              <w:rPr>
                <w:rFonts w:hint="default" w:ascii="Times New Roman" w:hAnsi="Times New Roman" w:cs="Times New Roman"/>
                <w:b w:val="0"/>
                <w:color w:val="000000"/>
                <w:highlight w:val="none"/>
                <w:lang w:val="en-US" w:eastAsia="zh-CN"/>
              </w:rPr>
              <w:t>水泥厂</w:t>
            </w:r>
            <w:r>
              <w:rPr>
                <w:rFonts w:hint="default" w:ascii="Times New Roman" w:hAnsi="Times New Roman" w:eastAsia="宋体" w:cs="Times New Roman"/>
                <w:b w:val="0"/>
                <w:color w:val="000000"/>
                <w:highlight w:val="none"/>
              </w:rPr>
              <w:t>或</w:t>
            </w:r>
            <w:r>
              <w:rPr>
                <w:rFonts w:hint="default" w:ascii="Times New Roman" w:hAnsi="Times New Roman" w:cs="Times New Roman"/>
                <w:b w:val="0"/>
                <w:color w:val="000000"/>
                <w:highlight w:val="none"/>
                <w:lang w:val="en-US" w:eastAsia="zh-CN"/>
              </w:rPr>
              <w:t>砖</w:t>
            </w:r>
            <w:r>
              <w:rPr>
                <w:rFonts w:hint="default" w:ascii="Times New Roman" w:hAnsi="Times New Roman" w:eastAsia="宋体" w:cs="Times New Roman"/>
                <w:b w:val="0"/>
                <w:color w:val="000000"/>
                <w:highlight w:val="none"/>
              </w:rPr>
              <w:t>厂</w:t>
            </w:r>
            <w:r>
              <w:rPr>
                <w:rFonts w:hint="default" w:ascii="Times New Roman" w:hAnsi="Times New Roman" w:cs="Times New Roman"/>
                <w:b w:val="0"/>
                <w:bCs/>
                <w:color w:val="auto"/>
                <w:sz w:val="24"/>
                <w:highlight w:val="none"/>
                <w:lang w:val="en-US" w:eastAsia="zh-CN"/>
              </w:rPr>
              <w:t>。</w:t>
            </w:r>
            <w:r>
              <w:rPr>
                <w:rFonts w:hint="default" w:ascii="Times New Roman" w:hAnsi="Times New Roman" w:eastAsia="宋体" w:cs="Times New Roman"/>
                <w:color w:val="auto"/>
                <w:sz w:val="24"/>
                <w:szCs w:val="24"/>
                <w:lang w:val="en-US" w:eastAsia="zh-CN"/>
              </w:rPr>
              <w:t>根据《固体废物分类与代码目录》，</w:t>
            </w:r>
            <w:r>
              <w:rPr>
                <w:rFonts w:hint="default" w:ascii="Times New Roman" w:hAnsi="Times New Roman" w:cs="Times New Roman"/>
                <w:color w:val="auto"/>
                <w:sz w:val="24"/>
                <w:szCs w:val="24"/>
                <w:lang w:val="en-US" w:eastAsia="zh-CN"/>
              </w:rPr>
              <w:t>泥饼</w:t>
            </w:r>
            <w:r>
              <w:rPr>
                <w:rFonts w:hint="default" w:ascii="Times New Roman" w:hAnsi="Times New Roman" w:eastAsia="宋体" w:cs="Times New Roman"/>
                <w:color w:val="auto"/>
                <w:sz w:val="24"/>
                <w:szCs w:val="24"/>
                <w:lang w:val="en-US" w:eastAsia="zh-CN"/>
              </w:rPr>
              <w:t>废物种类为SW07污泥，废物代码为900-099-S07。</w:t>
            </w:r>
          </w:p>
          <w:p w14:paraId="16528613">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4.3</w:t>
            </w:r>
            <w:r>
              <w:rPr>
                <w:rFonts w:hint="eastAsia" w:ascii="Times New Roman" w:hAnsi="Times New Roman" w:cs="Times New Roman"/>
                <w:b/>
                <w:color w:val="auto"/>
                <w:spacing w:val="-10"/>
                <w:sz w:val="24"/>
                <w:szCs w:val="24"/>
                <w:highlight w:val="none"/>
                <w:lang w:val="en-US" w:eastAsia="zh-CN"/>
              </w:rPr>
              <w:t>废机油、废润滑油</w:t>
            </w:r>
          </w:p>
          <w:p w14:paraId="3FDDA43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本项目设备维护过程中会产生少量的废机油、废润滑油，根据建设单位提供资料，废机油、废润滑油产生量为0.4t/a，</w:t>
            </w:r>
            <w:r>
              <w:rPr>
                <w:rFonts w:hint="eastAsia" w:ascii="Times New Roman" w:hAnsi="Times New Roman" w:cs="Times New Roman"/>
                <w:color w:val="auto"/>
                <w:sz w:val="24"/>
                <w:szCs w:val="24"/>
                <w:highlight w:val="none"/>
                <w:lang w:val="en-US" w:eastAsia="zh-CN"/>
              </w:rPr>
              <w:t>废机油、废润滑油</w:t>
            </w:r>
            <w:r>
              <w:rPr>
                <w:rFonts w:hint="default" w:ascii="Times New Roman" w:hAnsi="Times New Roman" w:cs="Times New Roman"/>
                <w:color w:val="auto"/>
                <w:sz w:val="24"/>
                <w:szCs w:val="24"/>
                <w:highlight w:val="none"/>
                <w:lang w:val="en-US" w:eastAsia="zh-CN"/>
              </w:rPr>
              <w:t>转运周期为每年1次，根据《国家危险废物名录（2025年版）》，</w:t>
            </w:r>
            <w:r>
              <w:rPr>
                <w:rFonts w:hint="eastAsia" w:ascii="Times New Roman" w:hAnsi="Times New Roman" w:cs="Times New Roman"/>
                <w:color w:val="auto"/>
                <w:sz w:val="24"/>
                <w:szCs w:val="24"/>
                <w:highlight w:val="none"/>
                <w:lang w:val="en-US" w:eastAsia="zh-CN"/>
              </w:rPr>
              <w:t>废机油、废润滑油</w:t>
            </w:r>
            <w:r>
              <w:rPr>
                <w:rFonts w:hint="default" w:ascii="Times New Roman" w:hAnsi="Times New Roman" w:cs="Times New Roman"/>
                <w:color w:val="auto"/>
                <w:sz w:val="24"/>
                <w:szCs w:val="24"/>
                <w:highlight w:val="none"/>
                <w:lang w:val="en-US" w:eastAsia="zh-CN"/>
              </w:rPr>
              <w:t>属于危险废物，类别为HW08废矿物油与含矿物油废物，废物代码为900-217-08，经收集后暂存于危废贮存点，定期委托有资质单位清运处置。</w:t>
            </w:r>
          </w:p>
          <w:p w14:paraId="34ED8324">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4.4磁选废渣</w:t>
            </w:r>
          </w:p>
          <w:p w14:paraId="2CAD97EA">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磁选废渣主要来自磁选工序选出的石英砂中铁渣，磁选废渣尚未发布相关的产物系数或计算公式，本次评价根据建设单位提供的行业经验数据，10万t原材料约产生0.2t磁选废物，则磁选废渣产生量约为2t/a，收集暂存于一般固废暂存间，作为建筑材料外售。</w:t>
            </w:r>
          </w:p>
          <w:p w14:paraId="67B3B8AE">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4.5废PAC包装袋</w:t>
            </w:r>
          </w:p>
          <w:p w14:paraId="79B01B2C">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项目所使用PAC等均采用编织袋包装，包装规格均为25kg/袋，包装袋重量按0.05kg/袋计，则PAC包装袋包装的产生量约为0.5t/a，属于一般固体废物，收集于一般固废暂存间后</w:t>
            </w:r>
            <w:r>
              <w:rPr>
                <w:rFonts w:hint="default" w:ascii="Times New Roman" w:hAnsi="Times New Roman" w:cs="Times New Roman"/>
                <w:color w:val="000000"/>
                <w:sz w:val="24"/>
                <w:szCs w:val="24"/>
                <w:lang w:val="en-US" w:eastAsia="zh-CN"/>
              </w:rPr>
              <w:t>，外售废品回收单位</w:t>
            </w:r>
            <w:r>
              <w:rPr>
                <w:rFonts w:hint="default" w:ascii="Times New Roman" w:hAnsi="Times New Roman" w:eastAsia="宋体" w:cs="Times New Roman"/>
                <w:color w:val="000000"/>
                <w:sz w:val="24"/>
                <w:szCs w:val="24"/>
                <w:lang w:val="en-US" w:eastAsia="zh-CN"/>
              </w:rPr>
              <w:t>。</w:t>
            </w:r>
          </w:p>
          <w:p w14:paraId="14859971">
            <w:pPr>
              <w:pStyle w:val="48"/>
              <w:spacing w:line="360" w:lineRule="auto"/>
              <w:rPr>
                <w:rFonts w:hint="default" w:ascii="Times New Roman" w:hAnsi="Times New Roman" w:eastAsia="宋体" w:cs="Times New Roman"/>
                <w:b/>
                <w:color w:val="auto"/>
                <w:spacing w:val="-10"/>
                <w:sz w:val="24"/>
                <w:szCs w:val="24"/>
                <w:highlight w:val="none"/>
                <w:lang w:val="en-US" w:eastAsia="zh-CN"/>
              </w:rPr>
            </w:pPr>
            <w:r>
              <w:rPr>
                <w:rFonts w:hint="default" w:ascii="Times New Roman" w:hAnsi="Times New Roman" w:eastAsia="宋体" w:cs="Times New Roman"/>
                <w:b/>
                <w:color w:val="auto"/>
                <w:spacing w:val="-10"/>
                <w:sz w:val="24"/>
                <w:szCs w:val="24"/>
                <w:highlight w:val="none"/>
                <w:lang w:val="en-US" w:eastAsia="zh-CN"/>
              </w:rPr>
              <w:t>4.6废布袋</w:t>
            </w:r>
          </w:p>
          <w:p w14:paraId="1B87A055">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本项目废布袋的产生量为1.0t/a，属于一般固体废物，统一收集暂存于一般固废暂存间，由</w:t>
            </w:r>
            <w:r>
              <w:rPr>
                <w:rFonts w:hint="default" w:ascii="Times New Roman" w:hAnsi="Times New Roman" w:cs="Times New Roman"/>
                <w:color w:val="000000"/>
                <w:sz w:val="24"/>
                <w:szCs w:val="24"/>
                <w:lang w:val="en-US" w:eastAsia="zh-CN"/>
              </w:rPr>
              <w:t>袋式除尘器</w:t>
            </w:r>
            <w:r>
              <w:rPr>
                <w:rFonts w:hint="default" w:ascii="Times New Roman" w:hAnsi="Times New Roman" w:eastAsia="宋体" w:cs="Times New Roman"/>
                <w:color w:val="000000"/>
                <w:sz w:val="24"/>
                <w:szCs w:val="24"/>
                <w:lang w:val="en-US" w:eastAsia="zh-CN"/>
              </w:rPr>
              <w:t>生产厂家回收利用。</w:t>
            </w:r>
          </w:p>
          <w:p w14:paraId="59253F43">
            <w:pPr>
              <w:pStyle w:val="71"/>
              <w:bidi w:val="0"/>
              <w:ind w:left="0" w:leftChars="0" w:firstLine="0" w:firstLineChars="0"/>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4.7 一般工业固废处置措施</w:t>
            </w:r>
          </w:p>
          <w:p w14:paraId="60C64B96">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（1）一般工业固废暂存要求</w:t>
            </w:r>
          </w:p>
          <w:p w14:paraId="6FA5B310">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次评价要求项目设置的一般固体废物暂存间需满足《一般工业固体废物贮存和填埋污染控制标准》（GB18599-2020）中相关要求，一般固体废物不得随处堆放，禁止危险废物及生活垃圾混入，固废临时贮存场满足如下要求：</w:t>
            </w:r>
          </w:p>
          <w:p w14:paraId="0CBDD621">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①地面应采取硬化措施并满足承载力要求。</w:t>
            </w:r>
          </w:p>
          <w:p w14:paraId="7AC0A8F1">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②要求设置必要的防风、防雨、防晒措施。</w:t>
            </w:r>
          </w:p>
          <w:p w14:paraId="3A80717C">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③按《环境保护图形标识—固体废物贮存（处置）场》（GB15562.2）要求设置环境保护图形标志。</w:t>
            </w:r>
          </w:p>
          <w:p w14:paraId="54DD6611">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（2）一般固废管理要求</w:t>
            </w:r>
          </w:p>
          <w:p w14:paraId="6EE3FAC0">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一般工业固体废物管理台账制定指南（试行）》台账管理要求，要求一般工业固体废物管理台账实施分级管理，主要用于记录固体废物的基础信息及流向信息，所有产废单位均应当填写，根据实际生产运营情况记录固体废物产生信息，生产工艺发生重大变动等原因导致固体废物产生种类等发生变化的，应当及时另行填写台账，记录固体废物的产生、贮存、利用、处置数量和利用、处置方式等信息，每一批次固体废物的出厂以及转移信息均应当如实记录。</w:t>
            </w:r>
          </w:p>
          <w:p w14:paraId="05F7991D">
            <w:pPr>
              <w:pStyle w:val="71"/>
              <w:bidi w:val="0"/>
              <w:ind w:left="0" w:leftChars="0" w:firstLine="0" w:firstLineChars="0"/>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4.8 危险废物处置措施</w:t>
            </w:r>
          </w:p>
          <w:p w14:paraId="32407A1A">
            <w:pPr>
              <w:keepNext w:val="0"/>
              <w:keepLines w:val="0"/>
              <w:pageBreakBefore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危险废物</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废机油</w:t>
            </w:r>
            <w:r>
              <w:rPr>
                <w:rFonts w:hint="eastAsia" w:ascii="Times New Roman" w:hAnsi="Times New Roman" w:cs="Times New Roman"/>
                <w:color w:val="auto"/>
                <w:sz w:val="24"/>
                <w:szCs w:val="24"/>
                <w:lang w:val="en-US" w:eastAsia="zh-CN"/>
              </w:rPr>
              <w:t>、废润滑油</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highlight w:val="none"/>
                <w:lang w:val="en-US" w:eastAsia="zh-CN"/>
              </w:rPr>
              <w:t>暂存于</w:t>
            </w:r>
            <w:r>
              <w:rPr>
                <w:rFonts w:hint="default" w:ascii="Times New Roman" w:hAnsi="Times New Roman" w:cs="Times New Roman"/>
                <w:color w:val="auto"/>
                <w:sz w:val="24"/>
                <w:szCs w:val="24"/>
                <w:lang w:val="en-US" w:eastAsia="zh-CN"/>
              </w:rPr>
              <w:t>危废贮存点</w:t>
            </w:r>
            <w:r>
              <w:rPr>
                <w:rFonts w:hint="default" w:ascii="Times New Roman" w:hAnsi="Times New Roman" w:cs="Times New Roman"/>
                <w:color w:val="auto"/>
                <w:sz w:val="24"/>
                <w:szCs w:val="24"/>
                <w:highlight w:val="none"/>
                <w:lang w:val="en-US" w:eastAsia="zh-CN"/>
              </w:rPr>
              <w:t>内，委托有资质的单位清运处置。</w:t>
            </w:r>
            <w:r>
              <w:rPr>
                <w:rFonts w:hint="default" w:ascii="Times New Roman" w:hAnsi="Times New Roman" w:cs="Times New Roman"/>
                <w:color w:val="auto"/>
                <w:sz w:val="24"/>
                <w:szCs w:val="24"/>
                <w:lang w:val="en-US" w:eastAsia="zh-CN"/>
              </w:rPr>
              <w:t>危废贮存点占地面积10m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，危废贮存点设置在项目区</w:t>
            </w:r>
            <w:r>
              <w:rPr>
                <w:rFonts w:hint="eastAsia" w:ascii="Times New Roman" w:hAnsi="Times New Roman" w:cs="Times New Roman"/>
                <w:color w:val="auto"/>
                <w:sz w:val="24"/>
                <w:szCs w:val="24"/>
                <w:lang w:val="en-US" w:eastAsia="zh-CN"/>
              </w:rPr>
              <w:t>北</w:t>
            </w:r>
            <w:r>
              <w:rPr>
                <w:rFonts w:hint="default" w:ascii="Times New Roman" w:hAnsi="Times New Roman" w:cs="Times New Roman"/>
                <w:color w:val="auto"/>
                <w:sz w:val="24"/>
                <w:szCs w:val="24"/>
                <w:lang w:val="en-US" w:eastAsia="zh-CN"/>
              </w:rPr>
              <w:t>侧。</w:t>
            </w:r>
            <w:r>
              <w:rPr>
                <w:rFonts w:hint="default" w:ascii="Times New Roman" w:hAnsi="Times New Roman" w:cs="Times New Roman"/>
                <w:color w:val="auto"/>
                <w:sz w:val="24"/>
                <w:szCs w:val="24"/>
                <w:lang w:val="zh-CN"/>
              </w:rPr>
              <w:t>针对本</w:t>
            </w:r>
            <w:r>
              <w:rPr>
                <w:rFonts w:hint="default" w:ascii="Times New Roman" w:hAnsi="Times New Roman" w:cs="Times New Roman"/>
                <w:color w:val="auto"/>
                <w:sz w:val="24"/>
                <w:szCs w:val="24"/>
                <w:lang w:val="en-US" w:eastAsia="zh-CN"/>
              </w:rPr>
              <w:t>项目</w:t>
            </w:r>
            <w:r>
              <w:rPr>
                <w:rFonts w:hint="default" w:ascii="Times New Roman" w:hAnsi="Times New Roman" w:cs="Times New Roman"/>
                <w:color w:val="auto"/>
                <w:sz w:val="24"/>
                <w:szCs w:val="24"/>
                <w:lang w:val="zh-CN"/>
              </w:rPr>
              <w:t>产生的危险</w:t>
            </w:r>
            <w:r>
              <w:rPr>
                <w:rFonts w:hint="default" w:ascii="Times New Roman" w:hAnsi="Times New Roman" w:cs="Times New Roman"/>
                <w:color w:val="auto"/>
                <w:sz w:val="24"/>
                <w:szCs w:val="24"/>
              </w:rPr>
              <w:t>废物</w:t>
            </w:r>
            <w:r>
              <w:rPr>
                <w:rFonts w:hint="default" w:ascii="Times New Roman" w:hAnsi="Times New Roman" w:cs="Times New Roman"/>
                <w:color w:val="auto"/>
                <w:sz w:val="24"/>
                <w:szCs w:val="24"/>
                <w:lang w:val="zh-CN"/>
              </w:rPr>
              <w:t>，环评提出如下建议</w:t>
            </w:r>
            <w:r>
              <w:rPr>
                <w:rFonts w:hint="default" w:ascii="Times New Roman" w:hAnsi="Times New Roman" w:cs="Times New Roman"/>
                <w:color w:val="auto"/>
                <w:sz w:val="24"/>
                <w:szCs w:val="24"/>
                <w:lang w:val="en-US" w:eastAsia="zh-CN"/>
              </w:rPr>
              <w:t>及要求</w:t>
            </w:r>
            <w:r>
              <w:rPr>
                <w:rFonts w:hint="default" w:ascii="Times New Roman" w:hAnsi="Times New Roman" w:cs="Times New Roman"/>
                <w:color w:val="auto"/>
                <w:sz w:val="24"/>
                <w:szCs w:val="24"/>
                <w:lang w:val="zh-CN"/>
              </w:rPr>
              <w:t>：</w:t>
            </w:r>
          </w:p>
          <w:p w14:paraId="3954CC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（1）危废贮存点环境管理要求</w:t>
            </w:r>
          </w:p>
          <w:p w14:paraId="73BB73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sz w:val="24"/>
                <w:szCs w:val="24"/>
                <w:lang w:val="en-US" w:eastAsia="zh-CN"/>
              </w:rPr>
              <w:t>应具有固定的区域边界，并应采取与其他区域进行隔离的措施。</w:t>
            </w:r>
          </w:p>
          <w:p w14:paraId="304A54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sz w:val="24"/>
                <w:szCs w:val="24"/>
                <w:lang w:val="en-US" w:eastAsia="zh-CN"/>
              </w:rPr>
              <w:t>应采取防风、防雨、防晒和防止危险废物流失、扬散等措施。</w:t>
            </w:r>
          </w:p>
          <w:p w14:paraId="588E81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3）贮存的危险废物应置于容器或包装物中，不应直接散堆。</w:t>
            </w:r>
          </w:p>
          <w:p w14:paraId="338DC1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4）应根据危险废物的形态、物理化学性质、包装形式等，采取防渗、防漏等污染防治措施或采用具有相应功能的装置。</w:t>
            </w:r>
          </w:p>
          <w:p w14:paraId="5D542D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cs="Times New Roman"/>
                <w:color w:val="auto"/>
                <w:sz w:val="24"/>
              </w:rPr>
            </w:pPr>
            <w:r>
              <w:rPr>
                <w:rFonts w:hint="default" w:ascii="Times New Roman" w:hAnsi="Times New Roman" w:eastAsia="宋体" w:cs="Times New Roman"/>
                <w:b w:val="0"/>
                <w:bCs w:val="0"/>
                <w:color w:val="auto"/>
                <w:sz w:val="24"/>
                <w:szCs w:val="24"/>
                <w:lang w:val="en-US" w:eastAsia="zh-CN"/>
              </w:rPr>
              <w:t>5）应及时清运贮存的危险废物，实时贮存量不应超过3吨。</w:t>
            </w:r>
          </w:p>
          <w:p w14:paraId="508E6C9E">
            <w:pPr>
              <w:keepNext w:val="0"/>
              <w:keepLines w:val="0"/>
              <w:pageBreakBefore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zh-CN"/>
              </w:rPr>
              <w:t>（</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val="zh-CN"/>
              </w:rPr>
              <w:t>）贮存危险废物的容器</w:t>
            </w:r>
            <w:r>
              <w:rPr>
                <w:rFonts w:hint="default" w:ascii="Times New Roman" w:hAnsi="Times New Roman" w:cs="Times New Roman"/>
                <w:color w:val="auto"/>
                <w:sz w:val="24"/>
                <w:szCs w:val="24"/>
                <w:lang w:val="en-US" w:eastAsia="zh-CN"/>
              </w:rPr>
              <w:t>要求</w:t>
            </w:r>
          </w:p>
          <w:p w14:paraId="76C3F32D">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zh-CN"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cs="Times New Roman"/>
                <w:color w:val="auto"/>
                <w:kern w:val="0"/>
                <w:sz w:val="24"/>
                <w:szCs w:val="24"/>
                <w:lang w:bidi="ar"/>
              </w:rPr>
              <w:t>容器和包装物材质、内衬应与盛装的危险废物相容</w:t>
            </w:r>
            <w:r>
              <w:rPr>
                <w:rFonts w:hint="default" w:ascii="Times New Roman" w:hAnsi="Times New Roman" w:cs="Times New Roman"/>
                <w:color w:val="auto"/>
                <w:kern w:val="0"/>
                <w:sz w:val="24"/>
                <w:szCs w:val="24"/>
                <w:lang w:eastAsia="zh-CN" w:bidi="ar"/>
              </w:rPr>
              <w:t>；</w:t>
            </w:r>
          </w:p>
          <w:p w14:paraId="4B42C968">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zh-CN" w:eastAsia="zh-CN"/>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kern w:val="0"/>
                <w:sz w:val="24"/>
                <w:szCs w:val="24"/>
                <w:lang w:bidi="ar"/>
              </w:rPr>
              <w:t>其容器和包装物应满足相应的防渗、防漏、防腐和强度等要求</w:t>
            </w:r>
            <w:r>
              <w:rPr>
                <w:rFonts w:hint="default" w:ascii="Times New Roman" w:hAnsi="Times New Roman" w:cs="Times New Roman"/>
                <w:color w:val="auto"/>
                <w:kern w:val="0"/>
                <w:sz w:val="24"/>
                <w:szCs w:val="24"/>
                <w:lang w:eastAsia="zh-CN" w:bidi="ar"/>
              </w:rPr>
              <w:t>；</w:t>
            </w:r>
          </w:p>
          <w:p w14:paraId="1D53DAAB">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kern w:val="0"/>
                <w:sz w:val="24"/>
                <w:szCs w:val="24"/>
                <w:lang w:bidi="ar"/>
              </w:rPr>
              <w:t>硬质容器和包装物及其支护结构堆叠码放时不应有明显变形，无破损泄漏</w:t>
            </w:r>
            <w:r>
              <w:rPr>
                <w:rFonts w:hint="default" w:ascii="Times New Roman" w:hAnsi="Times New Roman" w:cs="Times New Roman"/>
                <w:color w:val="auto"/>
                <w:kern w:val="0"/>
                <w:sz w:val="24"/>
                <w:szCs w:val="24"/>
                <w:lang w:eastAsia="zh-CN" w:bidi="ar"/>
              </w:rPr>
              <w:t>；</w:t>
            </w:r>
          </w:p>
          <w:p w14:paraId="4ED0CB22">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kern w:val="0"/>
                <w:sz w:val="24"/>
                <w:szCs w:val="24"/>
                <w:lang w:bidi="ar"/>
              </w:rPr>
              <w:t>柔性容器和包装物堆叠码放时应封口严密，无破损泄漏</w:t>
            </w:r>
            <w:r>
              <w:rPr>
                <w:rFonts w:hint="default" w:ascii="Times New Roman" w:hAnsi="Times New Roman" w:cs="Times New Roman"/>
                <w:color w:val="auto"/>
                <w:kern w:val="0"/>
                <w:sz w:val="24"/>
                <w:szCs w:val="24"/>
                <w:lang w:eastAsia="zh-CN" w:bidi="ar"/>
              </w:rPr>
              <w:t>；</w:t>
            </w:r>
          </w:p>
          <w:p w14:paraId="7A5C2C2D">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kern w:val="0"/>
                <w:sz w:val="24"/>
                <w:szCs w:val="24"/>
                <w:lang w:bidi="ar"/>
              </w:rPr>
              <w:t>使用容器盛装液态、半固态危险废物时，容器内部应留有适当的空间，以适应因温度变化等可能引发的收缩和膨胀，防止其导致容器渗漏或永久变形</w:t>
            </w:r>
            <w:r>
              <w:rPr>
                <w:rFonts w:hint="default" w:ascii="Times New Roman" w:hAnsi="Times New Roman" w:cs="Times New Roman"/>
                <w:color w:val="auto"/>
                <w:kern w:val="0"/>
                <w:sz w:val="24"/>
                <w:szCs w:val="24"/>
                <w:lang w:eastAsia="zh-CN" w:bidi="ar"/>
              </w:rPr>
              <w:t>；</w:t>
            </w:r>
          </w:p>
          <w:p w14:paraId="6B0CDC08">
            <w:pPr>
              <w:keepNext w:val="0"/>
              <w:keepLines w:val="0"/>
              <w:pageBreakBefore w:val="0"/>
              <w:widowControl/>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kern w:val="0"/>
                <w:sz w:val="24"/>
                <w:szCs w:val="24"/>
                <w:lang w:bidi="ar"/>
              </w:rPr>
              <w:t>容器和包装物外表面应保持清洁。</w:t>
            </w:r>
          </w:p>
          <w:p w14:paraId="11035E92">
            <w:pPr>
              <w:keepNext w:val="0"/>
              <w:keepLines w:val="0"/>
              <w:pageBreakBefore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zh-CN" w:eastAsia="zh-CN"/>
              </w:rPr>
              <w:t>（</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val="zh-CN" w:eastAsia="zh-CN"/>
              </w:rPr>
              <w:t>）</w:t>
            </w:r>
            <w:r>
              <w:rPr>
                <w:rFonts w:hint="default" w:ascii="Times New Roman" w:hAnsi="Times New Roman" w:cs="Times New Roman"/>
                <w:color w:val="auto"/>
                <w:sz w:val="24"/>
                <w:szCs w:val="24"/>
                <w:lang w:val="zh-CN"/>
              </w:rPr>
              <w:t>危险废物运输措施</w:t>
            </w:r>
          </w:p>
          <w:p w14:paraId="75B9DB72">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rPr>
              <w:t>运输时应当采取密闭、遮盖等措施防止扬散；</w:t>
            </w:r>
          </w:p>
          <w:p w14:paraId="0D1024E0">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对运输危险废物的设施和设备应当加强管理和维护，保证其正常运行和使用；</w:t>
            </w:r>
          </w:p>
          <w:p w14:paraId="19548312">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不能混合运输性质不相容而又未经安全性处置的危险废物；</w:t>
            </w:r>
          </w:p>
          <w:p w14:paraId="39419369">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禁止将危险废物与旅客在同一运输工具上载运；</w:t>
            </w:r>
          </w:p>
          <w:p w14:paraId="0914B4C4">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运输危险废物的设施和设备在转作他用时，必须经过消除污染的处理，方可使用；</w:t>
            </w:r>
          </w:p>
          <w:p w14:paraId="4A6B9682">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运输危险废物的人员，应当接受专业培训；经考核合格后，方可从事运输危险废物的工作；</w:t>
            </w:r>
          </w:p>
          <w:p w14:paraId="6BBBDF8B">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运输危险废物的单位应当制定在发生意外事故时采取的应急措施和防范措施；</w:t>
            </w:r>
          </w:p>
          <w:p w14:paraId="15C857FB">
            <w:pPr>
              <w:pStyle w:val="81"/>
              <w:keepNext w:val="0"/>
              <w:keepLines w:val="0"/>
              <w:pageBreakBefore w:val="0"/>
              <w:kinsoku/>
              <w:wordWrap/>
              <w:overflowPunct/>
              <w:topLinePunct w:val="0"/>
              <w:autoSpaceDE/>
              <w:autoSpaceDN/>
              <w:bidi w:val="0"/>
              <w:adjustRightInd/>
              <w:snapToGrid/>
              <w:spacing w:before="0"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运输时，发生突发性事故必须立即采取措施消除或者减轻对环境的污染危害，及时通报给附近的单位和居民，并向事故发生地县级以上人民政府环境保护行政主管部门和有关部门报告，接受调查处理。</w:t>
            </w:r>
          </w:p>
          <w:p w14:paraId="557FDFB2">
            <w:pPr>
              <w:keepNext w:val="0"/>
              <w:keepLines w:val="0"/>
              <w:pageBreakBefore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综上，本项目</w:t>
            </w:r>
            <w:r>
              <w:rPr>
                <w:rFonts w:hint="default" w:ascii="Times New Roman" w:hAnsi="Times New Roman" w:cs="Times New Roman"/>
                <w:color w:val="auto"/>
                <w:sz w:val="24"/>
                <w:szCs w:val="24"/>
                <w:lang w:val="en-US" w:eastAsia="zh-CN"/>
              </w:rPr>
              <w:t>危险</w:t>
            </w:r>
            <w:r>
              <w:rPr>
                <w:rFonts w:hint="default" w:ascii="Times New Roman" w:hAnsi="Times New Roman" w:cs="Times New Roman"/>
                <w:color w:val="auto"/>
                <w:sz w:val="24"/>
                <w:szCs w:val="24"/>
              </w:rPr>
              <w:t>废物去向明确，均能得到妥善处置，对周围环境影响不大。</w:t>
            </w:r>
          </w:p>
          <w:p w14:paraId="617A8076">
            <w:pPr>
              <w:pStyle w:val="71"/>
              <w:bidi w:val="0"/>
              <w:ind w:left="0" w:leftChars="0" w:firstLine="0" w:firstLineChars="0"/>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5.土壤及地下水环境影响分析及防治措施</w:t>
            </w:r>
          </w:p>
          <w:p w14:paraId="0D64818D">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为防止污染周边地下水及土壤。建设单位在建设期间严格按照相关要求对项目生产区域进行土壤硬化和防渗措施。</w:t>
            </w:r>
          </w:p>
          <w:p w14:paraId="7384DCA9">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为尽可能的避免项目建设对地下水、土壤环境的影响，本次评价从严要求，对项目提出地下水和土壤污染防治措施：</w:t>
            </w:r>
          </w:p>
          <w:p w14:paraId="56B77D7E">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①对危废</w:t>
            </w:r>
            <w:r>
              <w:rPr>
                <w:rFonts w:hint="default" w:ascii="Times New Roman" w:hAnsi="Times New Roman" w:cs="Times New Roman"/>
                <w:color w:val="000000"/>
                <w:sz w:val="24"/>
                <w:szCs w:val="24"/>
                <w:lang w:val="en-US" w:eastAsia="zh-CN"/>
              </w:rPr>
              <w:t>贮存点</w:t>
            </w:r>
            <w:r>
              <w:rPr>
                <w:rFonts w:hint="default" w:ascii="Times New Roman" w:hAnsi="Times New Roman" w:eastAsia="宋体" w:cs="Times New Roman"/>
                <w:color w:val="000000"/>
                <w:sz w:val="24"/>
                <w:szCs w:val="24"/>
                <w:lang w:val="en-US" w:eastAsia="zh-CN"/>
              </w:rPr>
              <w:t>环境风险单元设置防渗漏、防腐蚀、防淋溶、防流失措施，配备吸附沙，防渗层加强管理，确保防渗层满足防渗要求。</w:t>
            </w:r>
          </w:p>
          <w:p w14:paraId="52F349D0">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②加强厂区环境管理，防止污染物跑冒滴漏。</w:t>
            </w:r>
          </w:p>
          <w:p w14:paraId="4FF1D1DC">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③风险事故下采取封闭、截流等措施，防止污染物泄漏污染外环境。</w:t>
            </w:r>
          </w:p>
          <w:p w14:paraId="33608E26">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④确保废气处理设施正常运行，不得闲置、非正常运行废气处理措施。</w:t>
            </w:r>
          </w:p>
          <w:p w14:paraId="61DDB17B">
            <w:pPr>
              <w:pStyle w:val="71"/>
              <w:bidi w:val="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⑤本次评价要求建设单位对相关区域的防渗区开展防渗建设，防渗要求和区域按照《环境影响评价技术导则 地下水环境》（HJ 610-2016）“表7地下水污染防渗分区参照表”，具体如下：</w:t>
            </w:r>
          </w:p>
          <w:p w14:paraId="6AB00082">
            <w:pPr>
              <w:pStyle w:val="71"/>
              <w:bidi w:val="0"/>
              <w:rPr>
                <w:rFonts w:hint="default" w:ascii="Times New Roman" w:hAnsi="Times New Roman" w:eastAsia="宋体" w:cs="Times New Roman"/>
                <w:bCs/>
                <w:color w:val="auto"/>
                <w:spacing w:val="-10"/>
                <w:szCs w:val="21"/>
                <w:highlight w:val="none"/>
              </w:rPr>
            </w:pPr>
            <w:r>
              <w:rPr>
                <w:rFonts w:hint="default" w:ascii="Times New Roman" w:hAnsi="Times New Roman" w:eastAsia="宋体" w:cs="Times New Roman"/>
                <w:color w:val="000000"/>
                <w:sz w:val="24"/>
                <w:szCs w:val="24"/>
                <w:lang w:val="en-US" w:eastAsia="zh-CN"/>
              </w:rPr>
              <w:t>综上分析，项目施工过程严格落实上述措施后，建设在正常运营的情况下不会导致区域地下水、土壤污染。</w:t>
            </w:r>
          </w:p>
        </w:tc>
      </w:tr>
    </w:tbl>
    <w:p w14:paraId="15245D04">
      <w:pPr>
        <w:adjustRightInd w:val="0"/>
        <w:snapToGrid w:val="0"/>
        <w:spacing w:line="360" w:lineRule="auto"/>
        <w:rPr>
          <w:rFonts w:hint="eastAsia"/>
          <w:b/>
          <w:color w:val="auto"/>
          <w:sz w:val="28"/>
          <w:szCs w:val="28"/>
        </w:rPr>
        <w:sectPr>
          <w:pgSz w:w="11907" w:h="16840"/>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7B5CEDFA">
      <w:pPr>
        <w:pStyle w:val="18"/>
        <w:jc w:val="both"/>
        <w:outlineLvl w:val="0"/>
        <w:rPr>
          <w:rFonts w:ascii="黑体" w:hAnsi="黑体" w:eastAsia="黑体"/>
          <w:snapToGrid w:val="0"/>
          <w:color w:val="auto"/>
          <w:sz w:val="30"/>
          <w:szCs w:val="30"/>
        </w:rPr>
      </w:pPr>
      <w:bookmarkStart w:id="9" w:name="_Hlk54167917"/>
      <w:r>
        <w:rPr>
          <w:rFonts w:hint="eastAsia" w:ascii="黑体" w:hAnsi="黑体" w:eastAsia="黑体"/>
          <w:snapToGrid w:val="0"/>
          <w:color w:val="auto"/>
          <w:sz w:val="30"/>
          <w:szCs w:val="30"/>
        </w:rPr>
        <w:t>环境保护措施监督检查清单</w:t>
      </w:r>
      <w:bookmarkEnd w:id="9"/>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548"/>
        <w:gridCol w:w="2268"/>
        <w:gridCol w:w="1451"/>
      </w:tblGrid>
      <w:tr w14:paraId="3F19B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36639D50">
            <w:pPr>
              <w:adjustRightInd w:val="0"/>
              <w:snapToGrid w:val="0"/>
              <w:ind w:firstLine="840"/>
              <w:rPr>
                <w:rFonts w:hint="eastAsia"/>
                <w:color w:val="auto"/>
                <w:szCs w:val="21"/>
              </w:rPr>
            </w:pPr>
            <w:r>
              <w:rPr>
                <w:rFonts w:hint="eastAsia"/>
                <w:color w:val="auto"/>
                <w:szCs w:val="21"/>
              </w:rPr>
              <w:t>内容</w:t>
            </w:r>
          </w:p>
          <w:p w14:paraId="157C1088">
            <w:pPr>
              <w:adjustRightInd w:val="0"/>
              <w:snapToGrid w:val="0"/>
              <w:rPr>
                <w:rFonts w:hint="eastAsia"/>
                <w:color w:val="auto"/>
                <w:szCs w:val="21"/>
              </w:rPr>
            </w:pPr>
            <w:r>
              <w:rPr>
                <w:rFonts w:hint="eastAsia"/>
                <w:color w:val="auto"/>
                <w:szCs w:val="21"/>
              </w:rPr>
              <w:t>要素</w:t>
            </w:r>
          </w:p>
        </w:tc>
        <w:tc>
          <w:tcPr>
            <w:tcW w:w="1755" w:type="dxa"/>
            <w:noWrap w:val="0"/>
            <w:vAlign w:val="center"/>
          </w:tcPr>
          <w:p w14:paraId="1FA47181">
            <w:pPr>
              <w:adjustRightInd w:val="0"/>
              <w:snapToGrid w:val="0"/>
              <w:jc w:val="center"/>
              <w:rPr>
                <w:rFonts w:hint="eastAsia"/>
                <w:color w:val="auto"/>
                <w:szCs w:val="21"/>
              </w:rPr>
            </w:pPr>
            <w:r>
              <w:rPr>
                <w:rFonts w:hint="eastAsia"/>
                <w:color w:val="auto"/>
                <w:szCs w:val="21"/>
              </w:rPr>
              <w:t>排放口(编号、</w:t>
            </w:r>
          </w:p>
          <w:p w14:paraId="4EB52C24">
            <w:pPr>
              <w:adjustRightInd w:val="0"/>
              <w:snapToGrid w:val="0"/>
              <w:jc w:val="center"/>
              <w:rPr>
                <w:rFonts w:hint="eastAsia"/>
                <w:color w:val="auto"/>
                <w:szCs w:val="21"/>
              </w:rPr>
            </w:pPr>
            <w:r>
              <w:rPr>
                <w:rFonts w:hint="eastAsia"/>
                <w:color w:val="auto"/>
                <w:szCs w:val="21"/>
              </w:rPr>
              <w:t>名称)/污染源</w:t>
            </w:r>
          </w:p>
        </w:tc>
        <w:tc>
          <w:tcPr>
            <w:tcW w:w="1548" w:type="dxa"/>
            <w:noWrap w:val="0"/>
            <w:vAlign w:val="center"/>
          </w:tcPr>
          <w:p w14:paraId="0BF55E1B">
            <w:pPr>
              <w:adjustRightInd w:val="0"/>
              <w:snapToGrid w:val="0"/>
              <w:jc w:val="center"/>
              <w:rPr>
                <w:rFonts w:hint="eastAsia"/>
                <w:color w:val="auto"/>
                <w:szCs w:val="21"/>
              </w:rPr>
            </w:pPr>
            <w:r>
              <w:rPr>
                <w:rFonts w:hint="eastAsia"/>
                <w:color w:val="auto"/>
                <w:szCs w:val="21"/>
              </w:rPr>
              <w:t>污染物项目</w:t>
            </w:r>
          </w:p>
        </w:tc>
        <w:tc>
          <w:tcPr>
            <w:tcW w:w="2268" w:type="dxa"/>
            <w:noWrap w:val="0"/>
            <w:vAlign w:val="center"/>
          </w:tcPr>
          <w:p w14:paraId="72EE31FC">
            <w:pPr>
              <w:adjustRightInd w:val="0"/>
              <w:snapToGrid w:val="0"/>
              <w:jc w:val="center"/>
              <w:rPr>
                <w:rFonts w:hint="eastAsia"/>
                <w:color w:val="auto"/>
                <w:szCs w:val="21"/>
              </w:rPr>
            </w:pPr>
            <w:r>
              <w:rPr>
                <w:rFonts w:hint="eastAsia"/>
                <w:color w:val="auto"/>
                <w:szCs w:val="21"/>
              </w:rPr>
              <w:t>环境保护措施</w:t>
            </w:r>
          </w:p>
        </w:tc>
        <w:tc>
          <w:tcPr>
            <w:tcW w:w="1451" w:type="dxa"/>
            <w:noWrap w:val="0"/>
            <w:vAlign w:val="center"/>
          </w:tcPr>
          <w:p w14:paraId="6B3AFFE5">
            <w:pPr>
              <w:adjustRightInd w:val="0"/>
              <w:snapToGrid w:val="0"/>
              <w:jc w:val="center"/>
              <w:rPr>
                <w:rFonts w:hint="eastAsia"/>
                <w:color w:val="auto"/>
                <w:szCs w:val="21"/>
              </w:rPr>
            </w:pPr>
            <w:r>
              <w:rPr>
                <w:rFonts w:hint="eastAsia"/>
                <w:color w:val="auto"/>
                <w:szCs w:val="21"/>
              </w:rPr>
              <w:t>执行标准</w:t>
            </w:r>
          </w:p>
        </w:tc>
      </w:tr>
      <w:tr w14:paraId="52F6D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33559B12">
            <w:pPr>
              <w:adjustRightInd w:val="0"/>
              <w:snapToGrid w:val="0"/>
              <w:jc w:val="center"/>
              <w:rPr>
                <w:rFonts w:hint="eastAsia"/>
                <w:color w:val="auto"/>
                <w:szCs w:val="21"/>
              </w:rPr>
            </w:pPr>
            <w:r>
              <w:rPr>
                <w:rFonts w:hint="eastAsia"/>
                <w:color w:val="auto"/>
                <w:szCs w:val="21"/>
              </w:rPr>
              <w:t>大气环境</w:t>
            </w:r>
          </w:p>
        </w:tc>
        <w:tc>
          <w:tcPr>
            <w:tcW w:w="1755" w:type="dxa"/>
            <w:noWrap w:val="0"/>
            <w:vAlign w:val="center"/>
          </w:tcPr>
          <w:p w14:paraId="3AE29DFB">
            <w:pPr>
              <w:adjustRightInd w:val="0"/>
              <w:snapToGrid w:val="0"/>
              <w:jc w:val="center"/>
              <w:rPr>
                <w:rFonts w:hint="default" w:eastAsia="宋体"/>
                <w:color w:val="auto"/>
                <w:szCs w:val="21"/>
                <w:lang w:val="en-US" w:eastAsia="zh-CN"/>
              </w:rPr>
            </w:pPr>
            <w:r>
              <w:rPr>
                <w:rFonts w:hint="eastAsia"/>
                <w:color w:val="auto"/>
                <w:szCs w:val="21"/>
              </w:rPr>
              <w:t>DA001</w:t>
            </w:r>
            <w:r>
              <w:rPr>
                <w:rFonts w:hint="eastAsia"/>
                <w:color w:val="auto"/>
                <w:szCs w:val="21"/>
                <w:lang w:eastAsia="zh-CN"/>
              </w:rPr>
              <w:t>（</w:t>
            </w:r>
            <w:r>
              <w:rPr>
                <w:rFonts w:hint="eastAsia"/>
                <w:color w:val="auto"/>
                <w:szCs w:val="21"/>
                <w:lang w:val="en-US" w:eastAsia="zh-CN"/>
              </w:rPr>
              <w:t>烘干、直线振动筛筛分废气排放口）</w:t>
            </w:r>
          </w:p>
        </w:tc>
        <w:tc>
          <w:tcPr>
            <w:tcW w:w="1548" w:type="dxa"/>
            <w:vMerge w:val="restart"/>
            <w:noWrap w:val="0"/>
            <w:vAlign w:val="center"/>
          </w:tcPr>
          <w:p w14:paraId="550703E6">
            <w:pPr>
              <w:adjustRightInd w:val="0"/>
              <w:snapToGrid w:val="0"/>
              <w:jc w:val="center"/>
              <w:rPr>
                <w:rFonts w:hint="eastAsia"/>
                <w:color w:val="auto"/>
                <w:szCs w:val="21"/>
              </w:rPr>
            </w:pPr>
            <w:r>
              <w:rPr>
                <w:rFonts w:hint="eastAsia"/>
                <w:color w:val="auto"/>
                <w:szCs w:val="21"/>
              </w:rPr>
              <w:t>颗粒物</w:t>
            </w:r>
          </w:p>
          <w:p w14:paraId="2F2E6DDD">
            <w:pPr>
              <w:adjustRightInd w:val="0"/>
              <w:snapToGrid w:val="0"/>
              <w:jc w:val="center"/>
              <w:rPr>
                <w:rFonts w:hint="default" w:eastAsia="宋体"/>
                <w:color w:val="auto"/>
                <w:szCs w:val="21"/>
                <w:lang w:val="en-US" w:eastAsia="zh-CN"/>
              </w:rPr>
            </w:pPr>
          </w:p>
        </w:tc>
        <w:tc>
          <w:tcPr>
            <w:tcW w:w="2268" w:type="dxa"/>
            <w:noWrap w:val="0"/>
            <w:vAlign w:val="center"/>
          </w:tcPr>
          <w:p w14:paraId="1F7AF899">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烘干机设备全密闭并留排气口，集气管道直连袋式除尘器</w:t>
            </w:r>
          </w:p>
          <w:p w14:paraId="7B5B491B">
            <w:pPr>
              <w:adjustRightInd w:val="0"/>
              <w:snapToGrid w:val="0"/>
              <w:jc w:val="center"/>
              <w:rPr>
                <w:rFonts w:hint="default" w:eastAsia="宋体"/>
                <w:color w:val="auto"/>
                <w:szCs w:val="21"/>
                <w:lang w:val="en-US" w:eastAsia="zh-CN"/>
              </w:rPr>
            </w:pPr>
            <w:r>
              <w:rPr>
                <w:color w:val="auto"/>
                <w:szCs w:val="21"/>
                <w:highlight w:val="none"/>
              </w:rPr>
              <w:t>+15m排气筒</w:t>
            </w:r>
            <w:r>
              <w:rPr>
                <w:rFonts w:hint="eastAsia"/>
                <w:color w:val="auto"/>
                <w:szCs w:val="21"/>
                <w:highlight w:val="none"/>
                <w:lang w:eastAsia="zh-CN"/>
              </w:rPr>
              <w:t>；</w:t>
            </w:r>
            <w:r>
              <w:rPr>
                <w:rFonts w:hint="eastAsia"/>
                <w:color w:val="auto"/>
                <w:szCs w:val="21"/>
                <w:highlight w:val="none"/>
                <w:lang w:val="en-US" w:eastAsia="zh-CN"/>
              </w:rPr>
              <w:t>直线振动筛采用集气罩+袋式除尘器</w:t>
            </w:r>
            <w:r>
              <w:rPr>
                <w:color w:val="auto"/>
                <w:szCs w:val="21"/>
                <w:highlight w:val="none"/>
              </w:rPr>
              <w:t>+15m排气筒</w:t>
            </w:r>
          </w:p>
        </w:tc>
        <w:tc>
          <w:tcPr>
            <w:tcW w:w="1451" w:type="dxa"/>
            <w:vMerge w:val="restart"/>
            <w:noWrap w:val="0"/>
            <w:vAlign w:val="center"/>
          </w:tcPr>
          <w:p w14:paraId="371100AF">
            <w:pPr>
              <w:adjustRightInd w:val="0"/>
              <w:snapToGrid w:val="0"/>
              <w:jc w:val="center"/>
              <w:rPr>
                <w:rFonts w:hint="eastAsia"/>
                <w:color w:val="auto"/>
                <w:szCs w:val="21"/>
              </w:rPr>
            </w:pPr>
            <w:r>
              <w:rPr>
                <w:color w:val="auto"/>
                <w:szCs w:val="21"/>
              </w:rPr>
              <w:t>《大气污染物综合排放标准》（GB16297-1996）</w:t>
            </w:r>
          </w:p>
        </w:tc>
      </w:tr>
      <w:tr w14:paraId="3EEC7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F99F883">
            <w:pPr>
              <w:adjustRightInd w:val="0"/>
              <w:snapToGrid w:val="0"/>
              <w:jc w:val="center"/>
              <w:rPr>
                <w:rFonts w:hint="eastAsia"/>
                <w:color w:val="auto"/>
                <w:szCs w:val="21"/>
              </w:rPr>
            </w:pPr>
          </w:p>
        </w:tc>
        <w:tc>
          <w:tcPr>
            <w:tcW w:w="1755" w:type="dxa"/>
            <w:noWrap w:val="0"/>
            <w:vAlign w:val="center"/>
          </w:tcPr>
          <w:p w14:paraId="7B7C8999">
            <w:pPr>
              <w:adjustRightInd w:val="0"/>
              <w:snapToGrid w:val="0"/>
              <w:jc w:val="center"/>
              <w:rPr>
                <w:rFonts w:hint="default" w:eastAsia="宋体"/>
                <w:color w:val="auto"/>
                <w:szCs w:val="21"/>
                <w:lang w:val="en-US" w:eastAsia="zh-CN"/>
              </w:rPr>
            </w:pPr>
            <w:r>
              <w:rPr>
                <w:rFonts w:hint="eastAsia"/>
                <w:color w:val="auto"/>
                <w:szCs w:val="21"/>
              </w:rPr>
              <w:t>DA00</w:t>
            </w:r>
            <w:r>
              <w:rPr>
                <w:rFonts w:hint="eastAsia"/>
                <w:color w:val="auto"/>
                <w:szCs w:val="21"/>
                <w:lang w:val="en-US" w:eastAsia="zh-CN"/>
              </w:rPr>
              <w:t>2(方形摇摆筛筛分废气排放口）</w:t>
            </w:r>
          </w:p>
        </w:tc>
        <w:tc>
          <w:tcPr>
            <w:tcW w:w="1548" w:type="dxa"/>
            <w:vMerge w:val="continue"/>
            <w:noWrap w:val="0"/>
            <w:vAlign w:val="center"/>
          </w:tcPr>
          <w:p w14:paraId="4BDD078B">
            <w:pPr>
              <w:adjustRightInd w:val="0"/>
              <w:snapToGrid w:val="0"/>
              <w:jc w:val="center"/>
              <w:rPr>
                <w:rFonts w:hint="eastAsia"/>
                <w:color w:val="auto"/>
                <w:szCs w:val="21"/>
              </w:rPr>
            </w:pPr>
          </w:p>
        </w:tc>
        <w:tc>
          <w:tcPr>
            <w:tcW w:w="2268" w:type="dxa"/>
            <w:noWrap w:val="0"/>
            <w:vAlign w:val="center"/>
          </w:tcPr>
          <w:p w14:paraId="255439A1">
            <w:pPr>
              <w:adjustRightInd w:val="0"/>
              <w:snapToGrid w:val="0"/>
              <w:jc w:val="center"/>
              <w:rPr>
                <w:color w:val="auto"/>
                <w:szCs w:val="21"/>
                <w:highlight w:val="none"/>
              </w:rPr>
            </w:pPr>
            <w:r>
              <w:rPr>
                <w:rFonts w:hint="eastAsia"/>
                <w:color w:val="auto"/>
                <w:szCs w:val="21"/>
                <w:lang w:val="en-US" w:eastAsia="zh-CN"/>
              </w:rPr>
              <w:t>方形摇摆筛</w:t>
            </w:r>
            <w:r>
              <w:rPr>
                <w:rFonts w:hint="eastAsia"/>
                <w:color w:val="auto"/>
                <w:szCs w:val="21"/>
                <w:highlight w:val="none"/>
                <w:lang w:val="en-US" w:eastAsia="zh-CN"/>
              </w:rPr>
              <w:t>设备全密闭并留排气口，集气管道直连袋式除尘器</w:t>
            </w:r>
            <w:r>
              <w:rPr>
                <w:color w:val="auto"/>
                <w:szCs w:val="21"/>
                <w:highlight w:val="none"/>
              </w:rPr>
              <w:t>+15m排气筒</w:t>
            </w:r>
          </w:p>
        </w:tc>
        <w:tc>
          <w:tcPr>
            <w:tcW w:w="1451" w:type="dxa"/>
            <w:vMerge w:val="continue"/>
            <w:noWrap w:val="0"/>
            <w:vAlign w:val="center"/>
          </w:tcPr>
          <w:p w14:paraId="5813C987">
            <w:pPr>
              <w:adjustRightInd w:val="0"/>
              <w:snapToGrid w:val="0"/>
              <w:jc w:val="center"/>
              <w:rPr>
                <w:color w:val="auto"/>
                <w:szCs w:val="21"/>
              </w:rPr>
            </w:pPr>
          </w:p>
        </w:tc>
      </w:tr>
      <w:tr w14:paraId="07BF9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5406CD07">
            <w:pPr>
              <w:adjustRightInd w:val="0"/>
              <w:snapToGrid w:val="0"/>
              <w:jc w:val="center"/>
              <w:rPr>
                <w:rFonts w:hint="eastAsia"/>
                <w:color w:val="auto"/>
                <w:szCs w:val="21"/>
              </w:rPr>
            </w:pPr>
          </w:p>
        </w:tc>
        <w:tc>
          <w:tcPr>
            <w:tcW w:w="1755" w:type="dxa"/>
            <w:noWrap w:val="0"/>
            <w:vAlign w:val="center"/>
          </w:tcPr>
          <w:p w14:paraId="40ACE22F">
            <w:pPr>
              <w:adjustRightInd w:val="0"/>
              <w:snapToGrid w:val="0"/>
              <w:jc w:val="center"/>
              <w:rPr>
                <w:rFonts w:hint="default" w:eastAsia="宋体"/>
                <w:color w:val="auto"/>
                <w:szCs w:val="21"/>
                <w:lang w:val="en-US" w:eastAsia="zh-CN"/>
              </w:rPr>
            </w:pPr>
            <w:r>
              <w:rPr>
                <w:rFonts w:hint="eastAsia"/>
                <w:color w:val="auto"/>
                <w:szCs w:val="21"/>
                <w:lang w:val="en-US" w:eastAsia="zh-CN"/>
              </w:rPr>
              <w:t>装卸、堆场粉尘</w:t>
            </w:r>
          </w:p>
        </w:tc>
        <w:tc>
          <w:tcPr>
            <w:tcW w:w="1548" w:type="dxa"/>
            <w:vMerge w:val="continue"/>
            <w:noWrap w:val="0"/>
            <w:vAlign w:val="center"/>
          </w:tcPr>
          <w:p w14:paraId="115226C0">
            <w:pPr>
              <w:adjustRightInd w:val="0"/>
              <w:snapToGrid w:val="0"/>
              <w:jc w:val="center"/>
              <w:rPr>
                <w:rFonts w:hint="default" w:eastAsia="宋体"/>
                <w:color w:val="auto"/>
                <w:szCs w:val="21"/>
                <w:lang w:val="en-US" w:eastAsia="zh-CN"/>
              </w:rPr>
            </w:pPr>
          </w:p>
        </w:tc>
        <w:tc>
          <w:tcPr>
            <w:tcW w:w="2268" w:type="dxa"/>
            <w:noWrap w:val="0"/>
            <w:vAlign w:val="center"/>
          </w:tcPr>
          <w:p w14:paraId="49BF4847">
            <w:pPr>
              <w:adjustRightInd w:val="0"/>
              <w:snapToGrid w:val="0"/>
              <w:jc w:val="center"/>
              <w:rPr>
                <w:rFonts w:hint="eastAsia"/>
                <w:color w:val="auto"/>
                <w:szCs w:val="21"/>
              </w:rPr>
            </w:pPr>
            <w:r>
              <w:rPr>
                <w:color w:val="auto"/>
                <w:szCs w:val="21"/>
              </w:rPr>
              <w:t>厂区内道路定期清扫、洒水抑尘；原料堆</w:t>
            </w:r>
            <w:r>
              <w:rPr>
                <w:rFonts w:hint="eastAsia"/>
                <w:color w:val="auto"/>
                <w:szCs w:val="21"/>
                <w:lang w:val="en-US" w:eastAsia="zh-CN"/>
              </w:rPr>
              <w:t>场采用苫盖+洒水降尘</w:t>
            </w:r>
          </w:p>
        </w:tc>
        <w:tc>
          <w:tcPr>
            <w:tcW w:w="1451" w:type="dxa"/>
            <w:vMerge w:val="continue"/>
            <w:noWrap w:val="0"/>
            <w:vAlign w:val="center"/>
          </w:tcPr>
          <w:p w14:paraId="23FAD55F">
            <w:pPr>
              <w:adjustRightInd w:val="0"/>
              <w:snapToGrid w:val="0"/>
              <w:jc w:val="center"/>
              <w:rPr>
                <w:rFonts w:hint="eastAsia"/>
                <w:color w:val="auto"/>
                <w:szCs w:val="21"/>
              </w:rPr>
            </w:pPr>
          </w:p>
        </w:tc>
      </w:tr>
      <w:tr w14:paraId="039F0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1FB87A9">
            <w:pPr>
              <w:adjustRightInd w:val="0"/>
              <w:snapToGrid w:val="0"/>
              <w:jc w:val="center"/>
              <w:rPr>
                <w:rFonts w:hint="eastAsia"/>
                <w:color w:val="auto"/>
                <w:szCs w:val="21"/>
              </w:rPr>
            </w:pPr>
          </w:p>
        </w:tc>
        <w:tc>
          <w:tcPr>
            <w:tcW w:w="1755" w:type="dxa"/>
            <w:noWrap w:val="0"/>
            <w:vAlign w:val="center"/>
          </w:tcPr>
          <w:p w14:paraId="5B9B7C4D">
            <w:pPr>
              <w:adjustRightInd w:val="0"/>
              <w:snapToGrid w:val="0"/>
              <w:jc w:val="center"/>
              <w:rPr>
                <w:rFonts w:hint="default"/>
                <w:color w:val="auto"/>
                <w:szCs w:val="21"/>
                <w:lang w:val="en-US" w:eastAsia="zh-CN"/>
              </w:rPr>
            </w:pPr>
            <w:r>
              <w:rPr>
                <w:rFonts w:hint="eastAsia"/>
                <w:color w:val="auto"/>
                <w:szCs w:val="21"/>
                <w:lang w:val="en-US" w:eastAsia="zh-CN"/>
              </w:rPr>
              <w:t>投料粉尘</w:t>
            </w:r>
          </w:p>
        </w:tc>
        <w:tc>
          <w:tcPr>
            <w:tcW w:w="1548" w:type="dxa"/>
            <w:vMerge w:val="continue"/>
            <w:noWrap w:val="0"/>
            <w:vAlign w:val="center"/>
          </w:tcPr>
          <w:p w14:paraId="2C312199">
            <w:pPr>
              <w:adjustRightInd w:val="0"/>
              <w:snapToGrid w:val="0"/>
              <w:jc w:val="center"/>
              <w:rPr>
                <w:rFonts w:hint="default" w:eastAsia="宋体"/>
                <w:color w:val="auto"/>
                <w:szCs w:val="21"/>
                <w:lang w:val="en-US" w:eastAsia="zh-CN"/>
              </w:rPr>
            </w:pPr>
          </w:p>
        </w:tc>
        <w:tc>
          <w:tcPr>
            <w:tcW w:w="2268" w:type="dxa"/>
            <w:noWrap w:val="0"/>
            <w:vAlign w:val="center"/>
          </w:tcPr>
          <w:p w14:paraId="3DB38A48">
            <w:pPr>
              <w:adjustRightInd w:val="0"/>
              <w:snapToGrid w:val="0"/>
              <w:jc w:val="center"/>
              <w:rPr>
                <w:rFonts w:hint="default" w:eastAsia="宋体"/>
                <w:color w:val="auto"/>
                <w:szCs w:val="21"/>
                <w:lang w:val="en-US" w:eastAsia="zh-CN"/>
              </w:rPr>
            </w:pPr>
            <w:r>
              <w:rPr>
                <w:rFonts w:hint="eastAsia"/>
                <w:color w:val="auto"/>
                <w:szCs w:val="21"/>
                <w:lang w:val="en-US" w:eastAsia="zh-CN"/>
              </w:rPr>
              <w:t>投料口半封闭+喷淋降尘</w:t>
            </w:r>
          </w:p>
        </w:tc>
        <w:tc>
          <w:tcPr>
            <w:tcW w:w="1451" w:type="dxa"/>
            <w:vMerge w:val="continue"/>
            <w:noWrap w:val="0"/>
            <w:vAlign w:val="center"/>
          </w:tcPr>
          <w:p w14:paraId="77FC5389">
            <w:pPr>
              <w:adjustRightInd w:val="0"/>
              <w:snapToGrid w:val="0"/>
              <w:jc w:val="center"/>
              <w:rPr>
                <w:rFonts w:hint="eastAsia"/>
                <w:color w:val="auto"/>
                <w:szCs w:val="21"/>
              </w:rPr>
            </w:pPr>
          </w:p>
        </w:tc>
      </w:tr>
      <w:tr w14:paraId="2AAB5B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414ADD79">
            <w:pPr>
              <w:adjustRightInd w:val="0"/>
              <w:snapToGrid w:val="0"/>
              <w:jc w:val="center"/>
              <w:rPr>
                <w:rFonts w:hint="eastAsia"/>
                <w:color w:val="auto"/>
                <w:szCs w:val="21"/>
              </w:rPr>
            </w:pPr>
          </w:p>
        </w:tc>
        <w:tc>
          <w:tcPr>
            <w:tcW w:w="1755" w:type="dxa"/>
            <w:noWrap w:val="0"/>
            <w:vAlign w:val="center"/>
          </w:tcPr>
          <w:p w14:paraId="740471EA">
            <w:pPr>
              <w:adjustRightInd w:val="0"/>
              <w:snapToGrid w:val="0"/>
              <w:jc w:val="center"/>
              <w:rPr>
                <w:rFonts w:hint="default" w:eastAsia="宋体"/>
                <w:color w:val="auto"/>
                <w:szCs w:val="21"/>
                <w:lang w:val="en-US" w:eastAsia="zh-CN"/>
              </w:rPr>
            </w:pPr>
            <w:r>
              <w:rPr>
                <w:rFonts w:hint="eastAsia"/>
                <w:color w:val="auto"/>
                <w:szCs w:val="21"/>
                <w:lang w:val="en-US" w:eastAsia="zh-CN"/>
              </w:rPr>
              <w:t>研磨粉尘</w:t>
            </w:r>
          </w:p>
        </w:tc>
        <w:tc>
          <w:tcPr>
            <w:tcW w:w="1548" w:type="dxa"/>
            <w:vMerge w:val="continue"/>
            <w:noWrap w:val="0"/>
            <w:vAlign w:val="center"/>
          </w:tcPr>
          <w:p w14:paraId="7C07CEF7">
            <w:pPr>
              <w:adjustRightInd w:val="0"/>
              <w:snapToGrid w:val="0"/>
              <w:jc w:val="center"/>
              <w:rPr>
                <w:rFonts w:hint="default" w:eastAsia="宋体"/>
                <w:color w:val="auto"/>
                <w:szCs w:val="21"/>
                <w:lang w:val="en-US" w:eastAsia="zh-CN"/>
              </w:rPr>
            </w:pPr>
          </w:p>
        </w:tc>
        <w:tc>
          <w:tcPr>
            <w:tcW w:w="2268" w:type="dxa"/>
            <w:noWrap w:val="0"/>
            <w:vAlign w:val="center"/>
          </w:tcPr>
          <w:p w14:paraId="31FDA07C">
            <w:pPr>
              <w:adjustRightInd w:val="0"/>
              <w:snapToGrid w:val="0"/>
              <w:jc w:val="center"/>
              <w:rPr>
                <w:rFonts w:hint="default" w:eastAsia="宋体"/>
                <w:color w:val="auto"/>
                <w:szCs w:val="21"/>
                <w:lang w:val="en-US" w:eastAsia="zh-CN"/>
              </w:rPr>
            </w:pPr>
            <w:r>
              <w:rPr>
                <w:rFonts w:hint="eastAsia"/>
                <w:color w:val="auto"/>
                <w:szCs w:val="21"/>
                <w:lang w:val="en-US" w:eastAsia="zh-CN"/>
              </w:rPr>
              <w:t>设备结构全密闭+湿法研磨</w:t>
            </w:r>
          </w:p>
        </w:tc>
        <w:tc>
          <w:tcPr>
            <w:tcW w:w="1451" w:type="dxa"/>
            <w:vMerge w:val="continue"/>
            <w:noWrap w:val="0"/>
            <w:vAlign w:val="center"/>
          </w:tcPr>
          <w:p w14:paraId="778A0128">
            <w:pPr>
              <w:adjustRightInd w:val="0"/>
              <w:snapToGrid w:val="0"/>
              <w:jc w:val="center"/>
              <w:rPr>
                <w:rFonts w:hint="eastAsia"/>
                <w:color w:val="auto"/>
                <w:szCs w:val="21"/>
              </w:rPr>
            </w:pPr>
          </w:p>
        </w:tc>
      </w:tr>
      <w:tr w14:paraId="05333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072E31A9">
            <w:pPr>
              <w:adjustRightInd w:val="0"/>
              <w:snapToGrid w:val="0"/>
              <w:jc w:val="center"/>
              <w:rPr>
                <w:rFonts w:hint="eastAsia"/>
                <w:color w:val="auto"/>
                <w:szCs w:val="21"/>
              </w:rPr>
            </w:pPr>
          </w:p>
        </w:tc>
        <w:tc>
          <w:tcPr>
            <w:tcW w:w="1755" w:type="dxa"/>
            <w:noWrap w:val="0"/>
            <w:vAlign w:val="center"/>
          </w:tcPr>
          <w:p w14:paraId="087FE774">
            <w:pPr>
              <w:adjustRightInd w:val="0"/>
              <w:snapToGrid w:val="0"/>
              <w:jc w:val="center"/>
              <w:rPr>
                <w:rFonts w:hint="default" w:eastAsia="宋体"/>
                <w:color w:val="auto"/>
                <w:szCs w:val="21"/>
                <w:lang w:val="en-US" w:eastAsia="zh-CN"/>
              </w:rPr>
            </w:pPr>
            <w:r>
              <w:rPr>
                <w:rFonts w:hint="eastAsia"/>
                <w:color w:val="auto"/>
                <w:szCs w:val="21"/>
                <w:lang w:val="en-US" w:eastAsia="zh-CN"/>
              </w:rPr>
              <w:t>滚筒筛、脱水筛筛分粉尘</w:t>
            </w:r>
          </w:p>
        </w:tc>
        <w:tc>
          <w:tcPr>
            <w:tcW w:w="1548" w:type="dxa"/>
            <w:vMerge w:val="continue"/>
            <w:noWrap w:val="0"/>
            <w:vAlign w:val="center"/>
          </w:tcPr>
          <w:p w14:paraId="57F7B2C2">
            <w:pPr>
              <w:adjustRightInd w:val="0"/>
              <w:snapToGrid w:val="0"/>
              <w:jc w:val="center"/>
              <w:rPr>
                <w:rFonts w:hint="default" w:eastAsia="宋体"/>
                <w:color w:val="auto"/>
                <w:szCs w:val="21"/>
                <w:lang w:val="en-US" w:eastAsia="zh-CN"/>
              </w:rPr>
            </w:pPr>
          </w:p>
        </w:tc>
        <w:tc>
          <w:tcPr>
            <w:tcW w:w="2268" w:type="dxa"/>
            <w:noWrap w:val="0"/>
            <w:vAlign w:val="center"/>
          </w:tcPr>
          <w:p w14:paraId="117C16E5">
            <w:pPr>
              <w:adjustRightInd w:val="0"/>
              <w:snapToGrid w:val="0"/>
              <w:jc w:val="center"/>
              <w:rPr>
                <w:color w:val="auto"/>
                <w:szCs w:val="21"/>
              </w:rPr>
            </w:pPr>
            <w:r>
              <w:rPr>
                <w:rFonts w:hint="eastAsia"/>
                <w:color w:val="auto"/>
                <w:szCs w:val="21"/>
                <w:lang w:val="en-US" w:eastAsia="zh-CN"/>
              </w:rPr>
              <w:t>设备结构全密闭+湿法筛分</w:t>
            </w:r>
          </w:p>
        </w:tc>
        <w:tc>
          <w:tcPr>
            <w:tcW w:w="1451" w:type="dxa"/>
            <w:vMerge w:val="continue"/>
            <w:noWrap w:val="0"/>
            <w:vAlign w:val="center"/>
          </w:tcPr>
          <w:p w14:paraId="2DC616AE">
            <w:pPr>
              <w:adjustRightInd w:val="0"/>
              <w:snapToGrid w:val="0"/>
              <w:jc w:val="center"/>
              <w:rPr>
                <w:rFonts w:hint="eastAsia"/>
                <w:color w:val="auto"/>
                <w:szCs w:val="21"/>
              </w:rPr>
            </w:pPr>
          </w:p>
        </w:tc>
      </w:tr>
      <w:tr w14:paraId="09ACD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3ECDA360">
            <w:pPr>
              <w:adjustRightInd w:val="0"/>
              <w:snapToGrid w:val="0"/>
              <w:jc w:val="center"/>
              <w:rPr>
                <w:rFonts w:hint="eastAsia"/>
                <w:color w:val="auto"/>
                <w:szCs w:val="21"/>
              </w:rPr>
            </w:pPr>
            <w:r>
              <w:rPr>
                <w:rFonts w:hint="eastAsia"/>
                <w:color w:val="auto"/>
                <w:szCs w:val="21"/>
              </w:rPr>
              <w:t>地表水环境</w:t>
            </w:r>
          </w:p>
        </w:tc>
        <w:tc>
          <w:tcPr>
            <w:tcW w:w="1755" w:type="dxa"/>
            <w:shd w:val="clear" w:color="auto" w:fill="auto"/>
            <w:noWrap w:val="0"/>
            <w:vAlign w:val="center"/>
          </w:tcPr>
          <w:p w14:paraId="5DDC09B0">
            <w:pPr>
              <w:adjustRightInd w:val="0"/>
              <w:snapToGrid w:val="0"/>
              <w:jc w:val="center"/>
              <w:rPr>
                <w:rFonts w:hint="eastAsia" w:ascii="宋体" w:hAnsi="宋体" w:eastAsia="宋体" w:cs="宋体"/>
                <w:color w:val="auto"/>
                <w:sz w:val="24"/>
                <w:szCs w:val="21"/>
                <w:lang w:val="en-US" w:eastAsia="zh-CN" w:bidi="ar-SA"/>
              </w:rPr>
            </w:pPr>
            <w:r>
              <w:rPr>
                <w:rFonts w:hint="eastAsia"/>
                <w:color w:val="auto"/>
                <w:szCs w:val="21"/>
              </w:rPr>
              <w:t>生活污水</w:t>
            </w:r>
          </w:p>
        </w:tc>
        <w:tc>
          <w:tcPr>
            <w:tcW w:w="1548" w:type="dxa"/>
            <w:shd w:val="clear" w:color="auto" w:fill="auto"/>
            <w:noWrap w:val="0"/>
            <w:vAlign w:val="center"/>
          </w:tcPr>
          <w:p w14:paraId="4A9BAB7C">
            <w:pPr>
              <w:adjustRightInd w:val="0"/>
              <w:snapToGrid w:val="0"/>
              <w:jc w:val="center"/>
              <w:rPr>
                <w:rFonts w:hint="eastAsia" w:ascii="宋体" w:hAnsi="宋体" w:eastAsia="宋体" w:cs="宋体"/>
                <w:color w:val="auto"/>
                <w:sz w:val="24"/>
                <w:szCs w:val="21"/>
                <w:lang w:val="en-US" w:eastAsia="zh-CN" w:bidi="ar-SA"/>
              </w:rPr>
            </w:pPr>
            <w:r>
              <w:rPr>
                <w:color w:val="auto"/>
                <w:szCs w:val="21"/>
              </w:rPr>
              <w:t>CODcr、SS、等</w:t>
            </w:r>
          </w:p>
        </w:tc>
        <w:tc>
          <w:tcPr>
            <w:tcW w:w="2268" w:type="dxa"/>
            <w:shd w:val="clear" w:color="auto" w:fill="auto"/>
            <w:noWrap w:val="0"/>
            <w:vAlign w:val="center"/>
          </w:tcPr>
          <w:p w14:paraId="40F81076">
            <w:pPr>
              <w:adjustRightInd w:val="0"/>
              <w:snapToGrid w:val="0"/>
              <w:jc w:val="center"/>
              <w:rPr>
                <w:rFonts w:hint="eastAsia" w:ascii="宋体" w:hAnsi="宋体" w:eastAsia="宋体" w:cs="宋体"/>
                <w:color w:val="auto"/>
                <w:sz w:val="24"/>
                <w:szCs w:val="21"/>
                <w:lang w:val="en-US" w:eastAsia="zh-CN" w:bidi="ar-SA"/>
              </w:rPr>
            </w:pPr>
            <w:r>
              <w:rPr>
                <w:rFonts w:hint="eastAsia"/>
                <w:color w:val="auto"/>
                <w:szCs w:val="21"/>
              </w:rPr>
              <w:t>通过厂区总排口直接排入园区管网，进入</w:t>
            </w:r>
            <w:r>
              <w:rPr>
                <w:rFonts w:hint="eastAsia"/>
                <w:color w:val="auto"/>
                <w:szCs w:val="21"/>
                <w:lang w:val="en-US" w:eastAsia="zh-CN"/>
              </w:rPr>
              <w:t>和丰</w:t>
            </w:r>
            <w:r>
              <w:rPr>
                <w:rFonts w:hint="eastAsia"/>
                <w:color w:val="auto"/>
                <w:szCs w:val="21"/>
              </w:rPr>
              <w:t>园区污水处理厂</w:t>
            </w:r>
          </w:p>
        </w:tc>
        <w:tc>
          <w:tcPr>
            <w:tcW w:w="1451" w:type="dxa"/>
            <w:shd w:val="clear" w:color="auto" w:fill="auto"/>
            <w:noWrap w:val="0"/>
            <w:vAlign w:val="center"/>
          </w:tcPr>
          <w:p w14:paraId="0CCEB09A">
            <w:pPr>
              <w:adjustRightInd w:val="0"/>
              <w:snapToGrid w:val="0"/>
              <w:jc w:val="center"/>
              <w:rPr>
                <w:color w:val="auto"/>
                <w:szCs w:val="21"/>
              </w:rPr>
            </w:pPr>
            <w:r>
              <w:rPr>
                <w:color w:val="auto"/>
                <w:szCs w:val="21"/>
              </w:rPr>
              <w:t>《污水综合排放标准》</w:t>
            </w:r>
          </w:p>
          <w:p w14:paraId="4333F870">
            <w:pPr>
              <w:adjustRightInd w:val="0"/>
              <w:snapToGrid w:val="0"/>
              <w:jc w:val="center"/>
              <w:rPr>
                <w:rFonts w:hint="eastAsia" w:ascii="宋体" w:hAnsi="宋体" w:eastAsia="宋体" w:cs="宋体"/>
                <w:color w:val="auto"/>
                <w:sz w:val="24"/>
                <w:szCs w:val="21"/>
                <w:lang w:val="en-US" w:eastAsia="zh-CN" w:bidi="ar-SA"/>
              </w:rPr>
            </w:pPr>
            <w:r>
              <w:rPr>
                <w:color w:val="auto"/>
                <w:szCs w:val="21"/>
              </w:rPr>
              <w:t>（GB8978-1996）</w:t>
            </w:r>
          </w:p>
        </w:tc>
      </w:tr>
      <w:tr w14:paraId="31700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7E0FA84C">
            <w:pPr>
              <w:adjustRightInd w:val="0"/>
              <w:snapToGrid w:val="0"/>
              <w:jc w:val="center"/>
              <w:rPr>
                <w:rFonts w:hint="eastAsia"/>
                <w:color w:val="auto"/>
                <w:szCs w:val="21"/>
              </w:rPr>
            </w:pPr>
            <w:r>
              <w:rPr>
                <w:rFonts w:hint="eastAsia"/>
                <w:color w:val="auto"/>
                <w:szCs w:val="21"/>
              </w:rPr>
              <w:t>声环境</w:t>
            </w:r>
          </w:p>
        </w:tc>
        <w:tc>
          <w:tcPr>
            <w:tcW w:w="1755" w:type="dxa"/>
            <w:noWrap w:val="0"/>
            <w:vAlign w:val="center"/>
          </w:tcPr>
          <w:p w14:paraId="61782E2D">
            <w:pPr>
              <w:adjustRightInd w:val="0"/>
              <w:snapToGrid w:val="0"/>
              <w:jc w:val="center"/>
              <w:rPr>
                <w:rFonts w:hint="eastAsia"/>
                <w:color w:val="auto"/>
                <w:szCs w:val="21"/>
              </w:rPr>
            </w:pPr>
            <w:r>
              <w:rPr>
                <w:rFonts w:hint="eastAsia"/>
                <w:color w:val="auto"/>
                <w:szCs w:val="21"/>
              </w:rPr>
              <w:t>设备噪声</w:t>
            </w:r>
          </w:p>
        </w:tc>
        <w:tc>
          <w:tcPr>
            <w:tcW w:w="1548" w:type="dxa"/>
            <w:noWrap w:val="0"/>
            <w:vAlign w:val="center"/>
          </w:tcPr>
          <w:p w14:paraId="5DC172CF">
            <w:pPr>
              <w:adjustRightInd w:val="0"/>
              <w:snapToGrid w:val="0"/>
              <w:jc w:val="center"/>
              <w:rPr>
                <w:rFonts w:hint="eastAsia"/>
                <w:color w:val="auto"/>
                <w:szCs w:val="21"/>
              </w:rPr>
            </w:pPr>
            <w:r>
              <w:rPr>
                <w:color w:val="auto"/>
                <w:szCs w:val="21"/>
              </w:rPr>
              <w:t>等效</w:t>
            </w:r>
            <w:r>
              <w:rPr>
                <w:rFonts w:hint="eastAsia"/>
                <w:color w:val="auto"/>
                <w:szCs w:val="21"/>
                <w:lang w:val="en-US" w:eastAsia="zh-CN"/>
              </w:rPr>
              <w:t>连续</w:t>
            </w:r>
            <w:r>
              <w:rPr>
                <w:color w:val="auto"/>
                <w:szCs w:val="21"/>
              </w:rPr>
              <w:t>A声级</w:t>
            </w:r>
          </w:p>
        </w:tc>
        <w:tc>
          <w:tcPr>
            <w:tcW w:w="2268" w:type="dxa"/>
            <w:noWrap w:val="0"/>
            <w:vAlign w:val="center"/>
          </w:tcPr>
          <w:p w14:paraId="4FA7D891">
            <w:pPr>
              <w:adjustRightInd w:val="0"/>
              <w:snapToGrid w:val="0"/>
              <w:jc w:val="center"/>
              <w:rPr>
                <w:rFonts w:hint="eastAsia"/>
                <w:color w:val="auto"/>
                <w:szCs w:val="21"/>
              </w:rPr>
            </w:pPr>
            <w:r>
              <w:rPr>
                <w:rFonts w:hint="eastAsia"/>
                <w:color w:val="auto"/>
              </w:rPr>
              <w:t>消声、隔振、隔声、绿化等</w:t>
            </w:r>
          </w:p>
        </w:tc>
        <w:tc>
          <w:tcPr>
            <w:tcW w:w="1451" w:type="dxa"/>
            <w:noWrap w:val="0"/>
            <w:vAlign w:val="center"/>
          </w:tcPr>
          <w:p w14:paraId="406FBF1F">
            <w:pPr>
              <w:adjustRightInd w:val="0"/>
              <w:snapToGrid w:val="0"/>
              <w:jc w:val="center"/>
              <w:rPr>
                <w:rFonts w:hint="eastAsia"/>
                <w:color w:val="auto"/>
                <w:szCs w:val="21"/>
              </w:rPr>
            </w:pPr>
            <w:r>
              <w:rPr>
                <w:color w:val="auto"/>
                <w:szCs w:val="21"/>
              </w:rPr>
              <w:t>《工业企业厂界环境噪声排放标准》（GB12348-2008）3类功能区标准</w:t>
            </w:r>
          </w:p>
        </w:tc>
      </w:tr>
      <w:tr w14:paraId="4B98E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478113E6">
            <w:pPr>
              <w:adjustRightInd w:val="0"/>
              <w:snapToGrid w:val="0"/>
              <w:jc w:val="center"/>
              <w:rPr>
                <w:rFonts w:hint="eastAsia"/>
                <w:color w:val="auto"/>
                <w:szCs w:val="21"/>
              </w:rPr>
            </w:pPr>
            <w:r>
              <w:rPr>
                <w:rFonts w:hint="eastAsia"/>
                <w:color w:val="auto"/>
                <w:szCs w:val="21"/>
              </w:rPr>
              <w:t>电磁辐射</w:t>
            </w:r>
          </w:p>
        </w:tc>
        <w:tc>
          <w:tcPr>
            <w:tcW w:w="1755" w:type="dxa"/>
            <w:noWrap w:val="0"/>
            <w:vAlign w:val="center"/>
          </w:tcPr>
          <w:p w14:paraId="56183582">
            <w:pPr>
              <w:adjustRightInd w:val="0"/>
              <w:snapToGrid w:val="0"/>
              <w:jc w:val="center"/>
              <w:rPr>
                <w:rFonts w:hint="eastAsia"/>
                <w:color w:val="auto"/>
                <w:szCs w:val="21"/>
              </w:rPr>
            </w:pPr>
            <w:r>
              <w:rPr>
                <w:rFonts w:hint="eastAsia"/>
                <w:color w:val="auto"/>
                <w:szCs w:val="21"/>
              </w:rPr>
              <w:t>/</w:t>
            </w:r>
          </w:p>
        </w:tc>
        <w:tc>
          <w:tcPr>
            <w:tcW w:w="1548" w:type="dxa"/>
            <w:noWrap w:val="0"/>
            <w:vAlign w:val="center"/>
          </w:tcPr>
          <w:p w14:paraId="6D674C23">
            <w:pPr>
              <w:adjustRightInd w:val="0"/>
              <w:snapToGrid w:val="0"/>
              <w:jc w:val="center"/>
              <w:rPr>
                <w:rFonts w:hint="eastAsia"/>
                <w:color w:val="auto"/>
                <w:szCs w:val="21"/>
              </w:rPr>
            </w:pPr>
            <w:r>
              <w:rPr>
                <w:rFonts w:hint="eastAsia"/>
                <w:color w:val="auto"/>
                <w:szCs w:val="21"/>
              </w:rPr>
              <w:t>/</w:t>
            </w:r>
          </w:p>
        </w:tc>
        <w:tc>
          <w:tcPr>
            <w:tcW w:w="2268" w:type="dxa"/>
            <w:noWrap w:val="0"/>
            <w:vAlign w:val="center"/>
          </w:tcPr>
          <w:p w14:paraId="754F73A7">
            <w:pPr>
              <w:adjustRightInd w:val="0"/>
              <w:snapToGrid w:val="0"/>
              <w:jc w:val="center"/>
              <w:rPr>
                <w:rFonts w:hint="eastAsia"/>
                <w:color w:val="auto"/>
                <w:szCs w:val="21"/>
              </w:rPr>
            </w:pPr>
            <w:r>
              <w:rPr>
                <w:rFonts w:hint="eastAsia"/>
                <w:color w:val="auto"/>
                <w:szCs w:val="21"/>
              </w:rPr>
              <w:t>/</w:t>
            </w:r>
          </w:p>
        </w:tc>
        <w:tc>
          <w:tcPr>
            <w:tcW w:w="1451" w:type="dxa"/>
            <w:noWrap w:val="0"/>
            <w:vAlign w:val="center"/>
          </w:tcPr>
          <w:p w14:paraId="0CD2C92D">
            <w:pPr>
              <w:adjustRightInd w:val="0"/>
              <w:snapToGrid w:val="0"/>
              <w:jc w:val="center"/>
              <w:rPr>
                <w:rFonts w:hint="eastAsia"/>
                <w:color w:val="auto"/>
                <w:szCs w:val="21"/>
              </w:rPr>
            </w:pPr>
            <w:r>
              <w:rPr>
                <w:rFonts w:hint="eastAsia"/>
                <w:color w:val="auto"/>
                <w:szCs w:val="21"/>
              </w:rPr>
              <w:t>/</w:t>
            </w:r>
          </w:p>
        </w:tc>
      </w:tr>
      <w:tr w14:paraId="126E32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8" w:type="dxa"/>
            <w:noWrap w:val="0"/>
            <w:vAlign w:val="center"/>
          </w:tcPr>
          <w:p w14:paraId="768BB1D3">
            <w:pPr>
              <w:adjustRightInd w:val="0"/>
              <w:snapToGrid w:val="0"/>
              <w:jc w:val="center"/>
              <w:rPr>
                <w:rFonts w:hint="eastAsia"/>
                <w:color w:val="auto"/>
                <w:szCs w:val="21"/>
              </w:rPr>
            </w:pPr>
            <w:r>
              <w:rPr>
                <w:rFonts w:hint="eastAsia"/>
                <w:color w:val="auto"/>
                <w:szCs w:val="21"/>
              </w:rPr>
              <w:t>固体废物</w:t>
            </w:r>
          </w:p>
        </w:tc>
        <w:tc>
          <w:tcPr>
            <w:tcW w:w="7022" w:type="dxa"/>
            <w:gridSpan w:val="4"/>
            <w:noWrap w:val="0"/>
            <w:vAlign w:val="center"/>
          </w:tcPr>
          <w:p w14:paraId="209F4D4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（1）生活垃圾</w:t>
            </w:r>
          </w:p>
          <w:p w14:paraId="72847A1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厂区及生产车间内设置垃圾桶、垃圾箱分类收集，定期交由园区环卫部门统一处置。</w:t>
            </w:r>
          </w:p>
          <w:p w14:paraId="546BFC5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一般固体废物</w:t>
            </w:r>
          </w:p>
          <w:p w14:paraId="7441723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浓密池加药</w:t>
            </w:r>
            <w:r>
              <w:rPr>
                <w:rFonts w:hint="default" w:ascii="Times New Roman" w:hAnsi="Times New Roman" w:eastAsia="宋体" w:cs="Times New Roman"/>
                <w:color w:val="000000"/>
                <w:kern w:val="0"/>
                <w:sz w:val="24"/>
                <w:szCs w:val="24"/>
                <w:lang w:val="en-US" w:eastAsia="zh-CN" w:bidi="ar"/>
              </w:rPr>
              <w:t>过程产生</w:t>
            </w:r>
            <w:r>
              <w:rPr>
                <w:rFonts w:hint="eastAsia" w:ascii="Times New Roman" w:hAnsi="Times New Roman" w:eastAsia="宋体" w:cs="Times New Roman"/>
                <w:color w:val="000000"/>
                <w:kern w:val="0"/>
                <w:sz w:val="24"/>
                <w:szCs w:val="24"/>
                <w:lang w:val="en-US" w:eastAsia="zh-CN" w:bidi="ar"/>
              </w:rPr>
              <w:t>PAC</w:t>
            </w:r>
            <w:r>
              <w:rPr>
                <w:rFonts w:hint="default" w:ascii="Times New Roman" w:hAnsi="Times New Roman" w:eastAsia="宋体" w:cs="Times New Roman"/>
                <w:color w:val="000000"/>
                <w:kern w:val="0"/>
                <w:sz w:val="24"/>
                <w:szCs w:val="24"/>
                <w:lang w:val="en-US" w:eastAsia="zh-CN" w:bidi="ar"/>
              </w:rPr>
              <w:t>废包装袋收集于一般固废暂存间后</w:t>
            </w:r>
            <w:r>
              <w:rPr>
                <w:rFonts w:hint="eastAsia" w:ascii="Times New Roman" w:hAnsi="Times New Roman" w:cs="Times New Roman"/>
                <w:color w:val="000000"/>
                <w:kern w:val="0"/>
                <w:sz w:val="24"/>
                <w:szCs w:val="24"/>
                <w:lang w:val="en-US" w:eastAsia="zh-CN" w:bidi="ar"/>
              </w:rPr>
              <w:t>外售废品回收站</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废布袋统一收集暂存于一般固废暂存</w:t>
            </w:r>
            <w:r>
              <w:rPr>
                <w:rFonts w:hint="eastAsia" w:ascii="Times New Roman" w:hAnsi="Times New Roman" w:eastAsia="宋体" w:cs="Times New Roman"/>
                <w:color w:val="000000"/>
                <w:kern w:val="0"/>
                <w:sz w:val="24"/>
                <w:szCs w:val="24"/>
                <w:lang w:val="en-US" w:eastAsia="zh-CN" w:bidi="ar"/>
              </w:rPr>
              <w:t>间</w:t>
            </w:r>
            <w:r>
              <w:rPr>
                <w:rFonts w:hint="default" w:ascii="Times New Roman" w:hAnsi="Times New Roman" w:eastAsia="宋体" w:cs="Times New Roman"/>
                <w:color w:val="000000"/>
                <w:kern w:val="0"/>
                <w:sz w:val="24"/>
                <w:szCs w:val="24"/>
                <w:lang w:val="en-US" w:eastAsia="zh-CN" w:bidi="ar"/>
              </w:rPr>
              <w:t>，由</w:t>
            </w:r>
            <w:r>
              <w:rPr>
                <w:rFonts w:hint="eastAsia" w:ascii="Times New Roman" w:hAnsi="Times New Roman" w:cs="Times New Roman"/>
                <w:color w:val="000000"/>
                <w:kern w:val="0"/>
                <w:sz w:val="24"/>
                <w:szCs w:val="24"/>
                <w:lang w:val="en-US" w:eastAsia="zh-CN" w:bidi="ar"/>
              </w:rPr>
              <w:t>袋式除尘器</w:t>
            </w:r>
            <w:r>
              <w:rPr>
                <w:rFonts w:hint="default" w:ascii="Times New Roman" w:hAnsi="Times New Roman" w:eastAsia="宋体" w:cs="Times New Roman"/>
                <w:color w:val="000000"/>
                <w:kern w:val="0"/>
                <w:sz w:val="24"/>
                <w:szCs w:val="24"/>
                <w:lang w:val="en-US" w:eastAsia="zh-CN" w:bidi="ar"/>
              </w:rPr>
              <w:t>生产厂家回收利用</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生产线产生的</w:t>
            </w:r>
            <w:r>
              <w:rPr>
                <w:rFonts w:hint="eastAsia" w:ascii="Times New Roman" w:hAnsi="Times New Roman" w:eastAsia="宋体" w:cs="Times New Roman"/>
                <w:color w:val="000000"/>
                <w:kern w:val="0"/>
                <w:sz w:val="24"/>
                <w:szCs w:val="24"/>
                <w:lang w:val="en-US" w:eastAsia="zh-CN" w:bidi="ar"/>
              </w:rPr>
              <w:t>磁选废渣</w:t>
            </w:r>
            <w:r>
              <w:rPr>
                <w:rFonts w:hint="default" w:ascii="Times New Roman" w:hAnsi="Times New Roman" w:eastAsia="宋体" w:cs="Times New Roman"/>
                <w:color w:val="000000"/>
                <w:kern w:val="0"/>
                <w:sz w:val="24"/>
                <w:szCs w:val="24"/>
                <w:lang w:val="en-US" w:eastAsia="zh-CN" w:bidi="ar"/>
              </w:rPr>
              <w:t>统一收集暂存于一般固废暂存间，作为建筑材料外售</w:t>
            </w:r>
            <w:r>
              <w:rPr>
                <w:rFonts w:hint="eastAsia" w:ascii="Times New Roman" w:hAnsi="Times New Roman" w:eastAsia="宋体" w:cs="Times New Roman"/>
                <w:color w:val="000000"/>
                <w:kern w:val="0"/>
                <w:sz w:val="24"/>
                <w:szCs w:val="24"/>
                <w:lang w:val="en-US" w:eastAsia="zh-CN" w:bidi="ar"/>
              </w:rPr>
              <w:t>，污泥</w:t>
            </w:r>
            <w:r>
              <w:rPr>
                <w:rFonts w:hint="default" w:ascii="Times New Roman" w:hAnsi="Times New Roman" w:eastAsia="宋体" w:cs="Times New Roman"/>
                <w:color w:val="000000"/>
                <w:kern w:val="0"/>
                <w:sz w:val="24"/>
                <w:szCs w:val="24"/>
                <w:lang w:val="en-US" w:eastAsia="zh-CN" w:bidi="ar"/>
              </w:rPr>
              <w:t>统一收集暂存于一般固废暂存</w:t>
            </w:r>
            <w:r>
              <w:rPr>
                <w:rFonts w:hint="eastAsia" w:ascii="Times New Roman" w:hAnsi="Times New Roman" w:eastAsia="宋体" w:cs="Times New Roman"/>
                <w:color w:val="000000"/>
                <w:kern w:val="0"/>
                <w:sz w:val="24"/>
                <w:szCs w:val="24"/>
                <w:lang w:val="en-US" w:eastAsia="zh-CN" w:bidi="ar"/>
              </w:rPr>
              <w:t>间，或</w:t>
            </w:r>
            <w:r>
              <w:rPr>
                <w:rFonts w:hint="default" w:ascii="Times New Roman" w:hAnsi="Times New Roman" w:eastAsia="宋体" w:cs="Times New Roman"/>
                <w:color w:val="000000"/>
                <w:kern w:val="0"/>
                <w:sz w:val="24"/>
                <w:szCs w:val="24"/>
                <w:lang w:val="en-US" w:eastAsia="zh-CN" w:bidi="ar"/>
              </w:rPr>
              <w:t>外售给</w:t>
            </w:r>
            <w:r>
              <w:rPr>
                <w:rFonts w:hint="eastAsia" w:ascii="Times New Roman" w:hAnsi="Times New Roman" w:cs="Times New Roman"/>
                <w:color w:val="000000"/>
                <w:kern w:val="0"/>
                <w:sz w:val="24"/>
                <w:szCs w:val="24"/>
                <w:lang w:val="en-US" w:eastAsia="zh-CN" w:bidi="ar"/>
              </w:rPr>
              <w:t>水泥厂</w:t>
            </w:r>
            <w:r>
              <w:rPr>
                <w:rFonts w:hint="default" w:ascii="Times New Roman" w:hAnsi="Times New Roman" w:eastAsia="宋体" w:cs="Times New Roman"/>
                <w:color w:val="000000"/>
                <w:kern w:val="0"/>
                <w:sz w:val="24"/>
                <w:szCs w:val="24"/>
                <w:lang w:val="en-US" w:eastAsia="zh-CN" w:bidi="ar"/>
              </w:rPr>
              <w:t>或</w:t>
            </w:r>
            <w:r>
              <w:rPr>
                <w:rFonts w:hint="eastAsia" w:ascii="Times New Roman" w:hAnsi="Times New Roman" w:cs="Times New Roman"/>
                <w:color w:val="000000"/>
                <w:kern w:val="0"/>
                <w:sz w:val="24"/>
                <w:szCs w:val="24"/>
                <w:lang w:val="en-US" w:eastAsia="zh-CN" w:bidi="ar"/>
              </w:rPr>
              <w:t>砖厂</w:t>
            </w:r>
            <w:r>
              <w:rPr>
                <w:rFonts w:hint="default" w:ascii="Times New Roman" w:hAnsi="Times New Roman" w:eastAsia="宋体" w:cs="Times New Roman"/>
                <w:color w:val="000000"/>
                <w:kern w:val="0"/>
                <w:sz w:val="24"/>
                <w:szCs w:val="24"/>
                <w:lang w:val="en-US" w:eastAsia="zh-CN" w:bidi="ar"/>
              </w:rPr>
              <w:t>。</w:t>
            </w:r>
          </w:p>
          <w:p w14:paraId="6B91301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（3）危险废物</w:t>
            </w:r>
          </w:p>
          <w:p w14:paraId="5C0D585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废机油</w:t>
            </w:r>
            <w:r>
              <w:rPr>
                <w:rFonts w:hint="eastAsia" w:ascii="Times New Roman" w:hAnsi="Times New Roman" w:cs="Times New Roman"/>
                <w:color w:val="000000"/>
                <w:kern w:val="0"/>
                <w:sz w:val="24"/>
                <w:szCs w:val="24"/>
                <w:lang w:val="en-US" w:eastAsia="zh-CN" w:bidi="ar"/>
              </w:rPr>
              <w:t>、废润滑油</w:t>
            </w:r>
            <w:r>
              <w:rPr>
                <w:rFonts w:hint="eastAsia" w:ascii="Times New Roman" w:hAnsi="Times New Roman" w:eastAsia="宋体" w:cs="Times New Roman"/>
                <w:color w:val="000000"/>
                <w:kern w:val="0"/>
                <w:sz w:val="24"/>
                <w:szCs w:val="24"/>
                <w:lang w:val="en-US" w:eastAsia="zh-CN" w:bidi="ar"/>
              </w:rPr>
              <w:t>收集后暂存在危废</w:t>
            </w:r>
            <w:r>
              <w:rPr>
                <w:rFonts w:hint="eastAsia" w:ascii="Times New Roman" w:hAnsi="Times New Roman" w:cs="Times New Roman"/>
                <w:color w:val="000000"/>
                <w:kern w:val="0"/>
                <w:sz w:val="24"/>
                <w:szCs w:val="24"/>
                <w:lang w:val="en-US" w:eastAsia="zh-CN" w:bidi="ar"/>
              </w:rPr>
              <w:t>贮存点</w:t>
            </w:r>
            <w:r>
              <w:rPr>
                <w:rFonts w:hint="eastAsia" w:ascii="Times New Roman" w:hAnsi="Times New Roman" w:eastAsia="宋体" w:cs="Times New Roman"/>
                <w:color w:val="000000"/>
                <w:kern w:val="0"/>
                <w:sz w:val="24"/>
                <w:szCs w:val="24"/>
                <w:lang w:val="en-US" w:eastAsia="zh-CN" w:bidi="ar"/>
              </w:rPr>
              <w:t>，交有资质的单位处理。</w:t>
            </w:r>
          </w:p>
        </w:tc>
      </w:tr>
      <w:tr w14:paraId="33421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0" w:hRule="atLeast"/>
          <w:jc w:val="center"/>
        </w:trPr>
        <w:tc>
          <w:tcPr>
            <w:tcW w:w="1778" w:type="dxa"/>
            <w:noWrap w:val="0"/>
            <w:vAlign w:val="center"/>
          </w:tcPr>
          <w:p w14:paraId="18394073">
            <w:pPr>
              <w:adjustRightInd w:val="0"/>
              <w:snapToGrid w:val="0"/>
              <w:jc w:val="center"/>
              <w:rPr>
                <w:rFonts w:hint="eastAsia"/>
                <w:color w:val="auto"/>
                <w:szCs w:val="21"/>
              </w:rPr>
            </w:pPr>
            <w:r>
              <w:rPr>
                <w:rFonts w:hint="eastAsia"/>
                <w:color w:val="auto"/>
                <w:szCs w:val="21"/>
              </w:rPr>
              <w:t>土壤及地下水</w:t>
            </w:r>
          </w:p>
          <w:p w14:paraId="4DA011FA">
            <w:pPr>
              <w:adjustRightInd w:val="0"/>
              <w:snapToGrid w:val="0"/>
              <w:jc w:val="center"/>
              <w:rPr>
                <w:rFonts w:hint="eastAsia"/>
                <w:color w:val="auto"/>
                <w:szCs w:val="21"/>
              </w:rPr>
            </w:pPr>
            <w:r>
              <w:rPr>
                <w:rFonts w:hint="eastAsia"/>
                <w:color w:val="auto"/>
                <w:szCs w:val="21"/>
              </w:rPr>
              <w:t>污染防治措施</w:t>
            </w:r>
          </w:p>
        </w:tc>
        <w:tc>
          <w:tcPr>
            <w:tcW w:w="7022" w:type="dxa"/>
            <w:gridSpan w:val="4"/>
            <w:noWrap w:val="0"/>
            <w:vAlign w:val="center"/>
          </w:tcPr>
          <w:p w14:paraId="4C3D99B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对项目区实施分区防渗措施</w:t>
            </w:r>
            <w:r>
              <w:rPr>
                <w:rFonts w:hint="eastAsia" w:ascii="Times New Roman" w:hAnsi="Times New Roman" w:eastAsia="宋体" w:cs="Times New Roman"/>
                <w:color w:val="000000"/>
                <w:kern w:val="0"/>
                <w:sz w:val="24"/>
                <w:szCs w:val="24"/>
                <w:lang w:val="en-US" w:eastAsia="zh-CN" w:bidi="ar"/>
              </w:rPr>
              <w:t>：</w:t>
            </w:r>
          </w:p>
          <w:p w14:paraId="2332519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（1）</w:t>
            </w:r>
            <w:r>
              <w:rPr>
                <w:rFonts w:hint="eastAsia" w:ascii="Times New Roman" w:hAnsi="Times New Roman" w:eastAsia="宋体" w:cs="Times New Roman"/>
                <w:color w:val="000000"/>
                <w:kern w:val="0"/>
                <w:sz w:val="24"/>
                <w:szCs w:val="24"/>
                <w:lang w:val="en-US" w:eastAsia="zh-CN" w:bidi="ar"/>
              </w:rPr>
              <w:t>重点防渗区</w:t>
            </w:r>
          </w:p>
          <w:p w14:paraId="4873A6F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危废间</w:t>
            </w:r>
            <w:r>
              <w:rPr>
                <w:rFonts w:hint="default" w:ascii="Times New Roman" w:hAnsi="Times New Roman" w:eastAsia="宋体" w:cs="Times New Roman"/>
                <w:color w:val="000000"/>
                <w:kern w:val="0"/>
                <w:sz w:val="24"/>
                <w:szCs w:val="24"/>
                <w:lang w:val="en-US" w:eastAsia="zh-CN" w:bidi="ar"/>
              </w:rPr>
              <w:t>相关设施等效黏土防渗层Mb≥6.0m，K≤1×10</w:t>
            </w:r>
            <w:r>
              <w:rPr>
                <w:rFonts w:hint="default" w:ascii="Times New Roman" w:hAnsi="Times New Roman" w:eastAsia="宋体" w:cs="Times New Roman"/>
                <w:color w:val="000000"/>
                <w:kern w:val="0"/>
                <w:sz w:val="24"/>
                <w:szCs w:val="24"/>
                <w:vertAlign w:val="superscript"/>
                <w:lang w:val="en-US" w:eastAsia="zh-CN" w:bidi="ar"/>
              </w:rPr>
              <w:t>-7</w:t>
            </w:r>
            <w:r>
              <w:rPr>
                <w:rFonts w:hint="default" w:ascii="Times New Roman" w:hAnsi="Times New Roman" w:eastAsia="宋体" w:cs="Times New Roman"/>
                <w:color w:val="000000"/>
                <w:kern w:val="0"/>
                <w:sz w:val="24"/>
                <w:szCs w:val="24"/>
                <w:lang w:val="en-US" w:eastAsia="zh-CN" w:bidi="ar"/>
              </w:rPr>
              <w:t>cm/s；或参照GB18598执行</w:t>
            </w:r>
          </w:p>
          <w:p w14:paraId="6706C63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一般防渗区</w:t>
            </w:r>
          </w:p>
          <w:p w14:paraId="2BB33D2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w:t>
            </w:r>
            <w:r>
              <w:rPr>
                <w:rFonts w:hint="eastAsia" w:ascii="Times New Roman" w:hAnsi="Times New Roman" w:eastAsia="宋体" w:cs="Times New Roman"/>
                <w:color w:val="000000"/>
                <w:kern w:val="0"/>
                <w:sz w:val="24"/>
                <w:szCs w:val="24"/>
                <w:lang w:val="en-US" w:eastAsia="zh-CN" w:bidi="ar"/>
              </w:rPr>
              <w:t>厂房、库房、浓密池等</w:t>
            </w:r>
            <w:r>
              <w:rPr>
                <w:rFonts w:hint="default" w:ascii="Times New Roman" w:hAnsi="Times New Roman" w:eastAsia="宋体" w:cs="Times New Roman"/>
                <w:color w:val="000000"/>
                <w:kern w:val="0"/>
                <w:sz w:val="24"/>
                <w:szCs w:val="24"/>
                <w:lang w:val="en-US" w:eastAsia="zh-CN" w:bidi="ar"/>
              </w:rPr>
              <w:t>效黏土防渗层Mb≥1.5m，K≤1×10</w:t>
            </w:r>
            <w:r>
              <w:rPr>
                <w:rFonts w:hint="default" w:ascii="Times New Roman" w:hAnsi="Times New Roman" w:eastAsia="宋体" w:cs="Times New Roman"/>
                <w:color w:val="000000"/>
                <w:kern w:val="0"/>
                <w:sz w:val="24"/>
                <w:szCs w:val="24"/>
                <w:vertAlign w:val="superscript"/>
                <w:lang w:val="en-US" w:eastAsia="zh-CN" w:bidi="ar"/>
              </w:rPr>
              <w:t>-7</w:t>
            </w:r>
            <w:r>
              <w:rPr>
                <w:rFonts w:hint="default" w:ascii="Times New Roman" w:hAnsi="Times New Roman" w:eastAsia="宋体" w:cs="Times New Roman"/>
                <w:color w:val="000000"/>
                <w:kern w:val="0"/>
                <w:sz w:val="24"/>
                <w:szCs w:val="24"/>
                <w:lang w:val="en-US" w:eastAsia="zh-CN" w:bidi="ar"/>
              </w:rPr>
              <w:t>cm/s或参照《生活垃圾填埋场控制标准》（GB16889-</w:t>
            </w:r>
            <w:r>
              <w:rPr>
                <w:rFonts w:hint="eastAsia" w:ascii="Times New Roman" w:hAnsi="Times New Roman" w:eastAsia="宋体" w:cs="Times New Roman"/>
                <w:color w:val="000000"/>
                <w:kern w:val="0"/>
                <w:sz w:val="24"/>
                <w:szCs w:val="24"/>
                <w:lang w:val="en-US" w:eastAsia="zh-CN" w:bidi="ar"/>
              </w:rPr>
              <w:t>2024</w:t>
            </w:r>
            <w:r>
              <w:rPr>
                <w:rFonts w:hint="default" w:ascii="Times New Roman" w:hAnsi="Times New Roman" w:eastAsia="宋体" w:cs="Times New Roman"/>
                <w:color w:val="000000"/>
                <w:kern w:val="0"/>
                <w:sz w:val="24"/>
                <w:szCs w:val="24"/>
                <w:lang w:val="en-US" w:eastAsia="zh-CN" w:bidi="ar"/>
              </w:rPr>
              <w:t>）进行设计施工。</w:t>
            </w:r>
          </w:p>
          <w:p w14:paraId="1FDB183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）简单防渗区</w:t>
            </w:r>
          </w:p>
          <w:p w14:paraId="67D81DA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项目区厂区道路、办公楼等其他区域为简单防渗区。达到一般地面硬化要求。</w:t>
            </w:r>
          </w:p>
        </w:tc>
      </w:tr>
      <w:tr w14:paraId="4E535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1778" w:type="dxa"/>
            <w:noWrap w:val="0"/>
            <w:vAlign w:val="center"/>
          </w:tcPr>
          <w:p w14:paraId="7816145A">
            <w:pPr>
              <w:adjustRightInd w:val="0"/>
              <w:snapToGrid w:val="0"/>
              <w:jc w:val="center"/>
              <w:rPr>
                <w:rFonts w:hint="eastAsia"/>
                <w:color w:val="auto"/>
                <w:szCs w:val="21"/>
              </w:rPr>
            </w:pPr>
            <w:r>
              <w:rPr>
                <w:rFonts w:hint="eastAsia"/>
                <w:color w:val="auto"/>
                <w:szCs w:val="21"/>
              </w:rPr>
              <w:t>生态保护措施</w:t>
            </w:r>
          </w:p>
        </w:tc>
        <w:tc>
          <w:tcPr>
            <w:tcW w:w="7022" w:type="dxa"/>
            <w:gridSpan w:val="4"/>
            <w:noWrap w:val="0"/>
            <w:vAlign w:val="center"/>
          </w:tcPr>
          <w:p w14:paraId="13075B5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r>
      <w:tr w14:paraId="4841B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3" w:hRule="atLeast"/>
          <w:jc w:val="center"/>
        </w:trPr>
        <w:tc>
          <w:tcPr>
            <w:tcW w:w="1778" w:type="dxa"/>
            <w:noWrap w:val="0"/>
            <w:vAlign w:val="center"/>
          </w:tcPr>
          <w:p w14:paraId="544EBF00">
            <w:pPr>
              <w:adjustRightInd w:val="0"/>
              <w:snapToGrid w:val="0"/>
              <w:jc w:val="center"/>
              <w:rPr>
                <w:color w:val="auto"/>
                <w:spacing w:val="-8"/>
                <w:szCs w:val="21"/>
              </w:rPr>
            </w:pPr>
            <w:r>
              <w:rPr>
                <w:rFonts w:hint="eastAsia"/>
                <w:color w:val="auto"/>
                <w:spacing w:val="-8"/>
                <w:szCs w:val="21"/>
              </w:rPr>
              <w:t>环境风险</w:t>
            </w:r>
          </w:p>
          <w:p w14:paraId="023AEF32">
            <w:pPr>
              <w:adjustRightInd w:val="0"/>
              <w:snapToGrid w:val="0"/>
              <w:jc w:val="center"/>
              <w:rPr>
                <w:rFonts w:hint="eastAsia"/>
                <w:color w:val="auto"/>
                <w:spacing w:val="-8"/>
                <w:szCs w:val="21"/>
              </w:rPr>
            </w:pPr>
            <w:r>
              <w:rPr>
                <w:rFonts w:hint="eastAsia"/>
                <w:color w:val="auto"/>
                <w:spacing w:val="-8"/>
                <w:szCs w:val="21"/>
              </w:rPr>
              <w:t>防范措施</w:t>
            </w:r>
          </w:p>
        </w:tc>
        <w:tc>
          <w:tcPr>
            <w:tcW w:w="7022" w:type="dxa"/>
            <w:gridSpan w:val="4"/>
            <w:noWrap w:val="0"/>
            <w:vAlign w:val="center"/>
          </w:tcPr>
          <w:p w14:paraId="61EADD3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（1）定期对危废贮存点专用包装容器等进行检查维护；定期检查危废贮存点地面防渗情况，发现有破损时立即修补。</w:t>
            </w:r>
          </w:p>
          <w:p w14:paraId="5E4E376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（2）危废贮存点设专人负责巡视，查看是否存在安全隐患，发现问题及时解决，同时做好巡视记录</w:t>
            </w:r>
            <w:r>
              <w:rPr>
                <w:rFonts w:hint="eastAsia" w:ascii="Times New Roman" w:hAnsi="Times New Roman" w:eastAsia="宋体" w:cs="Times New Roman"/>
                <w:color w:val="000000"/>
                <w:kern w:val="0"/>
                <w:sz w:val="24"/>
                <w:szCs w:val="24"/>
                <w:lang w:val="en-US" w:eastAsia="zh-CN" w:bidi="ar"/>
              </w:rPr>
              <w:t>。</w:t>
            </w:r>
          </w:p>
          <w:p w14:paraId="438D873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）不断改进和提高管理水平，严防操作事故的发生。加强员工的风险意识和环境意识教育，增强环境意识。</w:t>
            </w:r>
          </w:p>
        </w:tc>
      </w:tr>
      <w:tr w14:paraId="371C9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0" w:hRule="atLeast"/>
          <w:jc w:val="center"/>
        </w:trPr>
        <w:tc>
          <w:tcPr>
            <w:tcW w:w="1778" w:type="dxa"/>
            <w:noWrap w:val="0"/>
            <w:vAlign w:val="center"/>
          </w:tcPr>
          <w:p w14:paraId="72BF6110">
            <w:pPr>
              <w:adjustRightInd w:val="0"/>
              <w:snapToGrid w:val="0"/>
              <w:jc w:val="center"/>
              <w:rPr>
                <w:color w:val="auto"/>
                <w:spacing w:val="-8"/>
                <w:szCs w:val="21"/>
              </w:rPr>
            </w:pPr>
            <w:r>
              <w:rPr>
                <w:rFonts w:hint="eastAsia"/>
                <w:color w:val="auto"/>
                <w:spacing w:val="-8"/>
                <w:szCs w:val="21"/>
              </w:rPr>
              <w:t>其他环境</w:t>
            </w:r>
          </w:p>
          <w:p w14:paraId="2574F2B0">
            <w:pPr>
              <w:adjustRightInd w:val="0"/>
              <w:snapToGrid w:val="0"/>
              <w:jc w:val="center"/>
              <w:rPr>
                <w:rFonts w:hint="eastAsia"/>
                <w:color w:val="auto"/>
                <w:spacing w:val="-8"/>
                <w:szCs w:val="21"/>
              </w:rPr>
            </w:pPr>
            <w:r>
              <w:rPr>
                <w:rFonts w:hint="eastAsia"/>
                <w:color w:val="auto"/>
                <w:spacing w:val="-8"/>
                <w:szCs w:val="21"/>
              </w:rPr>
              <w:t>管理要求</w:t>
            </w:r>
          </w:p>
        </w:tc>
        <w:tc>
          <w:tcPr>
            <w:tcW w:w="7022" w:type="dxa"/>
            <w:gridSpan w:val="4"/>
            <w:noWrap w:val="0"/>
            <w:vAlign w:val="center"/>
          </w:tcPr>
          <w:p w14:paraId="7FF11CE6">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 xml:space="preserve">1 </w:t>
            </w:r>
            <w:r>
              <w:rPr>
                <w:rFonts w:hint="default" w:ascii="Times New Roman" w:hAnsi="Times New Roman" w:eastAsia="宋体" w:cs="Times New Roman"/>
                <w:b/>
                <w:bCs/>
                <w:color w:val="auto"/>
                <w:sz w:val="24"/>
                <w:szCs w:val="24"/>
                <w:lang w:val="en-US" w:eastAsia="zh-CN"/>
              </w:rPr>
              <w:t>排污许可</w:t>
            </w:r>
          </w:p>
          <w:p w14:paraId="061FE30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根据《固定污染源排污许可分类管理名录（2019年版）》，本项目属于“二十五、非金属矿物制品业 30”中“</w:t>
            </w:r>
            <w:r>
              <w:rPr>
                <w:rFonts w:hint="eastAsia" w:ascii="Times New Roman" w:hAnsi="Times New Roman" w:eastAsia="宋体" w:cs="Times New Roman"/>
                <w:color w:val="000000"/>
                <w:kern w:val="0"/>
                <w:sz w:val="24"/>
                <w:szCs w:val="24"/>
                <w:lang w:val="en-US" w:eastAsia="zh-CN" w:bidi="ar"/>
              </w:rPr>
              <w:t>70</w:t>
            </w:r>
            <w:r>
              <w:rPr>
                <w:rFonts w:hint="default" w:ascii="Times New Roman" w:hAnsi="Times New Roman" w:eastAsia="宋体" w:cs="Times New Roman"/>
                <w:color w:val="000000"/>
                <w:kern w:val="0"/>
                <w:sz w:val="24"/>
                <w:szCs w:val="24"/>
                <w:lang w:val="en-US" w:eastAsia="zh-CN" w:bidi="ar"/>
              </w:rPr>
              <w:t xml:space="preserve"> 石墨及其他非金属矿物制品制造 309”中“其他非金属矿物制品制造 3099（除重点管理、简化管理以外的）”，排污许可管理类别为</w:t>
            </w:r>
            <w:r>
              <w:rPr>
                <w:rFonts w:hint="eastAsia" w:ascii="Times New Roman" w:hAnsi="Times New Roman" w:eastAsia="宋体" w:cs="Times New Roman"/>
                <w:color w:val="000000"/>
                <w:kern w:val="0"/>
                <w:sz w:val="24"/>
                <w:szCs w:val="24"/>
                <w:lang w:val="en-US" w:eastAsia="zh-CN" w:bidi="ar"/>
              </w:rPr>
              <w:t>登记</w:t>
            </w:r>
            <w:r>
              <w:rPr>
                <w:rFonts w:hint="default" w:ascii="Times New Roman" w:hAnsi="Times New Roman" w:eastAsia="宋体" w:cs="Times New Roman"/>
                <w:color w:val="000000"/>
                <w:kern w:val="0"/>
                <w:sz w:val="24"/>
                <w:szCs w:val="24"/>
                <w:lang w:val="en-US" w:eastAsia="zh-CN" w:bidi="ar"/>
              </w:rPr>
              <w:t>管理。</w:t>
            </w:r>
          </w:p>
          <w:p w14:paraId="792A115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本项目</w:t>
            </w:r>
            <w:r>
              <w:rPr>
                <w:rFonts w:hint="default" w:ascii="Times New Roman" w:hAnsi="Times New Roman" w:eastAsia="宋体" w:cs="Times New Roman"/>
                <w:color w:val="000000"/>
                <w:kern w:val="0"/>
                <w:sz w:val="24"/>
                <w:szCs w:val="24"/>
                <w:lang w:val="en-US" w:eastAsia="zh-CN" w:bidi="ar"/>
              </w:rPr>
              <w:t>不需要申请取得排污许可证，</w:t>
            </w:r>
            <w:r>
              <w:rPr>
                <w:rFonts w:hint="eastAsia" w:ascii="Times New Roman" w:hAnsi="Times New Roman" w:eastAsia="宋体" w:cs="Times New Roman"/>
                <w:color w:val="000000"/>
                <w:kern w:val="0"/>
                <w:sz w:val="24"/>
                <w:szCs w:val="24"/>
                <w:lang w:val="en-US" w:eastAsia="zh-CN" w:bidi="ar"/>
              </w:rPr>
              <w:t>运营前</w:t>
            </w:r>
            <w:r>
              <w:rPr>
                <w:rFonts w:hint="default" w:ascii="Times New Roman" w:hAnsi="Times New Roman" w:eastAsia="宋体" w:cs="Times New Roman"/>
                <w:color w:val="000000"/>
                <w:kern w:val="0"/>
                <w:sz w:val="24"/>
                <w:szCs w:val="24"/>
                <w:lang w:val="en-US" w:eastAsia="zh-CN" w:bidi="ar"/>
              </w:rPr>
              <w:t>应当在全国排污许可证管理信息平台填报排污登记表，登记基本信息、污染物排放去向、执行的污染物排放标准以及采取的污染防治措施等信息</w:t>
            </w:r>
            <w:r>
              <w:rPr>
                <w:rFonts w:hint="eastAsia" w:ascii="Times New Roman" w:hAnsi="Times New Roman" w:eastAsia="宋体" w:cs="Times New Roman"/>
                <w:color w:val="000000"/>
                <w:kern w:val="0"/>
                <w:sz w:val="24"/>
                <w:szCs w:val="24"/>
                <w:lang w:val="en-US" w:eastAsia="zh-CN" w:bidi="ar"/>
              </w:rPr>
              <w:t>，取得</w:t>
            </w:r>
            <w:r>
              <w:rPr>
                <w:rFonts w:hint="default" w:ascii="Times New Roman" w:hAnsi="Times New Roman" w:eastAsia="宋体" w:cs="Times New Roman"/>
                <w:color w:val="000000"/>
                <w:kern w:val="0"/>
                <w:sz w:val="24"/>
                <w:szCs w:val="24"/>
                <w:lang w:val="en-US" w:eastAsia="zh-CN" w:bidi="ar"/>
              </w:rPr>
              <w:t>固定污染源排污登记回执</w:t>
            </w:r>
            <w:r>
              <w:rPr>
                <w:rFonts w:hint="eastAsia" w:ascii="Times New Roman" w:hAnsi="Times New Roman" w:eastAsia="宋体" w:cs="Times New Roman"/>
                <w:color w:val="000000"/>
                <w:kern w:val="0"/>
                <w:sz w:val="24"/>
                <w:szCs w:val="24"/>
                <w:lang w:val="en-US" w:eastAsia="zh-CN" w:bidi="ar"/>
              </w:rPr>
              <w:t>。</w:t>
            </w:r>
          </w:p>
        </w:tc>
      </w:tr>
    </w:tbl>
    <w:p w14:paraId="3E2B6AD0">
      <w:pPr>
        <w:pStyle w:val="18"/>
        <w:jc w:val="both"/>
        <w:outlineLvl w:val="0"/>
        <w:rPr>
          <w:rFonts w:ascii="黑体" w:hAnsi="黑体" w:eastAsia="黑体"/>
          <w:snapToGrid w:val="0"/>
          <w:color w:val="auto"/>
          <w:sz w:val="30"/>
          <w:szCs w:val="30"/>
        </w:rPr>
      </w:pPr>
      <w:r>
        <w:rPr>
          <w:snapToGrid w:val="0"/>
          <w:color w:val="auto"/>
        </w:rPr>
        <w:br w:type="page"/>
      </w:r>
      <w:r>
        <w:rPr>
          <w:rFonts w:hint="eastAsia" w:ascii="黑体" w:hAnsi="黑体" w:eastAsia="黑体"/>
          <w:snapToGrid w:val="0"/>
          <w:color w:val="auto"/>
          <w:sz w:val="30"/>
          <w:szCs w:val="30"/>
        </w:rPr>
        <w:t>结论</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FE08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41" w:hRule="atLeast"/>
          <w:jc w:val="center"/>
        </w:trPr>
        <w:tc>
          <w:tcPr>
            <w:tcW w:w="8865" w:type="dxa"/>
            <w:noWrap w:val="0"/>
            <w:vAlign w:val="top"/>
          </w:tcPr>
          <w:p w14:paraId="5FFC843E">
            <w:pPr>
              <w:spacing w:line="360" w:lineRule="auto"/>
              <w:ind w:firstLine="480"/>
              <w:jc w:val="both"/>
              <w:rPr>
                <w:rFonts w:hint="eastAsia"/>
              </w:rPr>
            </w:pPr>
            <w:r>
              <w:rPr>
                <w:rFonts w:hint="eastAsia"/>
                <w:color w:val="auto"/>
                <w:sz w:val="24"/>
                <w:szCs w:val="24"/>
              </w:rPr>
              <w:t>综上所述</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新疆棘弘科技有限公司石英砂深加工项目</w:t>
            </w:r>
            <w:r>
              <w:rPr>
                <w:rFonts w:hint="eastAsia" w:ascii="宋体" w:hAnsi="宋体" w:eastAsia="宋体" w:cs="宋体"/>
                <w:color w:val="auto"/>
                <w:sz w:val="24"/>
                <w:szCs w:val="24"/>
              </w:rPr>
              <w:t>符合国家</w:t>
            </w:r>
            <w:r>
              <w:rPr>
                <w:rFonts w:hint="eastAsia" w:ascii="宋体" w:hAnsi="宋体" w:eastAsia="宋体" w:cs="宋体"/>
                <w:color w:val="auto"/>
                <w:sz w:val="24"/>
                <w:szCs w:val="24"/>
                <w:lang w:eastAsia="zh-CN"/>
              </w:rPr>
              <w:t>及地方</w:t>
            </w:r>
            <w:r>
              <w:rPr>
                <w:rFonts w:hint="eastAsia" w:ascii="宋体" w:hAnsi="宋体" w:eastAsia="宋体" w:cs="宋体"/>
                <w:color w:val="auto"/>
                <w:sz w:val="24"/>
                <w:szCs w:val="24"/>
              </w:rPr>
              <w:t>产业政策，项目选址符合相关要求；本项目所产生的废气、噪声通过采取有效的环保措施后，对周边环境的影响也能控制在可接受程度。因此，建设单位在严格执行环保“三同时”制度，严格落实本报告提出的各项环保措施后，项目建设对环境的影响是可接受的。因此，从环保的角度分析，本项目的建设是可行的。</w:t>
            </w:r>
          </w:p>
        </w:tc>
      </w:tr>
    </w:tbl>
    <w:p w14:paraId="1B8DEC21">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default"/>
          <w:b/>
          <w:bCs/>
          <w:color w:val="auto"/>
          <w:sz w:val="28"/>
          <w:szCs w:val="28"/>
          <w:lang w:val="en-US" w:eastAsia="zh-CN"/>
        </w:rPr>
      </w:pPr>
      <w:r>
        <w:rPr>
          <w:rFonts w:hint="default" w:ascii="Times New Roman" w:hAnsi="Times New Roman" w:cs="Times New Roman"/>
          <w:b/>
          <w:bCs/>
          <w:sz w:val="21"/>
        </w:rPr>
        <mc:AlternateContent>
          <mc:Choice Requires="wps">
            <w:drawing>
              <wp:anchor distT="0" distB="0" distL="114300" distR="114300" simplePos="0" relativeHeight="251667456" behindDoc="0" locked="0" layoutInCell="1" allowOverlap="1">
                <wp:simplePos x="0" y="0"/>
                <wp:positionH relativeFrom="column">
                  <wp:posOffset>923925</wp:posOffset>
                </wp:positionH>
                <wp:positionV relativeFrom="paragraph">
                  <wp:posOffset>7575550</wp:posOffset>
                </wp:positionV>
                <wp:extent cx="438150" cy="180975"/>
                <wp:effectExtent l="9525" t="9525" r="9525" b="12700"/>
                <wp:wrapNone/>
                <wp:docPr id="25" name="矩形 25"/>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2.75pt;margin-top:596.5pt;height:14.25pt;width:34.5pt;z-index:251667456;v-text-anchor:middle;mso-width-relative:page;mso-height-relative:page;" fillcolor="#F79646 [3209]" filled="t" stroked="t" coordsize="21600,21600" o:gfxdata="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aKGLtoAAAANAQAADwAA&#10;AAAAAAABACAAAAAiAAAAZHJzL2Rvd25yZXYueG1sUEsBAhQAFAAAAAgAh07iQJu33z2GAgAALQUA&#10;AA4AAAAAAAAAAQAgAAAAKQEAAGRycy9lMm9Eb2MueG1sUEsFBgAAAAAGAAYAWQEAACEGA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6432" behindDoc="0" locked="0" layoutInCell="1" allowOverlap="1">
                <wp:simplePos x="0" y="0"/>
                <wp:positionH relativeFrom="column">
                  <wp:posOffset>771525</wp:posOffset>
                </wp:positionH>
                <wp:positionV relativeFrom="paragraph">
                  <wp:posOffset>7423150</wp:posOffset>
                </wp:positionV>
                <wp:extent cx="438150" cy="180975"/>
                <wp:effectExtent l="9525" t="9525" r="9525" b="12700"/>
                <wp:wrapNone/>
                <wp:docPr id="24" name="矩形 24"/>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75pt;margin-top:584.5pt;height:14.25pt;width:34.5pt;z-index:251666432;v-text-anchor:middle;mso-width-relative:page;mso-height-relative:page;" fillcolor="#F79646 [3209]" filled="t" stroked="t" coordsize="21600,21600" o:gfxdata="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MQHonjZAAAADQEAAA8AAAAA&#10;AAAAAQAgAAAAIgAAAGRycy9kb3ducmV2LnhtbFBLAQIUABQAAAAIAIdO4kD18ZgEhQIAAC0FAAAO&#10;AAAAAAAAAAEAIAAAACgBAABkcnMvZTJvRG9jLnhtbFBLBQYAAAAABgAGAFkBAAAfBg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5408" behindDoc="0" locked="0" layoutInCell="1" allowOverlap="1">
                <wp:simplePos x="0" y="0"/>
                <wp:positionH relativeFrom="column">
                  <wp:posOffset>619125</wp:posOffset>
                </wp:positionH>
                <wp:positionV relativeFrom="paragraph">
                  <wp:posOffset>7270750</wp:posOffset>
                </wp:positionV>
                <wp:extent cx="438150" cy="180975"/>
                <wp:effectExtent l="9525" t="9525" r="9525" b="12700"/>
                <wp:wrapNone/>
                <wp:docPr id="20" name="矩形 20"/>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75pt;margin-top:572.5pt;height:14.25pt;width:34.5pt;z-index:251665408;v-text-anchor:middle;mso-width-relative:page;mso-height-relative:page;" fillcolor="#F79646 [3209]" filled="t" stroked="t" coordsize="21600,21600" o:gfxdata="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s4EFbaAAAADAEAAA8AAAAA&#10;AAAAAQAgAAAAIgAAAGRycy9kb3ducmV2LnhtbFBLAQIUABQAAAAIAIdO4kBN6IXhhAIAAC0FAAAO&#10;AAAAAAAAAAEAIAAAACkBAABkcnMvZTJvRG9jLnhtbFBLBQYAAAAABgAGAFkBAAAfBg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4384" behindDoc="0" locked="0" layoutInCell="1" allowOverlap="1">
                <wp:simplePos x="0" y="0"/>
                <wp:positionH relativeFrom="column">
                  <wp:posOffset>466725</wp:posOffset>
                </wp:positionH>
                <wp:positionV relativeFrom="paragraph">
                  <wp:posOffset>7118350</wp:posOffset>
                </wp:positionV>
                <wp:extent cx="438150" cy="180975"/>
                <wp:effectExtent l="9525" t="9525" r="9525" b="12700"/>
                <wp:wrapNone/>
                <wp:docPr id="17" name="矩形 17"/>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75pt;margin-top:560.5pt;height:14.25pt;width:34.5pt;z-index:251664384;v-text-anchor:middle;mso-width-relative:page;mso-height-relative:page;" fillcolor="#F79646 [3209]" filled="t" stroked="t" coordsize="21600,21600" o:gfxdata="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UOmIm2wAAAAwBAAAPAAAA&#10;AAAAAAEAIAAAACIAAABkcnMvZG93bnJldi54bWxQSwECFAAUAAAACACHTuJALSB1aoQCAAAtBQAA&#10;DgAAAAAAAAABACAAAAAqAQAAZHJzL2Uyb0RvYy54bWxQSwUGAAAAAAYABgBZAQAAIAY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3360" behindDoc="0" locked="0" layoutInCell="1" allowOverlap="1">
                <wp:simplePos x="0" y="0"/>
                <wp:positionH relativeFrom="column">
                  <wp:posOffset>314325</wp:posOffset>
                </wp:positionH>
                <wp:positionV relativeFrom="paragraph">
                  <wp:posOffset>6965950</wp:posOffset>
                </wp:positionV>
                <wp:extent cx="438150" cy="180975"/>
                <wp:effectExtent l="9525" t="9525" r="9525" b="12700"/>
                <wp:wrapNone/>
                <wp:docPr id="16" name="矩形 16"/>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75pt;margin-top:548.5pt;height:14.25pt;width:34.5pt;z-index:251663360;v-text-anchor:middle;mso-width-relative:page;mso-height-relative:page;" fillcolor="#F79646 [3209]" filled="t" stroked="t" coordsize="21600,21600" o:gfxdata="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xY9gdsAAAAMAQAADwAA&#10;AAAAAAABACAAAAAiAAAAZHJzL2Rvd25yZXYueG1sUEsBAhQAFAAAAAgAh07iQENmMlOFAgAALQUA&#10;AA4AAAAAAAAAAQAgAAAAKgEAAGRycy9lMm9Eb2MueG1sUEsFBgAAAAAGAAYAWQEAACEGA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2336" behindDoc="0" locked="0" layoutInCell="1" allowOverlap="1">
                <wp:simplePos x="0" y="0"/>
                <wp:positionH relativeFrom="column">
                  <wp:posOffset>161925</wp:posOffset>
                </wp:positionH>
                <wp:positionV relativeFrom="paragraph">
                  <wp:posOffset>6813550</wp:posOffset>
                </wp:positionV>
                <wp:extent cx="438150" cy="180975"/>
                <wp:effectExtent l="9525" t="9525" r="9525" b="12700"/>
                <wp:wrapNone/>
                <wp:docPr id="14" name="矩形 14"/>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75pt;margin-top:536.5pt;height:14.25pt;width:34.5pt;z-index:251662336;v-text-anchor:middle;mso-width-relative:page;mso-height-relative:page;" fillcolor="#F79646 [3209]" filled="t" stroked="t" coordsize="21600,21600" o:gfxdata="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JPyQN2gAAAAsBAAAPAAAA&#10;AAAAAAEAIAAAACIAAABkcnMvZG93bnJldi54bWxQSwECFAAUAAAACACHTuJAn+q8IYUCAAAtBQAA&#10;DgAAAAAAAAABACAAAAApAQAAZHJzL2Uyb0RvYy54bWxQSwUGAAAAAAYABgBZAQAAIAYAAAAA&#10;">
                <v:fill type="pattern" on="t" color2="#FFFFFF [3212]" o:title="宽上对角线" focussize="0,0" r:id="rId20"/>
                <v:stroke weight="1.5pt" color="#F79646 [3209]" joinstyle="round" dashstyle="3 1"/>
                <v:imagedata o:title=""/>
                <o:lock v:ext="edit" aspectratio="f"/>
              </v:rect>
            </w:pict>
          </mc:Fallback>
        </mc:AlternateContent>
      </w:r>
      <w:r>
        <w:rPr>
          <w:rFonts w:hint="default" w:ascii="Times New Roman" w:hAnsi="Times New Roman" w:cs="Times New Roman"/>
          <w:b/>
          <w:bCs/>
          <w:sz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6661150</wp:posOffset>
                </wp:positionV>
                <wp:extent cx="438150" cy="180975"/>
                <wp:effectExtent l="9525" t="9525" r="9525" b="12700"/>
                <wp:wrapNone/>
                <wp:docPr id="18" name="矩形 18"/>
                <wp:cNvGraphicFramePr/>
                <a:graphic xmlns:a="http://schemas.openxmlformats.org/drawingml/2006/main">
                  <a:graphicData uri="http://schemas.microsoft.com/office/word/2010/wordprocessingShape">
                    <wps:wsp>
                      <wps:cNvSpPr/>
                      <wps:spPr>
                        <a:xfrm>
                          <a:off x="0" y="0"/>
                          <a:ext cx="438150" cy="180975"/>
                        </a:xfrm>
                        <a:prstGeom prst="rect">
                          <a:avLst/>
                        </a:prstGeom>
                        <a:pattFill prst="wdUpDiag">
                          <a:fgClr>
                            <a:schemeClr val="accent6"/>
                          </a:fgClr>
                          <a:bgClr>
                            <a:schemeClr val="bg1"/>
                          </a:bgClr>
                        </a:pattFill>
                        <a:ln w="19050" cmpd="sng">
                          <a:solidFill>
                            <a:schemeClr val="accent6"/>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5pt;margin-top:524.5pt;height:14.25pt;width:34.5pt;z-index:251661312;v-text-anchor:middle;mso-width-relative:page;mso-height-relative:page;" fillcolor="#F79646 [3209]" filled="t" stroked="t" coordsize="21600,21600" o:gfxdata="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woBqPXAAAACgEAAA8AAAAAAAAA&#10;AQAgAAAAIgAAAGRycy9kb3ducmV2LnhtbFBLAQIUABQAAAAIAIdO4kAWxurVhAIAAC0FAAAOAAAA&#10;AAAAAAEAIAAAACYBAABkcnMvZTJvRG9jLnhtbFBLBQYAAAAABgAGAFkBAAAcBgAAAAA=&#10;">
                <v:fill type="pattern" on="t" color2="#FFFFFF [3212]" o:title="宽上对角线" focussize="0,0" r:id="rId20"/>
                <v:stroke weight="1.5pt" color="#F79646 [3209]" joinstyle="round" dashstyle="3 1"/>
                <v:imagedata o:title=""/>
                <o:lock v:ext="edit" aspectratio="f"/>
              </v:rect>
            </w:pict>
          </mc:Fallback>
        </mc:AlternateContent>
      </w:r>
    </w:p>
    <w:sectPr>
      <w:footerReference r:id="rId4"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19F" w:csb1="00000000"/>
  </w:font>
  <w:font w:name="_x000B__x000C_">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9AA55">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13FCF">
                          <w:pPr>
                            <w:pStyle w:val="1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113FCF">
                    <w:pPr>
                      <w:pStyle w:val="1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3BBF4">
    <w:pPr>
      <w:pStyle w:val="14"/>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90E85">
                          <w:pPr>
                            <w:pStyle w:val="14"/>
                          </w:pPr>
                          <w:r>
                            <w:t xml:space="preserve">— </w:t>
                          </w:r>
                          <w:r>
                            <w:fldChar w:fldCharType="begin"/>
                          </w:r>
                          <w:r>
                            <w:instrText xml:space="preserve"> PAGE  \* MERGEFORMAT </w:instrText>
                          </w:r>
                          <w:r>
                            <w:fldChar w:fldCharType="separate"/>
                          </w:r>
                          <w:r>
                            <w:t>57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A090E85">
                    <w:pPr>
                      <w:pStyle w:val="14"/>
                    </w:pPr>
                    <w:r>
                      <w:t xml:space="preserve">— </w:t>
                    </w:r>
                    <w:r>
                      <w:fldChar w:fldCharType="begin"/>
                    </w:r>
                    <w:r>
                      <w:instrText xml:space="preserve"> PAGE  \* MERGEFORMAT </w:instrText>
                    </w:r>
                    <w:r>
                      <w:fldChar w:fldCharType="separate"/>
                    </w:r>
                    <w:r>
                      <w:t>57</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CA990"/>
    <w:multiLevelType w:val="singleLevel"/>
    <w:tmpl w:val="A52CA990"/>
    <w:lvl w:ilvl="0" w:tentative="0">
      <w:start w:val="1"/>
      <w:numFmt w:val="decimal"/>
      <w:pStyle w:val="60"/>
      <w:lvlText w:val="表1-%1"/>
      <w:lvlJc w:val="center"/>
      <w:pPr>
        <w:tabs>
          <w:tab w:val="left" w:pos="0"/>
        </w:tabs>
        <w:ind w:left="0" w:firstLine="0"/>
      </w:pPr>
      <w:rPr>
        <w:rFonts w:hint="default" w:eastAsia="黑体"/>
        <w:sz w:val="21"/>
      </w:rPr>
    </w:lvl>
  </w:abstractNum>
  <w:abstractNum w:abstractNumId="1">
    <w:nsid w:val="1F756B98"/>
    <w:multiLevelType w:val="singleLevel"/>
    <w:tmpl w:val="1F756B98"/>
    <w:lvl w:ilvl="0" w:tentative="0">
      <w:start w:val="1"/>
      <w:numFmt w:val="decimal"/>
      <w:pStyle w:val="59"/>
      <w:lvlText w:val="表7-%1"/>
      <w:lvlJc w:val="center"/>
      <w:pPr>
        <w:tabs>
          <w:tab w:val="left" w:pos="0"/>
        </w:tabs>
        <w:ind w:left="0" w:firstLine="0"/>
      </w:pPr>
      <w:rPr>
        <w:rFonts w:hint="default" w:eastAsia="黑体"/>
        <w:sz w:val="21"/>
      </w:rPr>
    </w:lvl>
  </w:abstractNum>
  <w:abstractNum w:abstractNumId="2">
    <w:nsid w:val="2B78DD3D"/>
    <w:multiLevelType w:val="singleLevel"/>
    <w:tmpl w:val="2B78DD3D"/>
    <w:lvl w:ilvl="0" w:tentative="0">
      <w:start w:val="1"/>
      <w:numFmt w:val="decimal"/>
      <w:pStyle w:val="58"/>
      <w:lvlText w:val="表4-%1"/>
      <w:lvlJc w:val="center"/>
      <w:pPr>
        <w:tabs>
          <w:tab w:val="left" w:pos="0"/>
        </w:tabs>
        <w:ind w:left="0" w:firstLine="0"/>
      </w:pPr>
      <w:rPr>
        <w:rFonts w:hint="default" w:eastAsia="黑体"/>
        <w:sz w:val="21"/>
      </w:rPr>
    </w:lvl>
  </w:abstractNum>
  <w:abstractNum w:abstractNumId="3">
    <w:nsid w:val="4A079EA1"/>
    <w:multiLevelType w:val="multilevel"/>
    <w:tmpl w:val="4A079EA1"/>
    <w:lvl w:ilvl="0" w:tentative="0">
      <w:start w:val="1"/>
      <w:numFmt w:val="chineseCounting"/>
      <w:suff w:val="nothing"/>
      <w:lvlText w:val="%1、"/>
      <w:lvlJc w:val="left"/>
      <w:pPr>
        <w:tabs>
          <w:tab w:val="left" w:pos="0"/>
        </w:tabs>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pStyle w:val="4"/>
      <w:isLgl/>
      <w:lvlText w:val="%1.%2.%3."/>
      <w:lvlJc w:val="left"/>
      <w:pPr>
        <w:ind w:left="0" w:firstLine="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4">
    <w:nsid w:val="7AF2F897"/>
    <w:multiLevelType w:val="singleLevel"/>
    <w:tmpl w:val="7AF2F897"/>
    <w:lvl w:ilvl="0" w:tentative="0">
      <w:start w:val="2"/>
      <w:numFmt w:val="decimal"/>
      <w:suff w:val="nothing"/>
      <w:lvlText w:val="%1、"/>
      <w:lvlJc w:val="left"/>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43A8E"/>
    <w:rsid w:val="0004443A"/>
    <w:rsid w:val="00046254"/>
    <w:rsid w:val="00051389"/>
    <w:rsid w:val="00061B1F"/>
    <w:rsid w:val="000733C4"/>
    <w:rsid w:val="00074783"/>
    <w:rsid w:val="0008070B"/>
    <w:rsid w:val="000810AC"/>
    <w:rsid w:val="00081A02"/>
    <w:rsid w:val="00082231"/>
    <w:rsid w:val="00092D38"/>
    <w:rsid w:val="0009377B"/>
    <w:rsid w:val="000A20C9"/>
    <w:rsid w:val="000A3417"/>
    <w:rsid w:val="000B058F"/>
    <w:rsid w:val="000B4467"/>
    <w:rsid w:val="000B4DB9"/>
    <w:rsid w:val="000C09AC"/>
    <w:rsid w:val="000C767F"/>
    <w:rsid w:val="000D5A44"/>
    <w:rsid w:val="000E0879"/>
    <w:rsid w:val="000E2042"/>
    <w:rsid w:val="000E3ED2"/>
    <w:rsid w:val="000F298C"/>
    <w:rsid w:val="000F4A6A"/>
    <w:rsid w:val="000F4D16"/>
    <w:rsid w:val="00100E38"/>
    <w:rsid w:val="00123E5E"/>
    <w:rsid w:val="00131F42"/>
    <w:rsid w:val="0013255D"/>
    <w:rsid w:val="001357F1"/>
    <w:rsid w:val="00140FA8"/>
    <w:rsid w:val="00142FEB"/>
    <w:rsid w:val="00143A2D"/>
    <w:rsid w:val="00145A41"/>
    <w:rsid w:val="00147886"/>
    <w:rsid w:val="00151675"/>
    <w:rsid w:val="00154FFE"/>
    <w:rsid w:val="00157435"/>
    <w:rsid w:val="00165E8C"/>
    <w:rsid w:val="00172724"/>
    <w:rsid w:val="0017504D"/>
    <w:rsid w:val="0017671A"/>
    <w:rsid w:val="00176F29"/>
    <w:rsid w:val="00177422"/>
    <w:rsid w:val="00181FB4"/>
    <w:rsid w:val="00183102"/>
    <w:rsid w:val="00184590"/>
    <w:rsid w:val="001870D1"/>
    <w:rsid w:val="0018781E"/>
    <w:rsid w:val="0019262D"/>
    <w:rsid w:val="00193E37"/>
    <w:rsid w:val="001A1B35"/>
    <w:rsid w:val="001A48A2"/>
    <w:rsid w:val="001A6F61"/>
    <w:rsid w:val="001B72B8"/>
    <w:rsid w:val="001C1D8D"/>
    <w:rsid w:val="001C276D"/>
    <w:rsid w:val="001C69B3"/>
    <w:rsid w:val="001D071D"/>
    <w:rsid w:val="001D5595"/>
    <w:rsid w:val="001D7874"/>
    <w:rsid w:val="001D7F22"/>
    <w:rsid w:val="001F0F17"/>
    <w:rsid w:val="001F3347"/>
    <w:rsid w:val="001F69E4"/>
    <w:rsid w:val="001F7774"/>
    <w:rsid w:val="0020522A"/>
    <w:rsid w:val="002125B4"/>
    <w:rsid w:val="002155B8"/>
    <w:rsid w:val="002204F2"/>
    <w:rsid w:val="00224839"/>
    <w:rsid w:val="002249B2"/>
    <w:rsid w:val="0022551E"/>
    <w:rsid w:val="00226574"/>
    <w:rsid w:val="002278EC"/>
    <w:rsid w:val="0023280E"/>
    <w:rsid w:val="00236E54"/>
    <w:rsid w:val="002377D1"/>
    <w:rsid w:val="002506BC"/>
    <w:rsid w:val="00254345"/>
    <w:rsid w:val="00264557"/>
    <w:rsid w:val="002805AB"/>
    <w:rsid w:val="00284204"/>
    <w:rsid w:val="00287DFF"/>
    <w:rsid w:val="00291773"/>
    <w:rsid w:val="00292D2D"/>
    <w:rsid w:val="002A168C"/>
    <w:rsid w:val="002A3DC7"/>
    <w:rsid w:val="002B1A2A"/>
    <w:rsid w:val="002B28C1"/>
    <w:rsid w:val="002B49E2"/>
    <w:rsid w:val="002B7B00"/>
    <w:rsid w:val="002B7C44"/>
    <w:rsid w:val="002C1682"/>
    <w:rsid w:val="002C2B17"/>
    <w:rsid w:val="002D3DD0"/>
    <w:rsid w:val="002E1F3A"/>
    <w:rsid w:val="002E298A"/>
    <w:rsid w:val="00301978"/>
    <w:rsid w:val="0030332C"/>
    <w:rsid w:val="003051C2"/>
    <w:rsid w:val="003062B3"/>
    <w:rsid w:val="00312296"/>
    <w:rsid w:val="00314F0E"/>
    <w:rsid w:val="00321D8E"/>
    <w:rsid w:val="003245F6"/>
    <w:rsid w:val="00325928"/>
    <w:rsid w:val="00332863"/>
    <w:rsid w:val="0033684D"/>
    <w:rsid w:val="00337B42"/>
    <w:rsid w:val="00341B42"/>
    <w:rsid w:val="0034348F"/>
    <w:rsid w:val="00347879"/>
    <w:rsid w:val="003506C8"/>
    <w:rsid w:val="00356653"/>
    <w:rsid w:val="0035743F"/>
    <w:rsid w:val="003579D9"/>
    <w:rsid w:val="00357BE2"/>
    <w:rsid w:val="0036170C"/>
    <w:rsid w:val="00366E0F"/>
    <w:rsid w:val="00372F14"/>
    <w:rsid w:val="00380F55"/>
    <w:rsid w:val="00381A72"/>
    <w:rsid w:val="00384405"/>
    <w:rsid w:val="00384676"/>
    <w:rsid w:val="00390857"/>
    <w:rsid w:val="00392A83"/>
    <w:rsid w:val="003A4BF3"/>
    <w:rsid w:val="003B3C88"/>
    <w:rsid w:val="003B420D"/>
    <w:rsid w:val="003C6C16"/>
    <w:rsid w:val="003D794D"/>
    <w:rsid w:val="003E3058"/>
    <w:rsid w:val="003E35C3"/>
    <w:rsid w:val="003E4886"/>
    <w:rsid w:val="003E67B8"/>
    <w:rsid w:val="003E76A9"/>
    <w:rsid w:val="003F0809"/>
    <w:rsid w:val="003F6A8C"/>
    <w:rsid w:val="003F755C"/>
    <w:rsid w:val="0040099E"/>
    <w:rsid w:val="00402261"/>
    <w:rsid w:val="00406F01"/>
    <w:rsid w:val="00416D50"/>
    <w:rsid w:val="00416FD5"/>
    <w:rsid w:val="00417772"/>
    <w:rsid w:val="00420E6A"/>
    <w:rsid w:val="00425A9E"/>
    <w:rsid w:val="00426D6B"/>
    <w:rsid w:val="00431E6C"/>
    <w:rsid w:val="00433CE7"/>
    <w:rsid w:val="004366CC"/>
    <w:rsid w:val="0043701D"/>
    <w:rsid w:val="00452738"/>
    <w:rsid w:val="00456091"/>
    <w:rsid w:val="004568CE"/>
    <w:rsid w:val="00466321"/>
    <w:rsid w:val="00471944"/>
    <w:rsid w:val="00471C9C"/>
    <w:rsid w:val="00484B9B"/>
    <w:rsid w:val="004852A5"/>
    <w:rsid w:val="004855F6"/>
    <w:rsid w:val="0048661E"/>
    <w:rsid w:val="00492342"/>
    <w:rsid w:val="00493AB4"/>
    <w:rsid w:val="00494670"/>
    <w:rsid w:val="004A219B"/>
    <w:rsid w:val="004A3823"/>
    <w:rsid w:val="004B3ABE"/>
    <w:rsid w:val="004C0A04"/>
    <w:rsid w:val="004D25CC"/>
    <w:rsid w:val="004E6946"/>
    <w:rsid w:val="004F1AD8"/>
    <w:rsid w:val="005039CB"/>
    <w:rsid w:val="0050558F"/>
    <w:rsid w:val="00506286"/>
    <w:rsid w:val="00506334"/>
    <w:rsid w:val="00510813"/>
    <w:rsid w:val="00510CBB"/>
    <w:rsid w:val="00511990"/>
    <w:rsid w:val="00511DE0"/>
    <w:rsid w:val="00514870"/>
    <w:rsid w:val="00514B9B"/>
    <w:rsid w:val="00517F02"/>
    <w:rsid w:val="00524303"/>
    <w:rsid w:val="005258A2"/>
    <w:rsid w:val="00534FDC"/>
    <w:rsid w:val="00537643"/>
    <w:rsid w:val="005401AE"/>
    <w:rsid w:val="00542E07"/>
    <w:rsid w:val="00545424"/>
    <w:rsid w:val="00553541"/>
    <w:rsid w:val="00553F9C"/>
    <w:rsid w:val="00554A7B"/>
    <w:rsid w:val="0055572C"/>
    <w:rsid w:val="0056106A"/>
    <w:rsid w:val="00561997"/>
    <w:rsid w:val="0056250B"/>
    <w:rsid w:val="005720AE"/>
    <w:rsid w:val="00575D0A"/>
    <w:rsid w:val="00583E8D"/>
    <w:rsid w:val="00594D77"/>
    <w:rsid w:val="005969E4"/>
    <w:rsid w:val="005A06B7"/>
    <w:rsid w:val="005A1759"/>
    <w:rsid w:val="005A68A7"/>
    <w:rsid w:val="005B3953"/>
    <w:rsid w:val="005C2921"/>
    <w:rsid w:val="005D1164"/>
    <w:rsid w:val="005D36AB"/>
    <w:rsid w:val="005D6701"/>
    <w:rsid w:val="005E1C27"/>
    <w:rsid w:val="0060378F"/>
    <w:rsid w:val="00605E09"/>
    <w:rsid w:val="006152AA"/>
    <w:rsid w:val="00616F00"/>
    <w:rsid w:val="00617CC3"/>
    <w:rsid w:val="00634D92"/>
    <w:rsid w:val="006377A6"/>
    <w:rsid w:val="00637A3D"/>
    <w:rsid w:val="006411EF"/>
    <w:rsid w:val="00641BE5"/>
    <w:rsid w:val="0064509B"/>
    <w:rsid w:val="006748B8"/>
    <w:rsid w:val="006775C3"/>
    <w:rsid w:val="0068288D"/>
    <w:rsid w:val="00683179"/>
    <w:rsid w:val="00690BA7"/>
    <w:rsid w:val="0069290A"/>
    <w:rsid w:val="0069775A"/>
    <w:rsid w:val="00697813"/>
    <w:rsid w:val="006A293C"/>
    <w:rsid w:val="006A3EE8"/>
    <w:rsid w:val="006A72BF"/>
    <w:rsid w:val="006B03F2"/>
    <w:rsid w:val="006B05A9"/>
    <w:rsid w:val="006B37DC"/>
    <w:rsid w:val="006B4F68"/>
    <w:rsid w:val="006C0592"/>
    <w:rsid w:val="006C272E"/>
    <w:rsid w:val="006C422D"/>
    <w:rsid w:val="006C5479"/>
    <w:rsid w:val="006C6A79"/>
    <w:rsid w:val="006D13B5"/>
    <w:rsid w:val="006D6D97"/>
    <w:rsid w:val="006E05AC"/>
    <w:rsid w:val="006E12FF"/>
    <w:rsid w:val="006E2F65"/>
    <w:rsid w:val="006E5170"/>
    <w:rsid w:val="006E607E"/>
    <w:rsid w:val="00702E01"/>
    <w:rsid w:val="00705D80"/>
    <w:rsid w:val="00706C5D"/>
    <w:rsid w:val="00732922"/>
    <w:rsid w:val="0075162E"/>
    <w:rsid w:val="00754034"/>
    <w:rsid w:val="00756556"/>
    <w:rsid w:val="007618C4"/>
    <w:rsid w:val="00767980"/>
    <w:rsid w:val="00770B19"/>
    <w:rsid w:val="0077463F"/>
    <w:rsid w:val="007836EA"/>
    <w:rsid w:val="00784CDA"/>
    <w:rsid w:val="007877BB"/>
    <w:rsid w:val="007906C4"/>
    <w:rsid w:val="007940EA"/>
    <w:rsid w:val="007967E8"/>
    <w:rsid w:val="007A2170"/>
    <w:rsid w:val="007A22BF"/>
    <w:rsid w:val="007A3323"/>
    <w:rsid w:val="007A4747"/>
    <w:rsid w:val="007B215A"/>
    <w:rsid w:val="007B4334"/>
    <w:rsid w:val="007B72B8"/>
    <w:rsid w:val="007B7A58"/>
    <w:rsid w:val="007C21B5"/>
    <w:rsid w:val="007D46E2"/>
    <w:rsid w:val="007E4BD2"/>
    <w:rsid w:val="007F0376"/>
    <w:rsid w:val="007F5969"/>
    <w:rsid w:val="00801393"/>
    <w:rsid w:val="00802F88"/>
    <w:rsid w:val="00811762"/>
    <w:rsid w:val="0081293E"/>
    <w:rsid w:val="00815465"/>
    <w:rsid w:val="008174F8"/>
    <w:rsid w:val="00817E9A"/>
    <w:rsid w:val="0082621C"/>
    <w:rsid w:val="008306BD"/>
    <w:rsid w:val="00831A80"/>
    <w:rsid w:val="00833743"/>
    <w:rsid w:val="008340A4"/>
    <w:rsid w:val="00840092"/>
    <w:rsid w:val="008629F4"/>
    <w:rsid w:val="0087135F"/>
    <w:rsid w:val="00872D94"/>
    <w:rsid w:val="00880364"/>
    <w:rsid w:val="00881BE0"/>
    <w:rsid w:val="0088749E"/>
    <w:rsid w:val="00891592"/>
    <w:rsid w:val="00891E9E"/>
    <w:rsid w:val="00894C47"/>
    <w:rsid w:val="008A2F68"/>
    <w:rsid w:val="008A3E83"/>
    <w:rsid w:val="008B4FA6"/>
    <w:rsid w:val="008B5282"/>
    <w:rsid w:val="008B688D"/>
    <w:rsid w:val="008B7C17"/>
    <w:rsid w:val="008C2D01"/>
    <w:rsid w:val="008C404F"/>
    <w:rsid w:val="008C40E6"/>
    <w:rsid w:val="008D0F7A"/>
    <w:rsid w:val="008D30A6"/>
    <w:rsid w:val="008D68E4"/>
    <w:rsid w:val="008E0506"/>
    <w:rsid w:val="008E09C9"/>
    <w:rsid w:val="008E0CFF"/>
    <w:rsid w:val="008E2B40"/>
    <w:rsid w:val="008E5D6B"/>
    <w:rsid w:val="008E76F0"/>
    <w:rsid w:val="008F15FE"/>
    <w:rsid w:val="008F2D29"/>
    <w:rsid w:val="008F5187"/>
    <w:rsid w:val="008F60D8"/>
    <w:rsid w:val="009022D7"/>
    <w:rsid w:val="00902727"/>
    <w:rsid w:val="0090312B"/>
    <w:rsid w:val="00910F59"/>
    <w:rsid w:val="0091736D"/>
    <w:rsid w:val="009177A3"/>
    <w:rsid w:val="0093037A"/>
    <w:rsid w:val="00934A5A"/>
    <w:rsid w:val="0094154D"/>
    <w:rsid w:val="0095155F"/>
    <w:rsid w:val="00952EAE"/>
    <w:rsid w:val="00954429"/>
    <w:rsid w:val="009563CE"/>
    <w:rsid w:val="00957CDB"/>
    <w:rsid w:val="00976328"/>
    <w:rsid w:val="0097680D"/>
    <w:rsid w:val="00981FF2"/>
    <w:rsid w:val="00982438"/>
    <w:rsid w:val="0098404C"/>
    <w:rsid w:val="00985283"/>
    <w:rsid w:val="009933A9"/>
    <w:rsid w:val="00995992"/>
    <w:rsid w:val="00995D78"/>
    <w:rsid w:val="00997E45"/>
    <w:rsid w:val="009A03E5"/>
    <w:rsid w:val="009A0F3B"/>
    <w:rsid w:val="009A1BB4"/>
    <w:rsid w:val="009A2628"/>
    <w:rsid w:val="009A3200"/>
    <w:rsid w:val="009A4570"/>
    <w:rsid w:val="009B0897"/>
    <w:rsid w:val="009B4687"/>
    <w:rsid w:val="009B46CD"/>
    <w:rsid w:val="009B7BD9"/>
    <w:rsid w:val="009C7DD5"/>
    <w:rsid w:val="009D11C1"/>
    <w:rsid w:val="009D5411"/>
    <w:rsid w:val="009E227D"/>
    <w:rsid w:val="009E5019"/>
    <w:rsid w:val="009E67E8"/>
    <w:rsid w:val="009E6B84"/>
    <w:rsid w:val="00A04F1B"/>
    <w:rsid w:val="00A0501B"/>
    <w:rsid w:val="00A1405B"/>
    <w:rsid w:val="00A14797"/>
    <w:rsid w:val="00A14947"/>
    <w:rsid w:val="00A17865"/>
    <w:rsid w:val="00A32A83"/>
    <w:rsid w:val="00A368DB"/>
    <w:rsid w:val="00A423AA"/>
    <w:rsid w:val="00A53EC6"/>
    <w:rsid w:val="00A55C0F"/>
    <w:rsid w:val="00A674C5"/>
    <w:rsid w:val="00A67F36"/>
    <w:rsid w:val="00A80B83"/>
    <w:rsid w:val="00A8713F"/>
    <w:rsid w:val="00A90BA1"/>
    <w:rsid w:val="00A97A9A"/>
    <w:rsid w:val="00AA0671"/>
    <w:rsid w:val="00AA2531"/>
    <w:rsid w:val="00AB1466"/>
    <w:rsid w:val="00AB1E09"/>
    <w:rsid w:val="00AB1F10"/>
    <w:rsid w:val="00AB5330"/>
    <w:rsid w:val="00AB7747"/>
    <w:rsid w:val="00AC14CE"/>
    <w:rsid w:val="00AC23DE"/>
    <w:rsid w:val="00AC2A56"/>
    <w:rsid w:val="00AD055E"/>
    <w:rsid w:val="00AD47A7"/>
    <w:rsid w:val="00AE69D5"/>
    <w:rsid w:val="00AF0CBF"/>
    <w:rsid w:val="00AF257F"/>
    <w:rsid w:val="00AF33CF"/>
    <w:rsid w:val="00AF4D50"/>
    <w:rsid w:val="00AF6179"/>
    <w:rsid w:val="00B02E71"/>
    <w:rsid w:val="00B1295A"/>
    <w:rsid w:val="00B15265"/>
    <w:rsid w:val="00B20A45"/>
    <w:rsid w:val="00B22C5C"/>
    <w:rsid w:val="00B24CD2"/>
    <w:rsid w:val="00B24F30"/>
    <w:rsid w:val="00B31ABF"/>
    <w:rsid w:val="00B33BE3"/>
    <w:rsid w:val="00B43659"/>
    <w:rsid w:val="00B472A3"/>
    <w:rsid w:val="00B53B5D"/>
    <w:rsid w:val="00B56FF7"/>
    <w:rsid w:val="00B6055E"/>
    <w:rsid w:val="00B614A4"/>
    <w:rsid w:val="00B6317D"/>
    <w:rsid w:val="00B64541"/>
    <w:rsid w:val="00B7723F"/>
    <w:rsid w:val="00B80534"/>
    <w:rsid w:val="00B8433C"/>
    <w:rsid w:val="00B87491"/>
    <w:rsid w:val="00BA29E9"/>
    <w:rsid w:val="00BA7142"/>
    <w:rsid w:val="00BB237C"/>
    <w:rsid w:val="00BB41A3"/>
    <w:rsid w:val="00BC0609"/>
    <w:rsid w:val="00BC310D"/>
    <w:rsid w:val="00BC32DC"/>
    <w:rsid w:val="00BC35B6"/>
    <w:rsid w:val="00BC3B86"/>
    <w:rsid w:val="00BC42F1"/>
    <w:rsid w:val="00BC4E73"/>
    <w:rsid w:val="00BC7CC5"/>
    <w:rsid w:val="00BD1A3C"/>
    <w:rsid w:val="00BD1A97"/>
    <w:rsid w:val="00BD1B51"/>
    <w:rsid w:val="00BD2EBC"/>
    <w:rsid w:val="00BD3CEB"/>
    <w:rsid w:val="00BD4596"/>
    <w:rsid w:val="00BD5EB8"/>
    <w:rsid w:val="00BE1405"/>
    <w:rsid w:val="00BE312D"/>
    <w:rsid w:val="00BF1C20"/>
    <w:rsid w:val="00BF621C"/>
    <w:rsid w:val="00BF7523"/>
    <w:rsid w:val="00C10578"/>
    <w:rsid w:val="00C135BC"/>
    <w:rsid w:val="00C15C95"/>
    <w:rsid w:val="00C16162"/>
    <w:rsid w:val="00C2596A"/>
    <w:rsid w:val="00C27537"/>
    <w:rsid w:val="00C328FE"/>
    <w:rsid w:val="00C33507"/>
    <w:rsid w:val="00C36ECD"/>
    <w:rsid w:val="00C421D2"/>
    <w:rsid w:val="00C42C34"/>
    <w:rsid w:val="00C4409D"/>
    <w:rsid w:val="00C44E72"/>
    <w:rsid w:val="00C45A06"/>
    <w:rsid w:val="00C47E5B"/>
    <w:rsid w:val="00C536E9"/>
    <w:rsid w:val="00C6105A"/>
    <w:rsid w:val="00C61E4B"/>
    <w:rsid w:val="00C629C8"/>
    <w:rsid w:val="00C64BFF"/>
    <w:rsid w:val="00C70333"/>
    <w:rsid w:val="00C704E9"/>
    <w:rsid w:val="00C763C9"/>
    <w:rsid w:val="00C80057"/>
    <w:rsid w:val="00C82232"/>
    <w:rsid w:val="00C82913"/>
    <w:rsid w:val="00C923B5"/>
    <w:rsid w:val="00C972B1"/>
    <w:rsid w:val="00CA0D29"/>
    <w:rsid w:val="00CA2CCE"/>
    <w:rsid w:val="00CA35F9"/>
    <w:rsid w:val="00CA43FD"/>
    <w:rsid w:val="00CA7EF8"/>
    <w:rsid w:val="00CC489B"/>
    <w:rsid w:val="00CD2BCD"/>
    <w:rsid w:val="00CD3A4C"/>
    <w:rsid w:val="00CE10E9"/>
    <w:rsid w:val="00CE2910"/>
    <w:rsid w:val="00CE5393"/>
    <w:rsid w:val="00CF36BE"/>
    <w:rsid w:val="00CF6000"/>
    <w:rsid w:val="00D003F3"/>
    <w:rsid w:val="00D0364F"/>
    <w:rsid w:val="00D06834"/>
    <w:rsid w:val="00D26AFA"/>
    <w:rsid w:val="00D308ED"/>
    <w:rsid w:val="00D36D86"/>
    <w:rsid w:val="00D428AA"/>
    <w:rsid w:val="00D46B24"/>
    <w:rsid w:val="00D50A34"/>
    <w:rsid w:val="00D53EFA"/>
    <w:rsid w:val="00D71761"/>
    <w:rsid w:val="00D72BE4"/>
    <w:rsid w:val="00D80232"/>
    <w:rsid w:val="00D94A7C"/>
    <w:rsid w:val="00D95896"/>
    <w:rsid w:val="00DB0D28"/>
    <w:rsid w:val="00DB2983"/>
    <w:rsid w:val="00DC1257"/>
    <w:rsid w:val="00DC3DC0"/>
    <w:rsid w:val="00DC5B2B"/>
    <w:rsid w:val="00DD2E16"/>
    <w:rsid w:val="00DD318D"/>
    <w:rsid w:val="00DD434E"/>
    <w:rsid w:val="00DE18AD"/>
    <w:rsid w:val="00DE655E"/>
    <w:rsid w:val="00DF2E12"/>
    <w:rsid w:val="00DF514A"/>
    <w:rsid w:val="00DF6690"/>
    <w:rsid w:val="00DF6804"/>
    <w:rsid w:val="00E0358D"/>
    <w:rsid w:val="00E04323"/>
    <w:rsid w:val="00E070A2"/>
    <w:rsid w:val="00E25F4B"/>
    <w:rsid w:val="00E2656A"/>
    <w:rsid w:val="00E3500A"/>
    <w:rsid w:val="00E412D0"/>
    <w:rsid w:val="00E455A2"/>
    <w:rsid w:val="00E56322"/>
    <w:rsid w:val="00E57A7F"/>
    <w:rsid w:val="00E60982"/>
    <w:rsid w:val="00E6185C"/>
    <w:rsid w:val="00E62C62"/>
    <w:rsid w:val="00E654C1"/>
    <w:rsid w:val="00E65D97"/>
    <w:rsid w:val="00E727C3"/>
    <w:rsid w:val="00E72A5A"/>
    <w:rsid w:val="00E73354"/>
    <w:rsid w:val="00E74EBC"/>
    <w:rsid w:val="00E9242D"/>
    <w:rsid w:val="00E96864"/>
    <w:rsid w:val="00EA7DC9"/>
    <w:rsid w:val="00EB255E"/>
    <w:rsid w:val="00EB4219"/>
    <w:rsid w:val="00EB5255"/>
    <w:rsid w:val="00EB5C47"/>
    <w:rsid w:val="00EC764D"/>
    <w:rsid w:val="00ED0639"/>
    <w:rsid w:val="00EE10BD"/>
    <w:rsid w:val="00EE32F1"/>
    <w:rsid w:val="00EF4755"/>
    <w:rsid w:val="00EF493A"/>
    <w:rsid w:val="00EF7135"/>
    <w:rsid w:val="00F027DB"/>
    <w:rsid w:val="00F12300"/>
    <w:rsid w:val="00F14564"/>
    <w:rsid w:val="00F14A7A"/>
    <w:rsid w:val="00F161A5"/>
    <w:rsid w:val="00F16E4C"/>
    <w:rsid w:val="00F22985"/>
    <w:rsid w:val="00F25CA1"/>
    <w:rsid w:val="00F31FD3"/>
    <w:rsid w:val="00F3383E"/>
    <w:rsid w:val="00F44F9D"/>
    <w:rsid w:val="00F465A7"/>
    <w:rsid w:val="00F46BF1"/>
    <w:rsid w:val="00F50B7C"/>
    <w:rsid w:val="00F550E6"/>
    <w:rsid w:val="00F74345"/>
    <w:rsid w:val="00F80A0A"/>
    <w:rsid w:val="00F82B19"/>
    <w:rsid w:val="00F8767B"/>
    <w:rsid w:val="00F9212D"/>
    <w:rsid w:val="00F965DA"/>
    <w:rsid w:val="00F97CBE"/>
    <w:rsid w:val="00FA3C3B"/>
    <w:rsid w:val="00FA406A"/>
    <w:rsid w:val="00FB503A"/>
    <w:rsid w:val="00FB516C"/>
    <w:rsid w:val="00FC048F"/>
    <w:rsid w:val="00FC7575"/>
    <w:rsid w:val="00FD0236"/>
    <w:rsid w:val="00FD18F4"/>
    <w:rsid w:val="00FD54DB"/>
    <w:rsid w:val="00FD619F"/>
    <w:rsid w:val="00FF05BF"/>
    <w:rsid w:val="00FF1E67"/>
    <w:rsid w:val="0126197C"/>
    <w:rsid w:val="01290F7E"/>
    <w:rsid w:val="0133254C"/>
    <w:rsid w:val="015D1E09"/>
    <w:rsid w:val="018D2F1B"/>
    <w:rsid w:val="01E603E7"/>
    <w:rsid w:val="02697903"/>
    <w:rsid w:val="027B5028"/>
    <w:rsid w:val="028E0189"/>
    <w:rsid w:val="02B301EE"/>
    <w:rsid w:val="02CA51A9"/>
    <w:rsid w:val="02D53295"/>
    <w:rsid w:val="02F96569"/>
    <w:rsid w:val="03342979"/>
    <w:rsid w:val="03614E3E"/>
    <w:rsid w:val="036F31F4"/>
    <w:rsid w:val="039F058B"/>
    <w:rsid w:val="03E2554B"/>
    <w:rsid w:val="03E650D9"/>
    <w:rsid w:val="03EA7B21"/>
    <w:rsid w:val="03EF7577"/>
    <w:rsid w:val="04090088"/>
    <w:rsid w:val="0414147C"/>
    <w:rsid w:val="04304F60"/>
    <w:rsid w:val="04531CBE"/>
    <w:rsid w:val="045C67C3"/>
    <w:rsid w:val="047C6AF9"/>
    <w:rsid w:val="04945A9A"/>
    <w:rsid w:val="04B4569D"/>
    <w:rsid w:val="04BA3DF1"/>
    <w:rsid w:val="04E2449C"/>
    <w:rsid w:val="053F4ABA"/>
    <w:rsid w:val="05522662"/>
    <w:rsid w:val="05F83EAE"/>
    <w:rsid w:val="06271C9E"/>
    <w:rsid w:val="06313CF9"/>
    <w:rsid w:val="063E7D85"/>
    <w:rsid w:val="066312CB"/>
    <w:rsid w:val="06A50426"/>
    <w:rsid w:val="06A82D0D"/>
    <w:rsid w:val="06C45994"/>
    <w:rsid w:val="06C76627"/>
    <w:rsid w:val="070A4123"/>
    <w:rsid w:val="07293586"/>
    <w:rsid w:val="07295285"/>
    <w:rsid w:val="07324F08"/>
    <w:rsid w:val="07636392"/>
    <w:rsid w:val="07770C56"/>
    <w:rsid w:val="07AB2350"/>
    <w:rsid w:val="07B264E2"/>
    <w:rsid w:val="07E07D2A"/>
    <w:rsid w:val="0813518A"/>
    <w:rsid w:val="083B791F"/>
    <w:rsid w:val="08443821"/>
    <w:rsid w:val="08452485"/>
    <w:rsid w:val="085F5D1F"/>
    <w:rsid w:val="08634383"/>
    <w:rsid w:val="08DB18E3"/>
    <w:rsid w:val="08E05768"/>
    <w:rsid w:val="08E25B8B"/>
    <w:rsid w:val="08FB1790"/>
    <w:rsid w:val="092217DD"/>
    <w:rsid w:val="093A7294"/>
    <w:rsid w:val="09825EC0"/>
    <w:rsid w:val="099E329A"/>
    <w:rsid w:val="09D01E7C"/>
    <w:rsid w:val="0A263993"/>
    <w:rsid w:val="0A2D3AC2"/>
    <w:rsid w:val="0A344BEA"/>
    <w:rsid w:val="0A4B330F"/>
    <w:rsid w:val="0AA755DF"/>
    <w:rsid w:val="0B0B35D9"/>
    <w:rsid w:val="0B120D44"/>
    <w:rsid w:val="0B1218D5"/>
    <w:rsid w:val="0B633EF5"/>
    <w:rsid w:val="0BB666DF"/>
    <w:rsid w:val="0BBF4DF4"/>
    <w:rsid w:val="0BD27BF6"/>
    <w:rsid w:val="0C16228F"/>
    <w:rsid w:val="0C2D395C"/>
    <w:rsid w:val="0C3B3C7D"/>
    <w:rsid w:val="0C403260"/>
    <w:rsid w:val="0C7B3321"/>
    <w:rsid w:val="0C9A134C"/>
    <w:rsid w:val="0CAB2EAE"/>
    <w:rsid w:val="0CEC11E8"/>
    <w:rsid w:val="0D1F37FF"/>
    <w:rsid w:val="0D4502DF"/>
    <w:rsid w:val="0D621C7D"/>
    <w:rsid w:val="0E105AC9"/>
    <w:rsid w:val="0E73034D"/>
    <w:rsid w:val="0F006637"/>
    <w:rsid w:val="0F0867A0"/>
    <w:rsid w:val="0F13775A"/>
    <w:rsid w:val="0F5F45FE"/>
    <w:rsid w:val="0F9A112B"/>
    <w:rsid w:val="0FB26664"/>
    <w:rsid w:val="0FDB3CEC"/>
    <w:rsid w:val="0FDD761D"/>
    <w:rsid w:val="0FF610D4"/>
    <w:rsid w:val="100F7D0D"/>
    <w:rsid w:val="105C22C3"/>
    <w:rsid w:val="106D2F64"/>
    <w:rsid w:val="10B63710"/>
    <w:rsid w:val="10D2058B"/>
    <w:rsid w:val="10E16B8A"/>
    <w:rsid w:val="10F10820"/>
    <w:rsid w:val="111C2F7A"/>
    <w:rsid w:val="111F392D"/>
    <w:rsid w:val="11665CA1"/>
    <w:rsid w:val="11A301F9"/>
    <w:rsid w:val="11F748B7"/>
    <w:rsid w:val="12361CC9"/>
    <w:rsid w:val="1254115C"/>
    <w:rsid w:val="129834EB"/>
    <w:rsid w:val="12C810E0"/>
    <w:rsid w:val="12CD28F9"/>
    <w:rsid w:val="13405713"/>
    <w:rsid w:val="13727459"/>
    <w:rsid w:val="13951726"/>
    <w:rsid w:val="13E351A7"/>
    <w:rsid w:val="141F6F11"/>
    <w:rsid w:val="142849CE"/>
    <w:rsid w:val="14396509"/>
    <w:rsid w:val="149D58A3"/>
    <w:rsid w:val="14B965FF"/>
    <w:rsid w:val="14CE518C"/>
    <w:rsid w:val="14DD2C3C"/>
    <w:rsid w:val="14E11E4B"/>
    <w:rsid w:val="150C4DDC"/>
    <w:rsid w:val="15695ACC"/>
    <w:rsid w:val="156975D9"/>
    <w:rsid w:val="156D2445"/>
    <w:rsid w:val="1581626D"/>
    <w:rsid w:val="15D9790F"/>
    <w:rsid w:val="16087E1D"/>
    <w:rsid w:val="1614786D"/>
    <w:rsid w:val="16BA2551"/>
    <w:rsid w:val="17701D14"/>
    <w:rsid w:val="17735226"/>
    <w:rsid w:val="17787563"/>
    <w:rsid w:val="17AA4898"/>
    <w:rsid w:val="17B454C9"/>
    <w:rsid w:val="17FD074D"/>
    <w:rsid w:val="18027B12"/>
    <w:rsid w:val="187C7603"/>
    <w:rsid w:val="189F624C"/>
    <w:rsid w:val="18D93687"/>
    <w:rsid w:val="18F64945"/>
    <w:rsid w:val="191D0598"/>
    <w:rsid w:val="1935166D"/>
    <w:rsid w:val="194F441F"/>
    <w:rsid w:val="198A1BC7"/>
    <w:rsid w:val="199465AA"/>
    <w:rsid w:val="19982B7D"/>
    <w:rsid w:val="19B84892"/>
    <w:rsid w:val="1A1C66C0"/>
    <w:rsid w:val="1A42393B"/>
    <w:rsid w:val="1AA7107D"/>
    <w:rsid w:val="1AAC2560"/>
    <w:rsid w:val="1AAD45DE"/>
    <w:rsid w:val="1ABD5F72"/>
    <w:rsid w:val="1B046F80"/>
    <w:rsid w:val="1B1A3BBD"/>
    <w:rsid w:val="1B266146"/>
    <w:rsid w:val="1B3267B5"/>
    <w:rsid w:val="1B40161D"/>
    <w:rsid w:val="1B441859"/>
    <w:rsid w:val="1B6606B1"/>
    <w:rsid w:val="1B750AAA"/>
    <w:rsid w:val="1BA07AEC"/>
    <w:rsid w:val="1BC22D44"/>
    <w:rsid w:val="1BD053E3"/>
    <w:rsid w:val="1C1330B7"/>
    <w:rsid w:val="1C5E1C15"/>
    <w:rsid w:val="1C5E7925"/>
    <w:rsid w:val="1C655231"/>
    <w:rsid w:val="1CFD070F"/>
    <w:rsid w:val="1D1F664F"/>
    <w:rsid w:val="1D290E7F"/>
    <w:rsid w:val="1D404F8E"/>
    <w:rsid w:val="1D412F75"/>
    <w:rsid w:val="1D434B1B"/>
    <w:rsid w:val="1D5F6196"/>
    <w:rsid w:val="1D6132A5"/>
    <w:rsid w:val="1D8E56D5"/>
    <w:rsid w:val="1DC45628"/>
    <w:rsid w:val="1DE85D5D"/>
    <w:rsid w:val="1E2244BE"/>
    <w:rsid w:val="1E3C60FD"/>
    <w:rsid w:val="1E6634B0"/>
    <w:rsid w:val="1E6C1033"/>
    <w:rsid w:val="1E741BC7"/>
    <w:rsid w:val="1E7A43DA"/>
    <w:rsid w:val="1EE939CC"/>
    <w:rsid w:val="1F5F1CED"/>
    <w:rsid w:val="1F632A6A"/>
    <w:rsid w:val="1FA56D48"/>
    <w:rsid w:val="1FB810F2"/>
    <w:rsid w:val="1FDB4421"/>
    <w:rsid w:val="1FE7539E"/>
    <w:rsid w:val="1FFF7CC9"/>
    <w:rsid w:val="2019627A"/>
    <w:rsid w:val="203A35A5"/>
    <w:rsid w:val="20667882"/>
    <w:rsid w:val="20671BE0"/>
    <w:rsid w:val="208D7879"/>
    <w:rsid w:val="20963CB8"/>
    <w:rsid w:val="20A81A1B"/>
    <w:rsid w:val="20B07FB6"/>
    <w:rsid w:val="20B610DD"/>
    <w:rsid w:val="20B646FB"/>
    <w:rsid w:val="20C462AC"/>
    <w:rsid w:val="20F23E7F"/>
    <w:rsid w:val="20F54E6E"/>
    <w:rsid w:val="213264D5"/>
    <w:rsid w:val="21357A85"/>
    <w:rsid w:val="213B74B1"/>
    <w:rsid w:val="215A2310"/>
    <w:rsid w:val="21BE2CFB"/>
    <w:rsid w:val="21DE318A"/>
    <w:rsid w:val="21EF5B80"/>
    <w:rsid w:val="21F66BAB"/>
    <w:rsid w:val="22286341"/>
    <w:rsid w:val="22292994"/>
    <w:rsid w:val="22576990"/>
    <w:rsid w:val="226461AD"/>
    <w:rsid w:val="22B8011C"/>
    <w:rsid w:val="22D57567"/>
    <w:rsid w:val="22E24CCB"/>
    <w:rsid w:val="22F47480"/>
    <w:rsid w:val="239A1C65"/>
    <w:rsid w:val="23A14683"/>
    <w:rsid w:val="23C0379C"/>
    <w:rsid w:val="23D21E3B"/>
    <w:rsid w:val="23DE1C48"/>
    <w:rsid w:val="240210CD"/>
    <w:rsid w:val="247A3BE9"/>
    <w:rsid w:val="24812E24"/>
    <w:rsid w:val="24BF09F7"/>
    <w:rsid w:val="24E90C93"/>
    <w:rsid w:val="24EA4737"/>
    <w:rsid w:val="252D53FE"/>
    <w:rsid w:val="25920B1C"/>
    <w:rsid w:val="259E5F58"/>
    <w:rsid w:val="25D22236"/>
    <w:rsid w:val="25EC2D81"/>
    <w:rsid w:val="2674085C"/>
    <w:rsid w:val="26C31D22"/>
    <w:rsid w:val="26EF427E"/>
    <w:rsid w:val="27183F64"/>
    <w:rsid w:val="27383ED1"/>
    <w:rsid w:val="277057A2"/>
    <w:rsid w:val="277D71B5"/>
    <w:rsid w:val="279B3ADF"/>
    <w:rsid w:val="27AE4878"/>
    <w:rsid w:val="283E3248"/>
    <w:rsid w:val="28416B53"/>
    <w:rsid w:val="28447CD2"/>
    <w:rsid w:val="28586D99"/>
    <w:rsid w:val="28593F07"/>
    <w:rsid w:val="28A42820"/>
    <w:rsid w:val="29052BB9"/>
    <w:rsid w:val="290C07F0"/>
    <w:rsid w:val="29206EB8"/>
    <w:rsid w:val="29384DA0"/>
    <w:rsid w:val="293B7327"/>
    <w:rsid w:val="2947691B"/>
    <w:rsid w:val="29595666"/>
    <w:rsid w:val="29874881"/>
    <w:rsid w:val="29A9424B"/>
    <w:rsid w:val="29AD5C2A"/>
    <w:rsid w:val="29CD423F"/>
    <w:rsid w:val="29E325E0"/>
    <w:rsid w:val="29F04E6B"/>
    <w:rsid w:val="2A08322E"/>
    <w:rsid w:val="2A1E5E00"/>
    <w:rsid w:val="2A452503"/>
    <w:rsid w:val="2A6628A0"/>
    <w:rsid w:val="2B1E6F78"/>
    <w:rsid w:val="2B98004D"/>
    <w:rsid w:val="2BA936A8"/>
    <w:rsid w:val="2C315A5A"/>
    <w:rsid w:val="2C4B1C25"/>
    <w:rsid w:val="2C52458C"/>
    <w:rsid w:val="2C890A05"/>
    <w:rsid w:val="2CDF0CAA"/>
    <w:rsid w:val="2CE764C1"/>
    <w:rsid w:val="2D2C3F21"/>
    <w:rsid w:val="2D9E56F5"/>
    <w:rsid w:val="2DA63B73"/>
    <w:rsid w:val="2DDD4EA5"/>
    <w:rsid w:val="2DF54FAF"/>
    <w:rsid w:val="2E4E59A9"/>
    <w:rsid w:val="2E667F96"/>
    <w:rsid w:val="2E8226AB"/>
    <w:rsid w:val="2E9D5432"/>
    <w:rsid w:val="2EA50783"/>
    <w:rsid w:val="2EFD15D6"/>
    <w:rsid w:val="2F0B1C68"/>
    <w:rsid w:val="2F1D190A"/>
    <w:rsid w:val="2F515933"/>
    <w:rsid w:val="2F5C7C77"/>
    <w:rsid w:val="2FD065E6"/>
    <w:rsid w:val="2FD96870"/>
    <w:rsid w:val="302A0390"/>
    <w:rsid w:val="303A497B"/>
    <w:rsid w:val="30580BC9"/>
    <w:rsid w:val="305E25B2"/>
    <w:rsid w:val="30E511A5"/>
    <w:rsid w:val="311E2ED7"/>
    <w:rsid w:val="315619EE"/>
    <w:rsid w:val="315C449C"/>
    <w:rsid w:val="3172147D"/>
    <w:rsid w:val="31771837"/>
    <w:rsid w:val="3195527C"/>
    <w:rsid w:val="31B82709"/>
    <w:rsid w:val="31C97801"/>
    <w:rsid w:val="31D05482"/>
    <w:rsid w:val="32333E9B"/>
    <w:rsid w:val="32400B34"/>
    <w:rsid w:val="32513E36"/>
    <w:rsid w:val="32724DD0"/>
    <w:rsid w:val="32916929"/>
    <w:rsid w:val="329E6876"/>
    <w:rsid w:val="32AE0333"/>
    <w:rsid w:val="32BF435A"/>
    <w:rsid w:val="32F178AF"/>
    <w:rsid w:val="333015F2"/>
    <w:rsid w:val="334B6320"/>
    <w:rsid w:val="33633F31"/>
    <w:rsid w:val="33720337"/>
    <w:rsid w:val="33962290"/>
    <w:rsid w:val="33B72022"/>
    <w:rsid w:val="33C37CFF"/>
    <w:rsid w:val="33C466B8"/>
    <w:rsid w:val="33D934D4"/>
    <w:rsid w:val="33F00F11"/>
    <w:rsid w:val="33FE2F6A"/>
    <w:rsid w:val="340E07E5"/>
    <w:rsid w:val="340E1C5E"/>
    <w:rsid w:val="34235BF7"/>
    <w:rsid w:val="34C147B6"/>
    <w:rsid w:val="34EF7265"/>
    <w:rsid w:val="350E5AA3"/>
    <w:rsid w:val="35141693"/>
    <w:rsid w:val="351C78FF"/>
    <w:rsid w:val="354E67EF"/>
    <w:rsid w:val="357E4202"/>
    <w:rsid w:val="358C5FA8"/>
    <w:rsid w:val="359D527B"/>
    <w:rsid w:val="35A92EBA"/>
    <w:rsid w:val="35C15DF1"/>
    <w:rsid w:val="35DF6EE2"/>
    <w:rsid w:val="36031472"/>
    <w:rsid w:val="36074A7F"/>
    <w:rsid w:val="36140E23"/>
    <w:rsid w:val="36422A89"/>
    <w:rsid w:val="364A0DAA"/>
    <w:rsid w:val="3676030F"/>
    <w:rsid w:val="368C4D1E"/>
    <w:rsid w:val="36923549"/>
    <w:rsid w:val="36A55D7B"/>
    <w:rsid w:val="36B2175A"/>
    <w:rsid w:val="36B75FBF"/>
    <w:rsid w:val="36BD0C45"/>
    <w:rsid w:val="36D900B9"/>
    <w:rsid w:val="36DF3D38"/>
    <w:rsid w:val="36F30A8E"/>
    <w:rsid w:val="373873CF"/>
    <w:rsid w:val="37AC6F31"/>
    <w:rsid w:val="37E00298"/>
    <w:rsid w:val="38150970"/>
    <w:rsid w:val="3838762D"/>
    <w:rsid w:val="383F2DC4"/>
    <w:rsid w:val="38414168"/>
    <w:rsid w:val="38425CC1"/>
    <w:rsid w:val="384968C3"/>
    <w:rsid w:val="384A4E91"/>
    <w:rsid w:val="38725AAB"/>
    <w:rsid w:val="38B302F9"/>
    <w:rsid w:val="38BE5F9D"/>
    <w:rsid w:val="38F12CD3"/>
    <w:rsid w:val="38F674E5"/>
    <w:rsid w:val="38F94775"/>
    <w:rsid w:val="390B4D8A"/>
    <w:rsid w:val="392971ED"/>
    <w:rsid w:val="39325651"/>
    <w:rsid w:val="3948628E"/>
    <w:rsid w:val="397163C5"/>
    <w:rsid w:val="3976310E"/>
    <w:rsid w:val="39985803"/>
    <w:rsid w:val="39C72511"/>
    <w:rsid w:val="39CA2D9F"/>
    <w:rsid w:val="39D30EB6"/>
    <w:rsid w:val="39E87F67"/>
    <w:rsid w:val="39EC46AE"/>
    <w:rsid w:val="3A0465C1"/>
    <w:rsid w:val="3A516A3E"/>
    <w:rsid w:val="3A5C5A6E"/>
    <w:rsid w:val="3A613084"/>
    <w:rsid w:val="3A872856"/>
    <w:rsid w:val="3B3763D1"/>
    <w:rsid w:val="3B3B04EA"/>
    <w:rsid w:val="3B980E08"/>
    <w:rsid w:val="3BA174BE"/>
    <w:rsid w:val="3BE24A6C"/>
    <w:rsid w:val="3C2F6E1E"/>
    <w:rsid w:val="3C4F64BA"/>
    <w:rsid w:val="3C8300F3"/>
    <w:rsid w:val="3CD64C9D"/>
    <w:rsid w:val="3CDA245A"/>
    <w:rsid w:val="3CFB137F"/>
    <w:rsid w:val="3D1E06B7"/>
    <w:rsid w:val="3D6303D2"/>
    <w:rsid w:val="3DBD7EB6"/>
    <w:rsid w:val="3DC82B39"/>
    <w:rsid w:val="3DC9292C"/>
    <w:rsid w:val="3DE25B6C"/>
    <w:rsid w:val="3E0353ED"/>
    <w:rsid w:val="3E4F279C"/>
    <w:rsid w:val="3EDA0523"/>
    <w:rsid w:val="3EE27BC4"/>
    <w:rsid w:val="3F2764CF"/>
    <w:rsid w:val="3F94071A"/>
    <w:rsid w:val="3FCD3E8F"/>
    <w:rsid w:val="3FDA4D4C"/>
    <w:rsid w:val="3FE21E53"/>
    <w:rsid w:val="3FED28B2"/>
    <w:rsid w:val="40271E95"/>
    <w:rsid w:val="403455B9"/>
    <w:rsid w:val="403879F4"/>
    <w:rsid w:val="407A6407"/>
    <w:rsid w:val="407E1943"/>
    <w:rsid w:val="408F4A21"/>
    <w:rsid w:val="40906456"/>
    <w:rsid w:val="40CF4EE3"/>
    <w:rsid w:val="410D78DC"/>
    <w:rsid w:val="411842B8"/>
    <w:rsid w:val="41432187"/>
    <w:rsid w:val="41892CBA"/>
    <w:rsid w:val="419C332B"/>
    <w:rsid w:val="41B44A81"/>
    <w:rsid w:val="41C50186"/>
    <w:rsid w:val="41CD5F08"/>
    <w:rsid w:val="41D67C21"/>
    <w:rsid w:val="4200449D"/>
    <w:rsid w:val="423A3BCC"/>
    <w:rsid w:val="424E57D2"/>
    <w:rsid w:val="4253528A"/>
    <w:rsid w:val="426B0045"/>
    <w:rsid w:val="42724081"/>
    <w:rsid w:val="427D33EE"/>
    <w:rsid w:val="42B26C49"/>
    <w:rsid w:val="42F93FF4"/>
    <w:rsid w:val="432803FE"/>
    <w:rsid w:val="433454D7"/>
    <w:rsid w:val="433A6FE6"/>
    <w:rsid w:val="43480868"/>
    <w:rsid w:val="4350713C"/>
    <w:rsid w:val="436653E0"/>
    <w:rsid w:val="43683D44"/>
    <w:rsid w:val="439D0E4B"/>
    <w:rsid w:val="43C4431A"/>
    <w:rsid w:val="43EA1590"/>
    <w:rsid w:val="44890AEF"/>
    <w:rsid w:val="44B951CC"/>
    <w:rsid w:val="44CD14E0"/>
    <w:rsid w:val="44D8741F"/>
    <w:rsid w:val="44F20B0B"/>
    <w:rsid w:val="452E5F4C"/>
    <w:rsid w:val="455068A7"/>
    <w:rsid w:val="45612018"/>
    <w:rsid w:val="45672AF3"/>
    <w:rsid w:val="456E009B"/>
    <w:rsid w:val="456F4189"/>
    <w:rsid w:val="457508AB"/>
    <w:rsid w:val="458946E9"/>
    <w:rsid w:val="45A47C0E"/>
    <w:rsid w:val="45BF2115"/>
    <w:rsid w:val="45F12DF0"/>
    <w:rsid w:val="460F58DF"/>
    <w:rsid w:val="462407A3"/>
    <w:rsid w:val="46577FD6"/>
    <w:rsid w:val="467B0413"/>
    <w:rsid w:val="469A46B9"/>
    <w:rsid w:val="46C676CB"/>
    <w:rsid w:val="46D36915"/>
    <w:rsid w:val="46D955A7"/>
    <w:rsid w:val="46F74F2F"/>
    <w:rsid w:val="470319DE"/>
    <w:rsid w:val="47133957"/>
    <w:rsid w:val="4794588B"/>
    <w:rsid w:val="47A07E0C"/>
    <w:rsid w:val="47B04C41"/>
    <w:rsid w:val="47E56271"/>
    <w:rsid w:val="47EB2CDE"/>
    <w:rsid w:val="48262047"/>
    <w:rsid w:val="484B452C"/>
    <w:rsid w:val="4870272E"/>
    <w:rsid w:val="4882166A"/>
    <w:rsid w:val="48C4781A"/>
    <w:rsid w:val="48E838FA"/>
    <w:rsid w:val="490A21BD"/>
    <w:rsid w:val="490C5BF6"/>
    <w:rsid w:val="49A551AC"/>
    <w:rsid w:val="49D9532D"/>
    <w:rsid w:val="49DC7715"/>
    <w:rsid w:val="49F038D0"/>
    <w:rsid w:val="4A023139"/>
    <w:rsid w:val="4A0D3D41"/>
    <w:rsid w:val="4A0F5F3A"/>
    <w:rsid w:val="4A167AF2"/>
    <w:rsid w:val="4A4F4081"/>
    <w:rsid w:val="4A7B576F"/>
    <w:rsid w:val="4A7F4CBA"/>
    <w:rsid w:val="4AF561A9"/>
    <w:rsid w:val="4B306887"/>
    <w:rsid w:val="4B6323AA"/>
    <w:rsid w:val="4B684273"/>
    <w:rsid w:val="4B717DF3"/>
    <w:rsid w:val="4B7F6DBC"/>
    <w:rsid w:val="4B9E13B5"/>
    <w:rsid w:val="4BAA06C0"/>
    <w:rsid w:val="4C147755"/>
    <w:rsid w:val="4C302417"/>
    <w:rsid w:val="4C4A0649"/>
    <w:rsid w:val="4C63745E"/>
    <w:rsid w:val="4C6C0678"/>
    <w:rsid w:val="4C702453"/>
    <w:rsid w:val="4C7E5357"/>
    <w:rsid w:val="4C7E5ECA"/>
    <w:rsid w:val="4C876AA5"/>
    <w:rsid w:val="4C8A6B71"/>
    <w:rsid w:val="4C9470EC"/>
    <w:rsid w:val="4C96348E"/>
    <w:rsid w:val="4CB50FBA"/>
    <w:rsid w:val="4CB614DA"/>
    <w:rsid w:val="4CC76658"/>
    <w:rsid w:val="4D0E00FB"/>
    <w:rsid w:val="4D176606"/>
    <w:rsid w:val="4D18100A"/>
    <w:rsid w:val="4D292F0F"/>
    <w:rsid w:val="4D4B739E"/>
    <w:rsid w:val="4D8E6C47"/>
    <w:rsid w:val="4D8F0F14"/>
    <w:rsid w:val="4D9C043D"/>
    <w:rsid w:val="4DBF379E"/>
    <w:rsid w:val="4DC576F2"/>
    <w:rsid w:val="4DEC4FB0"/>
    <w:rsid w:val="4E075D8A"/>
    <w:rsid w:val="4E0C01AF"/>
    <w:rsid w:val="4E1202CA"/>
    <w:rsid w:val="4E5F7211"/>
    <w:rsid w:val="4EC00FAD"/>
    <w:rsid w:val="4EDE2A9E"/>
    <w:rsid w:val="4F200D6C"/>
    <w:rsid w:val="4F740C9A"/>
    <w:rsid w:val="4F786330"/>
    <w:rsid w:val="4F9843DC"/>
    <w:rsid w:val="4FC00EC5"/>
    <w:rsid w:val="4FC62A8C"/>
    <w:rsid w:val="4FE20F0D"/>
    <w:rsid w:val="4FE51552"/>
    <w:rsid w:val="50504C4B"/>
    <w:rsid w:val="50816010"/>
    <w:rsid w:val="509C6E7C"/>
    <w:rsid w:val="50BE66E3"/>
    <w:rsid w:val="50EB40D0"/>
    <w:rsid w:val="50F25A38"/>
    <w:rsid w:val="51166949"/>
    <w:rsid w:val="511A0EDA"/>
    <w:rsid w:val="51215AE4"/>
    <w:rsid w:val="514E559A"/>
    <w:rsid w:val="51501CA0"/>
    <w:rsid w:val="51540B9F"/>
    <w:rsid w:val="5162104E"/>
    <w:rsid w:val="51916307"/>
    <w:rsid w:val="51B80117"/>
    <w:rsid w:val="520A62B6"/>
    <w:rsid w:val="5215514E"/>
    <w:rsid w:val="521F7655"/>
    <w:rsid w:val="524545FC"/>
    <w:rsid w:val="529D21E3"/>
    <w:rsid w:val="52C37EBF"/>
    <w:rsid w:val="52C54011"/>
    <w:rsid w:val="52ED4BB7"/>
    <w:rsid w:val="52F825B5"/>
    <w:rsid w:val="53677383"/>
    <w:rsid w:val="539A13CD"/>
    <w:rsid w:val="53A039CC"/>
    <w:rsid w:val="53A1505A"/>
    <w:rsid w:val="53D52287"/>
    <w:rsid w:val="53F8359B"/>
    <w:rsid w:val="53FB0703"/>
    <w:rsid w:val="54063E08"/>
    <w:rsid w:val="54105DEF"/>
    <w:rsid w:val="543437E8"/>
    <w:rsid w:val="543640EE"/>
    <w:rsid w:val="546E7D01"/>
    <w:rsid w:val="548B22D8"/>
    <w:rsid w:val="54A9461C"/>
    <w:rsid w:val="54C65793"/>
    <w:rsid w:val="54F73313"/>
    <w:rsid w:val="54F80955"/>
    <w:rsid w:val="55147D9E"/>
    <w:rsid w:val="554B7E4F"/>
    <w:rsid w:val="555170A7"/>
    <w:rsid w:val="5587536D"/>
    <w:rsid w:val="559B174B"/>
    <w:rsid w:val="55CE0CF4"/>
    <w:rsid w:val="560233DF"/>
    <w:rsid w:val="560E3AB0"/>
    <w:rsid w:val="56134EFE"/>
    <w:rsid w:val="56443CFC"/>
    <w:rsid w:val="56750AE4"/>
    <w:rsid w:val="567C4252"/>
    <w:rsid w:val="56B22A9C"/>
    <w:rsid w:val="56D17290"/>
    <w:rsid w:val="56EC0BD8"/>
    <w:rsid w:val="57172725"/>
    <w:rsid w:val="576022A2"/>
    <w:rsid w:val="57B72A76"/>
    <w:rsid w:val="57C3426C"/>
    <w:rsid w:val="57CE1F93"/>
    <w:rsid w:val="57D8425A"/>
    <w:rsid w:val="580537B8"/>
    <w:rsid w:val="582F20DE"/>
    <w:rsid w:val="58831A7D"/>
    <w:rsid w:val="588743D1"/>
    <w:rsid w:val="5887701A"/>
    <w:rsid w:val="588A37C4"/>
    <w:rsid w:val="588B0E82"/>
    <w:rsid w:val="58F95917"/>
    <w:rsid w:val="59213CB3"/>
    <w:rsid w:val="59C0439F"/>
    <w:rsid w:val="59C7415A"/>
    <w:rsid w:val="59E847D1"/>
    <w:rsid w:val="5A006502"/>
    <w:rsid w:val="5A1A1BDF"/>
    <w:rsid w:val="5A4A4974"/>
    <w:rsid w:val="5ABE2233"/>
    <w:rsid w:val="5AD426AE"/>
    <w:rsid w:val="5AE249AD"/>
    <w:rsid w:val="5B251590"/>
    <w:rsid w:val="5B433AC3"/>
    <w:rsid w:val="5B5D39F4"/>
    <w:rsid w:val="5B740512"/>
    <w:rsid w:val="5B834000"/>
    <w:rsid w:val="5BDF5D95"/>
    <w:rsid w:val="5BFE7528"/>
    <w:rsid w:val="5C1424A5"/>
    <w:rsid w:val="5C29166B"/>
    <w:rsid w:val="5C4B3E8F"/>
    <w:rsid w:val="5C570D09"/>
    <w:rsid w:val="5C647F2B"/>
    <w:rsid w:val="5C754CF6"/>
    <w:rsid w:val="5C7A150B"/>
    <w:rsid w:val="5CA1156E"/>
    <w:rsid w:val="5CDD5B44"/>
    <w:rsid w:val="5D0E782B"/>
    <w:rsid w:val="5D21680C"/>
    <w:rsid w:val="5D283C91"/>
    <w:rsid w:val="5D3726C9"/>
    <w:rsid w:val="5D3A7F22"/>
    <w:rsid w:val="5D75771C"/>
    <w:rsid w:val="5D7F50B9"/>
    <w:rsid w:val="5E2467F1"/>
    <w:rsid w:val="5E93110E"/>
    <w:rsid w:val="5E946CD5"/>
    <w:rsid w:val="5ED97075"/>
    <w:rsid w:val="5F1A2B43"/>
    <w:rsid w:val="5F1C74CA"/>
    <w:rsid w:val="5F525F6D"/>
    <w:rsid w:val="5F566723"/>
    <w:rsid w:val="5FB837BB"/>
    <w:rsid w:val="5FDA479A"/>
    <w:rsid w:val="5FEE3B65"/>
    <w:rsid w:val="5FF02631"/>
    <w:rsid w:val="60077033"/>
    <w:rsid w:val="602D6CC3"/>
    <w:rsid w:val="60302040"/>
    <w:rsid w:val="603911C4"/>
    <w:rsid w:val="60CC405A"/>
    <w:rsid w:val="60D463BD"/>
    <w:rsid w:val="610304A9"/>
    <w:rsid w:val="612A268E"/>
    <w:rsid w:val="612A6F79"/>
    <w:rsid w:val="61337029"/>
    <w:rsid w:val="617338A0"/>
    <w:rsid w:val="61E215D8"/>
    <w:rsid w:val="621B3775"/>
    <w:rsid w:val="621B44ED"/>
    <w:rsid w:val="62364782"/>
    <w:rsid w:val="623A4DA0"/>
    <w:rsid w:val="62B84090"/>
    <w:rsid w:val="631C1242"/>
    <w:rsid w:val="6342079C"/>
    <w:rsid w:val="63701ABF"/>
    <w:rsid w:val="6394356A"/>
    <w:rsid w:val="63943B8E"/>
    <w:rsid w:val="63AA2F4B"/>
    <w:rsid w:val="63BA45EF"/>
    <w:rsid w:val="63C61B2C"/>
    <w:rsid w:val="63D23E09"/>
    <w:rsid w:val="63D40BE9"/>
    <w:rsid w:val="64102431"/>
    <w:rsid w:val="641368EE"/>
    <w:rsid w:val="64790662"/>
    <w:rsid w:val="64A42EE1"/>
    <w:rsid w:val="64A5243A"/>
    <w:rsid w:val="64B72FF9"/>
    <w:rsid w:val="64DC1324"/>
    <w:rsid w:val="64E32764"/>
    <w:rsid w:val="64E9120E"/>
    <w:rsid w:val="64F531DE"/>
    <w:rsid w:val="65373578"/>
    <w:rsid w:val="655E599F"/>
    <w:rsid w:val="65767134"/>
    <w:rsid w:val="66261A6A"/>
    <w:rsid w:val="66870868"/>
    <w:rsid w:val="668C674F"/>
    <w:rsid w:val="670538BB"/>
    <w:rsid w:val="67127FC0"/>
    <w:rsid w:val="671F124A"/>
    <w:rsid w:val="675114E9"/>
    <w:rsid w:val="677A33C6"/>
    <w:rsid w:val="678206E6"/>
    <w:rsid w:val="67930044"/>
    <w:rsid w:val="67963CBC"/>
    <w:rsid w:val="680750EE"/>
    <w:rsid w:val="6819051A"/>
    <w:rsid w:val="681F6961"/>
    <w:rsid w:val="684D36D0"/>
    <w:rsid w:val="68610A2F"/>
    <w:rsid w:val="68805514"/>
    <w:rsid w:val="689E0E7C"/>
    <w:rsid w:val="689F6284"/>
    <w:rsid w:val="68AF3089"/>
    <w:rsid w:val="68B77A19"/>
    <w:rsid w:val="68D01B93"/>
    <w:rsid w:val="68F60550"/>
    <w:rsid w:val="68F823CD"/>
    <w:rsid w:val="69272751"/>
    <w:rsid w:val="69316E2F"/>
    <w:rsid w:val="694B57C7"/>
    <w:rsid w:val="694E2071"/>
    <w:rsid w:val="69766163"/>
    <w:rsid w:val="697A3B33"/>
    <w:rsid w:val="6984294B"/>
    <w:rsid w:val="69D44760"/>
    <w:rsid w:val="6A1A6C61"/>
    <w:rsid w:val="6A224022"/>
    <w:rsid w:val="6A3A2E32"/>
    <w:rsid w:val="6A4946F9"/>
    <w:rsid w:val="6A520EC7"/>
    <w:rsid w:val="6A575068"/>
    <w:rsid w:val="6A820329"/>
    <w:rsid w:val="6A9F563C"/>
    <w:rsid w:val="6AB14312"/>
    <w:rsid w:val="6AD3386D"/>
    <w:rsid w:val="6AD71E41"/>
    <w:rsid w:val="6AF87E20"/>
    <w:rsid w:val="6B322639"/>
    <w:rsid w:val="6B5A620B"/>
    <w:rsid w:val="6B7021BC"/>
    <w:rsid w:val="6BF25349"/>
    <w:rsid w:val="6C382C77"/>
    <w:rsid w:val="6C636C38"/>
    <w:rsid w:val="6C780303"/>
    <w:rsid w:val="6C787643"/>
    <w:rsid w:val="6C7F2654"/>
    <w:rsid w:val="6CEA2CA9"/>
    <w:rsid w:val="6D4A1CA4"/>
    <w:rsid w:val="6D88421F"/>
    <w:rsid w:val="6DB34098"/>
    <w:rsid w:val="6DB545B6"/>
    <w:rsid w:val="6DC04AA2"/>
    <w:rsid w:val="6DE02FB4"/>
    <w:rsid w:val="6DF82549"/>
    <w:rsid w:val="6E0E70E0"/>
    <w:rsid w:val="6E1A71F7"/>
    <w:rsid w:val="6E4218CF"/>
    <w:rsid w:val="6E4476B1"/>
    <w:rsid w:val="6E514CED"/>
    <w:rsid w:val="6E693C48"/>
    <w:rsid w:val="6E7E1FA8"/>
    <w:rsid w:val="6E7F34FE"/>
    <w:rsid w:val="6EB563D5"/>
    <w:rsid w:val="6ED528DE"/>
    <w:rsid w:val="6ED92677"/>
    <w:rsid w:val="6EF34F4A"/>
    <w:rsid w:val="6F15657E"/>
    <w:rsid w:val="6F225983"/>
    <w:rsid w:val="6FA021C3"/>
    <w:rsid w:val="6FA841C0"/>
    <w:rsid w:val="6FC8233B"/>
    <w:rsid w:val="6FD91B79"/>
    <w:rsid w:val="6FF504CA"/>
    <w:rsid w:val="6FFC5590"/>
    <w:rsid w:val="706D1DD0"/>
    <w:rsid w:val="70856B87"/>
    <w:rsid w:val="7097608B"/>
    <w:rsid w:val="70D527EE"/>
    <w:rsid w:val="70FC31A3"/>
    <w:rsid w:val="71017ADB"/>
    <w:rsid w:val="713D36A3"/>
    <w:rsid w:val="715B5300"/>
    <w:rsid w:val="71B1117D"/>
    <w:rsid w:val="71D27F8A"/>
    <w:rsid w:val="71F61544"/>
    <w:rsid w:val="72472CFE"/>
    <w:rsid w:val="724B7B15"/>
    <w:rsid w:val="72553024"/>
    <w:rsid w:val="72586EEE"/>
    <w:rsid w:val="72A531BA"/>
    <w:rsid w:val="72B54755"/>
    <w:rsid w:val="72CC236B"/>
    <w:rsid w:val="72CD77C6"/>
    <w:rsid w:val="72D07765"/>
    <w:rsid w:val="73041A3E"/>
    <w:rsid w:val="73122968"/>
    <w:rsid w:val="731F5D5E"/>
    <w:rsid w:val="735F1252"/>
    <w:rsid w:val="737427E7"/>
    <w:rsid w:val="73C51AD5"/>
    <w:rsid w:val="73C86243"/>
    <w:rsid w:val="741E793C"/>
    <w:rsid w:val="74545F1C"/>
    <w:rsid w:val="745E3944"/>
    <w:rsid w:val="74CD5E04"/>
    <w:rsid w:val="74D50784"/>
    <w:rsid w:val="74FB58DC"/>
    <w:rsid w:val="754B1BF6"/>
    <w:rsid w:val="754D62F4"/>
    <w:rsid w:val="758B30E4"/>
    <w:rsid w:val="76221787"/>
    <w:rsid w:val="762943B3"/>
    <w:rsid w:val="76341C14"/>
    <w:rsid w:val="7635099D"/>
    <w:rsid w:val="76387560"/>
    <w:rsid w:val="763E565E"/>
    <w:rsid w:val="76AC6EDA"/>
    <w:rsid w:val="76BE4128"/>
    <w:rsid w:val="76CC0AC5"/>
    <w:rsid w:val="76D025F8"/>
    <w:rsid w:val="772020DD"/>
    <w:rsid w:val="77282ACB"/>
    <w:rsid w:val="77495AC1"/>
    <w:rsid w:val="77762421"/>
    <w:rsid w:val="77B56B1F"/>
    <w:rsid w:val="77CD52DA"/>
    <w:rsid w:val="780F09F4"/>
    <w:rsid w:val="78A90480"/>
    <w:rsid w:val="78AC2DF2"/>
    <w:rsid w:val="78DE4041"/>
    <w:rsid w:val="79716197"/>
    <w:rsid w:val="79CA2419"/>
    <w:rsid w:val="7A364017"/>
    <w:rsid w:val="7A386856"/>
    <w:rsid w:val="7A3A4C2D"/>
    <w:rsid w:val="7A485B17"/>
    <w:rsid w:val="7A8265E1"/>
    <w:rsid w:val="7A962E63"/>
    <w:rsid w:val="7AB86458"/>
    <w:rsid w:val="7ABA32DC"/>
    <w:rsid w:val="7B096776"/>
    <w:rsid w:val="7B191A7C"/>
    <w:rsid w:val="7B2B7C21"/>
    <w:rsid w:val="7B4A09EF"/>
    <w:rsid w:val="7B686D42"/>
    <w:rsid w:val="7B841746"/>
    <w:rsid w:val="7B85640D"/>
    <w:rsid w:val="7C1237C8"/>
    <w:rsid w:val="7C2D3DB4"/>
    <w:rsid w:val="7C436C6B"/>
    <w:rsid w:val="7C4741F5"/>
    <w:rsid w:val="7C526867"/>
    <w:rsid w:val="7C547D78"/>
    <w:rsid w:val="7C677531"/>
    <w:rsid w:val="7C6C5AC7"/>
    <w:rsid w:val="7CAA47C9"/>
    <w:rsid w:val="7CB130B0"/>
    <w:rsid w:val="7CB23257"/>
    <w:rsid w:val="7CC6544B"/>
    <w:rsid w:val="7CF51F2D"/>
    <w:rsid w:val="7D0239FF"/>
    <w:rsid w:val="7D15076D"/>
    <w:rsid w:val="7D5B046C"/>
    <w:rsid w:val="7D5E40CD"/>
    <w:rsid w:val="7DCD56F2"/>
    <w:rsid w:val="7DFD4DCC"/>
    <w:rsid w:val="7E157F28"/>
    <w:rsid w:val="7E45321B"/>
    <w:rsid w:val="7E7059A4"/>
    <w:rsid w:val="7E82230F"/>
    <w:rsid w:val="7EB611BE"/>
    <w:rsid w:val="7EB706EC"/>
    <w:rsid w:val="7ED168E2"/>
    <w:rsid w:val="7F001CE7"/>
    <w:rsid w:val="7FE47E50"/>
    <w:rsid w:val="7FEB3F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qFormat="1" w:unhideWhenUsed="0" w:uiPriority="0" w:semiHidden="0" w:name="toa heading" w:locked="1"/>
    <w:lsdException w:qFormat="1"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qFormat="1" w:unhideWhenUsed="0" w:uiPriority="0" w:semiHidden="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unhideWhenUsed/>
    <w:qFormat/>
    <w:locked/>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locked/>
    <w:uiPriority w:val="0"/>
    <w:pPr>
      <w:numPr>
        <w:ilvl w:val="2"/>
        <w:numId w:val="1"/>
      </w:numPr>
      <w:spacing w:beforeAutospacing="0" w:afterAutospacing="0"/>
      <w:ind w:firstLine="0" w:firstLineChars="0"/>
      <w:jc w:val="left"/>
      <w:outlineLvl w:val="2"/>
    </w:pPr>
    <w:rPr>
      <w:rFonts w:cs="Times New Roman"/>
      <w:b/>
      <w:kern w:val="0"/>
      <w:lang w:bidi="ar"/>
    </w:rPr>
  </w:style>
  <w:style w:type="paragraph" w:styleId="5">
    <w:name w:val="heading 4"/>
    <w:basedOn w:val="1"/>
    <w:next w:val="1"/>
    <w:qFormat/>
    <w:locked/>
    <w:uiPriority w:val="0"/>
    <w:pPr>
      <w:keepNext/>
      <w:keepLines/>
      <w:numPr>
        <w:ilvl w:val="3"/>
        <w:numId w:val="1"/>
      </w:numPr>
      <w:spacing w:after="120" w:line="360" w:lineRule="auto"/>
      <w:ind w:left="864" w:hanging="864" w:firstLineChars="0"/>
      <w:jc w:val="left"/>
      <w:outlineLvl w:val="3"/>
    </w:pPr>
    <w:rPr>
      <w:rFonts w:ascii="Times New Roman" w:hAnsi="Times New Roman" w:eastAsia="宋体"/>
      <w:bCs/>
      <w:szCs w:val="28"/>
      <w:u w:val="none"/>
    </w:rPr>
  </w:style>
  <w:style w:type="character" w:default="1" w:styleId="25">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locked/>
    <w:uiPriority w:val="0"/>
    <w:pPr>
      <w:ind w:left="420" w:leftChars="200"/>
    </w:pPr>
  </w:style>
  <w:style w:type="paragraph" w:styleId="7">
    <w:name w:val="Normal Indent"/>
    <w:basedOn w:val="1"/>
    <w:next w:val="1"/>
    <w:qFormat/>
    <w:locked/>
    <w:uiPriority w:val="0"/>
    <w:pPr>
      <w:ind w:firstLine="420"/>
    </w:pPr>
    <w:rPr>
      <w:rFonts w:ascii="Calibri" w:hAnsi="Calibri"/>
      <w:sz w:val="24"/>
      <w:szCs w:val="20"/>
    </w:rPr>
  </w:style>
  <w:style w:type="paragraph" w:styleId="8">
    <w:name w:val="toa heading"/>
    <w:basedOn w:val="1"/>
    <w:next w:val="1"/>
    <w:qFormat/>
    <w:locked/>
    <w:uiPriority w:val="0"/>
    <w:pPr>
      <w:widowControl w:val="0"/>
      <w:autoSpaceDE w:val="0"/>
      <w:autoSpaceDN w:val="0"/>
      <w:spacing w:before="120" w:line="360" w:lineRule="auto"/>
      <w:ind w:firstLine="400" w:firstLineChars="200"/>
      <w:jc w:val="both"/>
    </w:pPr>
    <w:rPr>
      <w:rFonts w:ascii="Arial" w:hAnsi="Arial" w:cs="Times New Roman"/>
      <w:szCs w:val="22"/>
      <w:lang w:val="zh-CN" w:bidi="zh-CN"/>
    </w:rPr>
  </w:style>
  <w:style w:type="paragraph" w:styleId="9">
    <w:name w:val="annotation text"/>
    <w:basedOn w:val="1"/>
    <w:link w:val="31"/>
    <w:semiHidden/>
    <w:qFormat/>
    <w:uiPriority w:val="0"/>
    <w:pPr>
      <w:jc w:val="left"/>
    </w:pPr>
    <w:rPr>
      <w:kern w:val="0"/>
      <w:sz w:val="24"/>
      <w:szCs w:val="20"/>
    </w:rPr>
  </w:style>
  <w:style w:type="paragraph" w:styleId="10">
    <w:name w:val="Body Text"/>
    <w:basedOn w:val="1"/>
    <w:next w:val="1"/>
    <w:link w:val="32"/>
    <w:qFormat/>
    <w:uiPriority w:val="0"/>
    <w:pPr>
      <w:widowControl/>
      <w:snapToGrid w:val="0"/>
      <w:spacing w:before="60" w:after="160" w:line="259" w:lineRule="auto"/>
      <w:ind w:right="113"/>
    </w:pPr>
    <w:rPr>
      <w:kern w:val="0"/>
      <w:sz w:val="18"/>
      <w:szCs w:val="20"/>
    </w:rPr>
  </w:style>
  <w:style w:type="paragraph" w:styleId="11">
    <w:name w:val="Body Text Indent"/>
    <w:basedOn w:val="1"/>
    <w:next w:val="5"/>
    <w:link w:val="33"/>
    <w:qFormat/>
    <w:uiPriority w:val="0"/>
    <w:pPr>
      <w:spacing w:after="120"/>
      <w:ind w:left="420" w:leftChars="200"/>
    </w:pPr>
    <w:rPr>
      <w:kern w:val="0"/>
      <w:sz w:val="24"/>
      <w:szCs w:val="20"/>
    </w:rPr>
  </w:style>
  <w:style w:type="paragraph" w:styleId="12">
    <w:name w:val="Date"/>
    <w:basedOn w:val="1"/>
    <w:next w:val="1"/>
    <w:link w:val="34"/>
    <w:qFormat/>
    <w:uiPriority w:val="0"/>
    <w:pPr>
      <w:ind w:left="100" w:leftChars="2500"/>
    </w:pPr>
    <w:rPr>
      <w:kern w:val="0"/>
      <w:sz w:val="24"/>
      <w:szCs w:val="20"/>
    </w:rPr>
  </w:style>
  <w:style w:type="paragraph" w:styleId="13">
    <w:name w:val="Balloon Text"/>
    <w:basedOn w:val="1"/>
    <w:link w:val="35"/>
    <w:semiHidden/>
    <w:qFormat/>
    <w:uiPriority w:val="0"/>
    <w:rPr>
      <w:kern w:val="0"/>
      <w:sz w:val="18"/>
      <w:szCs w:val="20"/>
    </w:rPr>
  </w:style>
  <w:style w:type="paragraph" w:styleId="14">
    <w:name w:val="footer"/>
    <w:basedOn w:val="1"/>
    <w:link w:val="36"/>
    <w:qFormat/>
    <w:uiPriority w:val="99"/>
    <w:pPr>
      <w:tabs>
        <w:tab w:val="center" w:pos="4153"/>
        <w:tab w:val="right" w:pos="8306"/>
      </w:tabs>
      <w:snapToGrid w:val="0"/>
      <w:jc w:val="left"/>
    </w:pPr>
    <w:rPr>
      <w:kern w:val="0"/>
      <w:sz w:val="18"/>
      <w:szCs w:val="20"/>
    </w:rPr>
  </w:style>
  <w:style w:type="paragraph" w:styleId="15">
    <w:name w:val="header"/>
    <w:basedOn w:val="1"/>
    <w:link w:val="37"/>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List"/>
    <w:basedOn w:val="1"/>
    <w:unhideWhenUsed/>
    <w:qFormat/>
    <w:locked/>
    <w:uiPriority w:val="0"/>
    <w:pPr>
      <w:adjustRightInd w:val="0"/>
      <w:spacing w:line="360" w:lineRule="auto"/>
      <w:ind w:left="-2" w:leftChars="-1" w:right="-108" w:rightChars="-45" w:firstLine="420" w:firstLineChars="200"/>
      <w:jc w:val="left"/>
    </w:pPr>
    <w:rPr>
      <w:rFonts w:ascii="黑体" w:eastAsia="黑体" w:cs="Times New Roman"/>
      <w:kern w:val="0"/>
      <w:sz w:val="20"/>
      <w:szCs w:val="20"/>
    </w:rPr>
  </w:style>
  <w:style w:type="paragraph" w:styleId="17">
    <w:name w:val="Body Text 2"/>
    <w:basedOn w:val="1"/>
    <w:qFormat/>
    <w:locked/>
    <w:uiPriority w:val="0"/>
    <w:pPr>
      <w:spacing w:line="500" w:lineRule="atLeast"/>
      <w:jc w:val="center"/>
    </w:pPr>
    <w:rPr>
      <w:rFonts w:ascii="Calibri" w:hAnsi="Calibri"/>
      <w:sz w:val="30"/>
      <w:szCs w:val="20"/>
    </w:rPr>
  </w:style>
  <w:style w:type="paragraph" w:styleId="18">
    <w:name w:val="Normal (Web)"/>
    <w:basedOn w:val="1"/>
    <w:link w:val="38"/>
    <w:qFormat/>
    <w:uiPriority w:val="99"/>
    <w:pPr>
      <w:widowControl/>
      <w:spacing w:before="100" w:beforeAutospacing="1" w:after="100" w:afterAutospacing="1"/>
      <w:jc w:val="left"/>
    </w:pPr>
    <w:rPr>
      <w:rFonts w:ascii="宋体" w:hAnsi="宋体"/>
      <w:kern w:val="0"/>
      <w:sz w:val="24"/>
      <w:szCs w:val="20"/>
    </w:rPr>
  </w:style>
  <w:style w:type="paragraph" w:styleId="19">
    <w:name w:val="annotation subject"/>
    <w:basedOn w:val="9"/>
    <w:next w:val="9"/>
    <w:link w:val="39"/>
    <w:semiHidden/>
    <w:qFormat/>
    <w:uiPriority w:val="0"/>
    <w:rPr>
      <w:b/>
      <w:sz w:val="24"/>
      <w:szCs w:val="20"/>
    </w:rPr>
  </w:style>
  <w:style w:type="paragraph" w:styleId="20">
    <w:name w:val="Body Text First Indent"/>
    <w:basedOn w:val="10"/>
    <w:next w:val="1"/>
    <w:qFormat/>
    <w:locked/>
    <w:uiPriority w:val="0"/>
    <w:pPr>
      <w:ind w:firstLine="420" w:firstLineChars="100"/>
    </w:pPr>
  </w:style>
  <w:style w:type="paragraph" w:styleId="21">
    <w:name w:val="Body Text First Indent 2"/>
    <w:basedOn w:val="11"/>
    <w:next w:val="1"/>
    <w:qFormat/>
    <w:locked/>
    <w:uiPriority w:val="0"/>
    <w:pPr>
      <w:ind w:firstLine="420" w:firstLineChars="200"/>
    </w:pPr>
  </w:style>
  <w:style w:type="table" w:styleId="23">
    <w:name w:val="Table Grid"/>
    <w:basedOn w:val="2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Table Theme"/>
    <w:basedOn w:val="22"/>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locked/>
    <w:uiPriority w:val="0"/>
  </w:style>
  <w:style w:type="character" w:styleId="28">
    <w:name w:val="Hyperlink"/>
    <w:basedOn w:val="25"/>
    <w:qFormat/>
    <w:locked/>
    <w:uiPriority w:val="0"/>
    <w:rPr>
      <w:color w:val="0000FF"/>
      <w:u w:val="single"/>
    </w:rPr>
  </w:style>
  <w:style w:type="character" w:styleId="29">
    <w:name w:val="annotation reference"/>
    <w:semiHidden/>
    <w:qFormat/>
    <w:uiPriority w:val="0"/>
    <w:rPr>
      <w:sz w:val="21"/>
    </w:rPr>
  </w:style>
  <w:style w:type="paragraph" w:customStyle="1" w:styleId="30">
    <w:name w:val="xl27"/>
    <w:basedOn w:val="6"/>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31">
    <w:name w:val="批注文字 字符"/>
    <w:link w:val="9"/>
    <w:qFormat/>
    <w:locked/>
    <w:uiPriority w:val="0"/>
    <w:rPr>
      <w:rFonts w:ascii="Times New Roman" w:hAnsi="Times New Roman" w:eastAsia="宋体"/>
      <w:sz w:val="24"/>
    </w:rPr>
  </w:style>
  <w:style w:type="character" w:customStyle="1" w:styleId="32">
    <w:name w:val="正文文本 字符"/>
    <w:link w:val="10"/>
    <w:qFormat/>
    <w:locked/>
    <w:uiPriority w:val="0"/>
    <w:rPr>
      <w:sz w:val="18"/>
    </w:rPr>
  </w:style>
  <w:style w:type="character" w:customStyle="1" w:styleId="33">
    <w:name w:val="正文文本缩进 字符"/>
    <w:link w:val="11"/>
    <w:semiHidden/>
    <w:qFormat/>
    <w:locked/>
    <w:uiPriority w:val="0"/>
    <w:rPr>
      <w:rFonts w:ascii="Times New Roman" w:hAnsi="Times New Roman" w:eastAsia="宋体"/>
      <w:sz w:val="24"/>
    </w:rPr>
  </w:style>
  <w:style w:type="character" w:customStyle="1" w:styleId="34">
    <w:name w:val="日期 字符1"/>
    <w:link w:val="12"/>
    <w:qFormat/>
    <w:locked/>
    <w:uiPriority w:val="0"/>
    <w:rPr>
      <w:rFonts w:ascii="Times New Roman" w:hAnsi="Times New Roman" w:eastAsia="宋体"/>
      <w:sz w:val="24"/>
    </w:rPr>
  </w:style>
  <w:style w:type="character" w:customStyle="1" w:styleId="35">
    <w:name w:val="批注框文本 字符"/>
    <w:link w:val="13"/>
    <w:semiHidden/>
    <w:qFormat/>
    <w:locked/>
    <w:uiPriority w:val="0"/>
    <w:rPr>
      <w:rFonts w:ascii="Times New Roman" w:hAnsi="Times New Roman" w:eastAsia="宋体"/>
      <w:sz w:val="18"/>
    </w:rPr>
  </w:style>
  <w:style w:type="character" w:customStyle="1" w:styleId="36">
    <w:name w:val="页脚 字符1"/>
    <w:link w:val="14"/>
    <w:qFormat/>
    <w:locked/>
    <w:uiPriority w:val="99"/>
    <w:rPr>
      <w:sz w:val="18"/>
    </w:rPr>
  </w:style>
  <w:style w:type="character" w:customStyle="1" w:styleId="37">
    <w:name w:val="页眉 字符"/>
    <w:link w:val="15"/>
    <w:qFormat/>
    <w:locked/>
    <w:uiPriority w:val="0"/>
    <w:rPr>
      <w:sz w:val="18"/>
    </w:rPr>
  </w:style>
  <w:style w:type="character" w:customStyle="1" w:styleId="38">
    <w:name w:val="普通(网站) 字符"/>
    <w:link w:val="18"/>
    <w:qFormat/>
    <w:locked/>
    <w:uiPriority w:val="0"/>
    <w:rPr>
      <w:rFonts w:ascii="宋体" w:hAnsi="宋体" w:eastAsia="宋体"/>
      <w:sz w:val="24"/>
    </w:rPr>
  </w:style>
  <w:style w:type="character" w:customStyle="1" w:styleId="39">
    <w:name w:val="批注主题 字符"/>
    <w:link w:val="19"/>
    <w:semiHidden/>
    <w:qFormat/>
    <w:locked/>
    <w:uiPriority w:val="0"/>
    <w:rPr>
      <w:rFonts w:ascii="Times New Roman" w:hAnsi="Times New Roman" w:eastAsia="宋体"/>
      <w:b/>
      <w:kern w:val="2"/>
      <w:sz w:val="24"/>
    </w:rPr>
  </w:style>
  <w:style w:type="character" w:customStyle="1" w:styleId="40">
    <w:name w:val="页脚 字符"/>
    <w:basedOn w:val="25"/>
    <w:qFormat/>
    <w:uiPriority w:val="99"/>
  </w:style>
  <w:style w:type="character" w:customStyle="1" w:styleId="41">
    <w:name w:val="正文文本 字符1"/>
    <w:semiHidden/>
    <w:qFormat/>
    <w:uiPriority w:val="0"/>
    <w:rPr>
      <w:rFonts w:ascii="Times New Roman" w:hAnsi="Times New Roman" w:eastAsia="宋体"/>
      <w:sz w:val="24"/>
    </w:rPr>
  </w:style>
  <w:style w:type="character" w:customStyle="1" w:styleId="42">
    <w:name w:val="表格 Char"/>
    <w:link w:val="43"/>
    <w:qFormat/>
    <w:locked/>
    <w:uiPriority w:val="0"/>
    <w:rPr>
      <w:rFonts w:ascii="宋体"/>
      <w:sz w:val="21"/>
    </w:rPr>
  </w:style>
  <w:style w:type="paragraph" w:customStyle="1" w:styleId="43">
    <w:name w:val="表格"/>
    <w:basedOn w:val="16"/>
    <w:next w:val="1"/>
    <w:link w:val="42"/>
    <w:qFormat/>
    <w:uiPriority w:val="0"/>
    <w:pPr>
      <w:adjustRightInd w:val="0"/>
      <w:snapToGrid w:val="0"/>
      <w:spacing w:beforeLines="10" w:afterLines="10" w:line="259" w:lineRule="auto"/>
      <w:jc w:val="center"/>
    </w:pPr>
    <w:rPr>
      <w:rFonts w:ascii="宋体"/>
      <w:kern w:val="0"/>
      <w:szCs w:val="20"/>
    </w:rPr>
  </w:style>
  <w:style w:type="character" w:customStyle="1" w:styleId="44">
    <w:name w:val="日期 字符"/>
    <w:semiHidden/>
    <w:qFormat/>
    <w:uiPriority w:val="0"/>
    <w:rPr>
      <w:rFonts w:ascii="Times New Roman" w:hAnsi="Times New Roman" w:eastAsia="宋体"/>
      <w:sz w:val="24"/>
    </w:rPr>
  </w:style>
  <w:style w:type="character" w:customStyle="1" w:styleId="45">
    <w:name w:val="批注文字 字符1"/>
    <w:semiHidden/>
    <w:qFormat/>
    <w:uiPriority w:val="0"/>
    <w:rPr>
      <w:rFonts w:ascii="Times New Roman" w:hAnsi="Times New Roman" w:eastAsia="宋体"/>
      <w:sz w:val="24"/>
    </w:rPr>
  </w:style>
  <w:style w:type="paragraph" w:customStyle="1" w:styleId="4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8">
    <w:name w:val="p1"/>
    <w:basedOn w:val="1"/>
    <w:qFormat/>
    <w:uiPriority w:val="0"/>
    <w:pPr>
      <w:widowControl/>
      <w:jc w:val="left"/>
    </w:pPr>
    <w:rPr>
      <w:rFonts w:ascii="Wingdings 2" w:hAnsi="Wingdings 2" w:cs="宋体"/>
      <w:color w:val="000000"/>
      <w:kern w:val="0"/>
      <w:sz w:val="18"/>
      <w:szCs w:val="18"/>
    </w:rPr>
  </w:style>
  <w:style w:type="paragraph" w:styleId="49">
    <w:name w:val="List Paragraph"/>
    <w:basedOn w:val="1"/>
    <w:qFormat/>
    <w:uiPriority w:val="34"/>
    <w:pPr>
      <w:ind w:firstLine="420" w:firstLineChars="200"/>
    </w:pPr>
  </w:style>
  <w:style w:type="character" w:customStyle="1" w:styleId="50">
    <w:name w:val="apple-converted-space"/>
    <w:basedOn w:val="25"/>
    <w:qFormat/>
    <w:uiPriority w:val="0"/>
  </w:style>
  <w:style w:type="character" w:customStyle="1" w:styleId="51">
    <w:name w:val="s1"/>
    <w:qFormat/>
    <w:uiPriority w:val="0"/>
    <w:rPr>
      <w:rFonts w:hint="default" w:ascii="Helvetica" w:hAnsi="Helvetica"/>
      <w:sz w:val="14"/>
      <w:szCs w:val="14"/>
    </w:rPr>
  </w:style>
  <w:style w:type="paragraph" w:customStyle="1" w:styleId="52">
    <w:name w:val="表格1"/>
    <w:basedOn w:val="1"/>
    <w:qFormat/>
    <w:uiPriority w:val="0"/>
    <w:pPr>
      <w:adjustRightInd w:val="0"/>
      <w:spacing w:line="20" w:lineRule="atLeast"/>
      <w:jc w:val="center"/>
      <w:textAlignment w:val="center"/>
    </w:pPr>
    <w:rPr>
      <w:rFonts w:ascii="宋体"/>
      <w:szCs w:val="20"/>
    </w:rPr>
  </w:style>
  <w:style w:type="character" w:customStyle="1" w:styleId="53">
    <w:name w:val="textfont1"/>
    <w:qFormat/>
    <w:uiPriority w:val="0"/>
    <w:rPr>
      <w:rFonts w:hint="default" w:ascii="_x000B__x000C_" w:hAnsi="_x000B__x000C_"/>
      <w:color w:val="000000"/>
      <w:sz w:val="22"/>
      <w:szCs w:val="22"/>
    </w:rPr>
  </w:style>
  <w:style w:type="paragraph" w:customStyle="1" w:styleId="54">
    <w:name w:val="Table Text"/>
    <w:basedOn w:val="1"/>
    <w:semiHidden/>
    <w:qFormat/>
    <w:uiPriority w:val="0"/>
    <w:rPr>
      <w:rFonts w:ascii="宋体" w:hAnsi="宋体" w:eastAsia="宋体" w:cs="宋体"/>
      <w:sz w:val="22"/>
      <w:szCs w:val="22"/>
      <w:lang w:val="en-US" w:eastAsia="en-US" w:bidi="ar-SA"/>
    </w:rPr>
  </w:style>
  <w:style w:type="table" w:customStyle="1" w:styleId="55">
    <w:name w:val="Table Normal"/>
    <w:semiHidden/>
    <w:unhideWhenUsed/>
    <w:qFormat/>
    <w:uiPriority w:val="0"/>
    <w:tblPr>
      <w:tblCellMar>
        <w:top w:w="0" w:type="dxa"/>
        <w:left w:w="0" w:type="dxa"/>
        <w:bottom w:w="0" w:type="dxa"/>
        <w:right w:w="0" w:type="dxa"/>
      </w:tblCellMar>
    </w:tblPr>
  </w:style>
  <w:style w:type="paragraph" w:customStyle="1" w:styleId="56">
    <w:name w:val="样式 首行缩进:  1 厘米 行距: 固定值 25 磅"/>
    <w:basedOn w:val="1"/>
    <w:qFormat/>
    <w:uiPriority w:val="0"/>
    <w:pPr>
      <w:adjustRightInd w:val="0"/>
      <w:spacing w:line="360" w:lineRule="auto"/>
      <w:ind w:firstLine="200" w:firstLineChars="200"/>
      <w:jc w:val="left"/>
      <w:textAlignment w:val="baseline"/>
    </w:pPr>
    <w:rPr>
      <w:rFonts w:ascii="宋体" w:cs="宋体"/>
      <w:snapToGrid w:val="0"/>
      <w:kern w:val="24"/>
    </w:rPr>
  </w:style>
  <w:style w:type="paragraph" w:customStyle="1" w:styleId="57">
    <w:name w:val="卓龙正文"/>
    <w:basedOn w:val="1"/>
    <w:qFormat/>
    <w:uiPriority w:val="0"/>
    <w:pPr>
      <w:spacing w:line="360" w:lineRule="auto"/>
      <w:ind w:firstLine="200" w:firstLineChars="200"/>
    </w:pPr>
    <w:rPr>
      <w:sz w:val="24"/>
      <w:szCs w:val="24"/>
    </w:rPr>
  </w:style>
  <w:style w:type="paragraph" w:customStyle="1" w:styleId="58">
    <w:name w:val="表4"/>
    <w:basedOn w:val="59"/>
    <w:qFormat/>
    <w:uiPriority w:val="0"/>
    <w:pPr>
      <w:numPr>
        <w:ilvl w:val="0"/>
        <w:numId w:val="2"/>
      </w:numPr>
      <w:jc w:val="center"/>
    </w:pPr>
  </w:style>
  <w:style w:type="paragraph" w:customStyle="1" w:styleId="59">
    <w:name w:val="表标题4"/>
    <w:basedOn w:val="60"/>
    <w:qFormat/>
    <w:uiPriority w:val="0"/>
    <w:pPr>
      <w:numPr>
        <w:ilvl w:val="0"/>
        <w:numId w:val="3"/>
      </w:numPr>
      <w:adjustRightInd w:val="0"/>
      <w:spacing w:beforeLines="0" w:afterLines="0" w:line="240" w:lineRule="auto"/>
      <w:ind w:left="0" w:firstLine="0" w:firstLineChars="0"/>
    </w:pPr>
  </w:style>
  <w:style w:type="paragraph" w:customStyle="1" w:styleId="60">
    <w:name w:val="表标题1"/>
    <w:basedOn w:val="2"/>
    <w:qFormat/>
    <w:uiPriority w:val="0"/>
    <w:pPr>
      <w:numPr>
        <w:ilvl w:val="0"/>
        <w:numId w:val="4"/>
      </w:numPr>
      <w:spacing w:after="0" w:line="240" w:lineRule="auto"/>
      <w:ind w:left="0" w:firstLine="0"/>
    </w:pPr>
    <w:rPr>
      <w:sz w:val="21"/>
    </w:rPr>
  </w:style>
  <w:style w:type="paragraph" w:customStyle="1" w:styleId="61">
    <w:name w:val="表格内容"/>
    <w:basedOn w:val="62"/>
    <w:next w:val="64"/>
    <w:qFormat/>
    <w:uiPriority w:val="0"/>
    <w:pPr>
      <w:spacing w:line="240" w:lineRule="auto"/>
      <w:ind w:firstLine="0" w:firstLineChars="0"/>
      <w:jc w:val="center"/>
    </w:pPr>
    <w:rPr>
      <w:sz w:val="21"/>
    </w:rPr>
  </w:style>
  <w:style w:type="paragraph" w:customStyle="1" w:styleId="62">
    <w:name w:val="表格标题"/>
    <w:basedOn w:val="63"/>
    <w:qFormat/>
    <w:uiPriority w:val="0"/>
    <w:pPr>
      <w:spacing w:before="120"/>
      <w:jc w:val="center"/>
    </w:pPr>
    <w:rPr>
      <w:rFonts w:ascii="Calibri" w:hAnsi="Calibri" w:eastAsia="仿宋_GB2312"/>
      <w:sz w:val="24"/>
      <w:szCs w:val="20"/>
    </w:rPr>
  </w:style>
  <w:style w:type="paragraph" w:customStyle="1" w:styleId="63">
    <w:name w:val="表头"/>
    <w:basedOn w:val="7"/>
    <w:next w:val="1"/>
    <w:qFormat/>
    <w:uiPriority w:val="0"/>
    <w:pPr>
      <w:ind w:firstLine="0"/>
    </w:pPr>
    <w:rPr>
      <w:rFonts w:ascii="黑体" w:hAnsi="宋体" w:eastAsia="黑体"/>
      <w:position w:val="10"/>
      <w:sz w:val="21"/>
      <w:szCs w:val="28"/>
    </w:rPr>
  </w:style>
  <w:style w:type="paragraph" w:customStyle="1" w:styleId="64">
    <w:name w:val="文本正文"/>
    <w:basedOn w:val="1"/>
    <w:qFormat/>
    <w:uiPriority w:val="0"/>
    <w:pPr>
      <w:ind w:firstLine="480"/>
    </w:pPr>
  </w:style>
  <w:style w:type="paragraph" w:customStyle="1" w:styleId="65">
    <w:name w:val="表格2"/>
    <w:basedOn w:val="10"/>
    <w:next w:val="1"/>
    <w:qFormat/>
    <w:uiPriority w:val="0"/>
    <w:pPr>
      <w:widowControl w:val="0"/>
      <w:tabs>
        <w:tab w:val="left" w:pos="3720"/>
      </w:tabs>
      <w:autoSpaceDE w:val="0"/>
      <w:autoSpaceDN w:val="0"/>
      <w:adjustRightInd w:val="0"/>
      <w:snapToGrid/>
      <w:spacing w:before="0" w:after="0" w:line="240" w:lineRule="auto"/>
      <w:ind w:right="0" w:firstLine="0" w:firstLineChars="0"/>
      <w:jc w:val="center"/>
      <w:textAlignment w:val="bottom"/>
    </w:pPr>
    <w:rPr>
      <w:rFonts w:ascii="Times New Roman" w:hAnsi="Times New Roman"/>
      <w:sz w:val="21"/>
      <w:szCs w:val="21"/>
    </w:rPr>
  </w:style>
  <w:style w:type="paragraph" w:customStyle="1" w:styleId="66">
    <w:name w:val="正文1"/>
    <w:basedOn w:val="1"/>
    <w:next w:val="1"/>
    <w:qFormat/>
    <w:uiPriority w:val="0"/>
    <w:pPr>
      <w:spacing w:line="360" w:lineRule="auto"/>
      <w:ind w:firstLine="723" w:firstLineChars="200"/>
    </w:pPr>
    <w:rPr>
      <w:rFonts w:ascii="Times New Roman" w:hAnsi="Times New Roman" w:eastAsia="宋体"/>
      <w:sz w:val="24"/>
    </w:rPr>
  </w:style>
  <w:style w:type="paragraph" w:customStyle="1" w:styleId="67">
    <w:name w:val="封面—落款"/>
    <w:basedOn w:val="1"/>
    <w:qFormat/>
    <w:uiPriority w:val="0"/>
    <w:pPr>
      <w:jc w:val="center"/>
    </w:pPr>
    <w:rPr>
      <w:rFonts w:ascii="楷体_GB2312" w:hAnsi="黑体" w:eastAsia="楷体_GB2312" w:cs="宋体"/>
      <w:b/>
      <w:sz w:val="32"/>
      <w:szCs w:val="20"/>
    </w:rPr>
  </w:style>
  <w:style w:type="paragraph" w:customStyle="1" w:styleId="68">
    <w:name w:val="环评正文"/>
    <w:basedOn w:val="1"/>
    <w:qFormat/>
    <w:uiPriority w:val="0"/>
    <w:pPr>
      <w:autoSpaceDE w:val="0"/>
      <w:autoSpaceDN w:val="0"/>
      <w:adjustRightInd w:val="0"/>
      <w:snapToGrid w:val="0"/>
      <w:spacing w:line="360" w:lineRule="auto"/>
      <w:ind w:firstLine="200" w:firstLineChars="200"/>
    </w:pPr>
    <w:rPr>
      <w:rFonts w:ascii="Times New Roman" w:hAnsi="Times New Roman" w:cs="宋体"/>
      <w:kern w:val="0"/>
      <w:sz w:val="24"/>
      <w:szCs w:val="21"/>
    </w:rPr>
  </w:style>
  <w:style w:type="paragraph" w:customStyle="1" w:styleId="69">
    <w:name w:val="Default"/>
    <w:basedOn w:val="70"/>
    <w:next w:val="1"/>
    <w:qFormat/>
    <w:uiPriority w:val="0"/>
    <w:pPr>
      <w:widowControl w:val="0"/>
      <w:autoSpaceDE w:val="0"/>
      <w:autoSpaceDN w:val="0"/>
      <w:adjustRightInd w:val="0"/>
    </w:pPr>
    <w:rPr>
      <w:rFonts w:ascii="方正姚体" w:eastAsia="方正姚体"/>
      <w:sz w:val="24"/>
      <w:szCs w:val="24"/>
    </w:rPr>
  </w:style>
  <w:style w:type="paragraph" w:customStyle="1" w:styleId="70">
    <w:name w:val="纯文本1"/>
    <w:basedOn w:val="1"/>
    <w:qFormat/>
    <w:uiPriority w:val="99"/>
    <w:pPr>
      <w:adjustRightInd w:val="0"/>
      <w:textAlignment w:val="baseline"/>
    </w:pPr>
    <w:rPr>
      <w:rFonts w:ascii="宋体" w:hAnsi="Courier New"/>
    </w:rPr>
  </w:style>
  <w:style w:type="paragraph" w:customStyle="1" w:styleId="71">
    <w:name w:val="报告表正文"/>
    <w:basedOn w:val="72"/>
    <w:qFormat/>
    <w:uiPriority w:val="0"/>
    <w:pPr>
      <w:adjustRightInd w:val="0"/>
      <w:spacing w:line="360" w:lineRule="auto"/>
      <w:ind w:left="0" w:leftChars="0" w:right="0" w:firstLine="482"/>
      <w:jc w:val="both"/>
      <w:textAlignment w:val="baseline"/>
    </w:pPr>
    <w:rPr>
      <w:rFonts w:ascii="Times New Roman" w:hAnsi="Times New Roman" w:eastAsia="宋体"/>
      <w:sz w:val="24"/>
    </w:rPr>
  </w:style>
  <w:style w:type="paragraph" w:customStyle="1" w:styleId="72">
    <w:name w:val="报告正文"/>
    <w:basedOn w:val="73"/>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73">
    <w:name w:val="p17"/>
    <w:basedOn w:val="1"/>
    <w:qFormat/>
    <w:uiPriority w:val="0"/>
    <w:pPr>
      <w:widowControl/>
    </w:pPr>
    <w:rPr>
      <w:rFonts w:ascii="宋体" w:hAnsi="宋体" w:cs="宋体"/>
      <w:kern w:val="0"/>
      <w:szCs w:val="21"/>
    </w:rPr>
  </w:style>
  <w:style w:type="paragraph" w:customStyle="1" w:styleId="74">
    <w:name w:val="表格正文"/>
    <w:basedOn w:val="62"/>
    <w:qFormat/>
    <w:uiPriority w:val="0"/>
    <w:pPr>
      <w:wordWrap w:val="0"/>
      <w:ind w:firstLine="0"/>
    </w:pPr>
  </w:style>
  <w:style w:type="paragraph" w:customStyle="1" w:styleId="75">
    <w:name w:val="Body Text 21"/>
    <w:basedOn w:val="1"/>
    <w:qFormat/>
    <w:uiPriority w:val="0"/>
    <w:pPr>
      <w:spacing w:after="120" w:line="480" w:lineRule="auto"/>
    </w:pPr>
  </w:style>
  <w:style w:type="paragraph" w:customStyle="1" w:styleId="76">
    <w:name w:val="样式5"/>
    <w:basedOn w:val="1"/>
    <w:qFormat/>
    <w:uiPriority w:val="0"/>
    <w:pPr>
      <w:snapToGrid w:val="0"/>
      <w:spacing w:line="360" w:lineRule="auto"/>
      <w:ind w:firstLine="510"/>
    </w:pPr>
    <w:rPr>
      <w:sz w:val="24"/>
    </w:rPr>
  </w:style>
  <w:style w:type="paragraph" w:customStyle="1" w:styleId="77">
    <w:name w:val="表"/>
    <w:basedOn w:val="1"/>
    <w:qFormat/>
    <w:uiPriority w:val="0"/>
    <w:pPr>
      <w:keepNext/>
      <w:keepLines/>
      <w:autoSpaceDE w:val="0"/>
      <w:autoSpaceDN w:val="0"/>
      <w:spacing w:line="240" w:lineRule="auto"/>
      <w:ind w:firstLine="0" w:firstLineChars="0"/>
      <w:jc w:val="center"/>
    </w:pPr>
    <w:rPr>
      <w:kern w:val="21"/>
      <w:sz w:val="21"/>
      <w:szCs w:val="20"/>
    </w:rPr>
  </w:style>
  <w:style w:type="paragraph" w:customStyle="1" w:styleId="78">
    <w:name w:val="。正文格式"/>
    <w:qFormat/>
    <w:uiPriority w:val="0"/>
    <w:pPr>
      <w:widowControl w:val="0"/>
      <w:spacing w:line="360" w:lineRule="auto"/>
      <w:ind w:firstLine="200" w:firstLineChars="200"/>
    </w:pPr>
    <w:rPr>
      <w:rFonts w:ascii="Times New Roman" w:hAnsi="Times New Roman" w:eastAsia="宋体" w:cs="Times New Roman"/>
      <w:sz w:val="24"/>
      <w:lang w:val="en-US" w:eastAsia="zh-CN" w:bidi="ar-SA"/>
    </w:rPr>
  </w:style>
  <w:style w:type="paragraph" w:customStyle="1" w:styleId="79">
    <w:name w:val="~~~正文"/>
    <w:basedOn w:val="1"/>
    <w:qFormat/>
    <w:uiPriority w:val="0"/>
    <w:pPr>
      <w:widowControl/>
      <w:spacing w:line="360" w:lineRule="auto"/>
      <w:ind w:firstLine="200" w:firstLineChars="200"/>
      <w:jc w:val="left"/>
    </w:pPr>
    <w:rPr>
      <w:rFonts w:ascii="Calibri" w:hAnsi="Calibri"/>
      <w:sz w:val="24"/>
    </w:rPr>
  </w:style>
  <w:style w:type="paragraph" w:styleId="80">
    <w:name w:val="No Spacing"/>
    <w:basedOn w:val="1"/>
    <w:qFormat/>
    <w:uiPriority w:val="0"/>
    <w:rPr>
      <w:szCs w:val="21"/>
    </w:rPr>
  </w:style>
  <w:style w:type="paragraph" w:customStyle="1" w:styleId="81">
    <w:name w:val="正文格式"/>
    <w:basedOn w:val="20"/>
    <w:qFormat/>
    <w:uiPriority w:val="0"/>
    <w:pPr>
      <w:widowControl/>
      <w:spacing w:after="0" w:line="360" w:lineRule="auto"/>
      <w:ind w:firstLine="200" w:firstLineChars="200"/>
      <w:jc w:val="left"/>
    </w:pPr>
    <w:rPr>
      <w:rFonts w:ascii="宋体" w:hAnsi="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bmp"/><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3d737731-8ba2-45e1-9ac7-2e0835ac89da</errorID>
      <errorWord>(</errorWord>
      <group>L1_Format</group>
      <groupName>格式问题</groupName>
      <ability>L2_HalfPunc_CN</ability>
      <abilityName>全半角问题</abilityName>
      <candidateList>
        <item>（</item>
      </candidateList>
      <explain>文本全半角错误。</explain>
      <paraID>37284C83</paraID>
      <start>26</start>
      <end>27</end>
      <status>unmodified</status>
      <modifiedWord/>
      <trackRevisions>false</trackRevisions>
    </reviewItem>
    <reviewItem>
      <errorID>3d248b9f-9b76-41ee-8b9b-a942b373585f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37284C83</paraID>
      <start>31</start>
      <end>32</end>
      <status>unmodified</status>
      <modifiedWord/>
      <trackRevisions>false</trackRevisions>
    </reviewItem>
    <reviewItem>
      <errorID>686d1aae-c800-4de1-a475-9a85368b6e7b</errorID>
      <errorWord>)</errorWord>
      <group>L1_Format</group>
      <groupName>格式问题</groupName>
      <ability>L2_HalfPunc_CN</ability>
      <abilityName>全半角问题</abilityName>
      <candidateList>
        <item>）</item>
      </candidateList>
      <explain>文本全半角错误。</explain>
      <paraID>37284C83</paraID>
      <start>37</start>
      <end>38</end>
      <status>unmodified</status>
      <modifiedWord/>
      <trackRevisions>false</trackRevisions>
    </reviewItem>
    <reviewItem>
      <errorID>20213888-7186-405f-a39b-df1751c04d20</errorID>
      <errorWord>&lt;</errorWord>
      <group>L1_Format</group>
      <groupName>格式问题</groupName>
      <ability>L2_HalfPunc_CN</ability>
      <abilityName>全半角问题</abilityName>
      <candidateList>
        <item>〈</item>
      </candidateList>
      <explain>文本全半角错误。</explain>
      <paraID>48DBDD60</paraID>
      <start>15</start>
      <end>16</end>
      <status>unmodified</status>
      <modifiedWord/>
      <trackRevisions>false</trackRevisions>
    </reviewItem>
    <reviewItem>
      <errorID>84cd3cc2-5876-48ec-9088-d19b8fea260f</errorID>
      <errorWord>(</errorWord>
      <group>L1_Format</group>
      <groupName>格式问题</groupName>
      <ability>L2_HalfPunc_CN</ability>
      <abilityName>全半角问题</abilityName>
      <candidateList>
        <item>（</item>
      </candidateList>
      <explain>文本全半角错误。</explain>
      <paraID>48DBDD60</paraID>
      <start>36</start>
      <end>37</end>
      <status>unmodified</status>
      <modifiedWord/>
      <trackRevisions>false</trackRevisions>
    </reviewItem>
    <reviewItem>
      <errorID>35d0fba0-cb21-4370-a235-27d926b5e8ee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48DBDD60</paraID>
      <start>41</start>
      <end>42</end>
      <status>unmodified</status>
      <modifiedWord/>
      <trackRevisions>false</trackRevisions>
    </reviewItem>
    <reviewItem>
      <errorID>9d2b7bbb-7dd9-4368-8e0f-568cdedb1f4e</errorID>
      <errorWord>)</errorWord>
      <group>L1_Format</group>
      <groupName>格式问题</groupName>
      <ability>L2_HalfPunc_CN</ability>
      <abilityName>全半角问题</abilityName>
      <candidateList>
        <item>）</item>
      </candidateList>
      <explain>文本全半角错误。</explain>
      <paraID>48DBDD60</paraID>
      <start>47</start>
      <end>48</end>
      <status>unmodified</status>
      <modifiedWord/>
      <trackRevisions>false</trackRevisions>
    </reviewItem>
    <reviewItem>
      <errorID>894ee012-eb33-4f8a-8528-3ee49bc1e97f</errorID>
      <errorWord>&gt;</errorWord>
      <group>L1_Format</group>
      <groupName>格式问题</groupName>
      <ability>L2_HalfPunc_CN</ability>
      <abilityName>全半角问题</abilityName>
      <candidateList>
        <item>〉</item>
      </candidateList>
      <explain>文本全半角错误。</explain>
      <paraID>48DBDD60</paraID>
      <start>48</start>
      <end>49</end>
      <status>unmodified</status>
      <modifiedWord/>
      <trackRevisions>false</trackRevisions>
    </reviewItem>
    <reviewItem>
      <errorID>40d5bba1-d992-43d1-a99d-30e5e9560b3e</errorID>
      <errorWord>(</errorWord>
      <group>L1_Format</group>
      <groupName>格式问题</groupName>
      <ability>L2_HalfPunc_CN</ability>
      <abilityName>全半角问题</abilityName>
      <candidateList>
        <item>（</item>
      </candidateList>
      <explain>文本全半角错误。</explain>
      <paraID>5F7562A7</paraID>
      <start>33</start>
      <end>34</end>
      <status>unmodified</status>
      <modifiedWord/>
      <trackRevisions>false</trackRevisions>
    </reviewItem>
    <reviewItem>
      <errorID>424f15c0-9a88-47d3-95f5-3a5061081aa1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5F7562A7</paraID>
      <start>38</start>
      <end>39</end>
      <status>unmodified</status>
      <modifiedWord/>
      <trackRevisions>false</trackRevisions>
    </reviewItem>
    <reviewItem>
      <errorID>206e106d-093c-4912-a14c-cc935d1d03da</errorID>
      <errorWord>)</errorWord>
      <group>L1_Format</group>
      <groupName>格式问题</groupName>
      <ability>L2_HalfPunc_CN</ability>
      <abilityName>全半角问题</abilityName>
      <candidateList>
        <item>）</item>
      </candidateList>
      <explain>文本全半角错误。</explain>
      <paraID>5F7562A7</paraID>
      <start>44</start>
      <end>45</end>
      <status>unmodified</status>
      <modifiedWord/>
      <trackRevisions>false</trackRevisions>
    </reviewItem>
    <reviewItem>
      <errorID>17651e0e-9f85-4056-a8b0-0200fc85abd3</errorID>
      <errorWord>&lt;</errorWord>
      <group>L1_Format</group>
      <groupName>格式问题</groupName>
      <ability>L2_HalfPunc_CN</ability>
      <abilityName>全半角问题</abilityName>
      <candidateList>
        <item>〈</item>
      </candidateList>
      <explain>文本全半角错误。</explain>
      <paraID>11BA0E19</paraID>
      <start>10</start>
      <end>11</end>
      <status>unmodified</status>
      <modifiedWord/>
      <trackRevisions>false</trackRevisions>
    </reviewItem>
    <reviewItem>
      <errorID>02332c26-cc34-4dda-b321-e5f0bb056a13</errorID>
      <errorWord>(</errorWord>
      <group>L1_Format</group>
      <groupName>格式问题</groupName>
      <ability>L2_HalfPunc_CN</ability>
      <abilityName>全半角问题</abilityName>
      <candidateList>
        <item>（</item>
      </candidateList>
      <explain>文本全半角错误。</explain>
      <paraID>11BA0E19</paraID>
      <start>30</start>
      <end>31</end>
      <status>unmodified</status>
      <modifiedWord/>
      <trackRevisions>false</trackRevisions>
    </reviewItem>
    <reviewItem>
      <errorID>2082bf44-ba6f-4cbb-af1e-7c3d59e5fa5a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11BA0E19</paraID>
      <start>35</start>
      <end>36</end>
      <status>unmodified</status>
      <modifiedWord/>
      <trackRevisions>false</trackRevisions>
    </reviewItem>
    <reviewItem>
      <errorID>52f0522d-288b-4416-a4c9-b0b8f54636e1</errorID>
      <errorWord>)</errorWord>
      <group>L1_Format</group>
      <groupName>格式问题</groupName>
      <ability>L2_HalfPunc_CN</ability>
      <abilityName>全半角问题</abilityName>
      <candidateList>
        <item>）</item>
      </candidateList>
      <explain>文本全半角错误。</explain>
      <paraID>11BA0E19</paraID>
      <start>41</start>
      <end>42</end>
      <status>unmodified</status>
      <modifiedWord/>
      <trackRevisions>false</trackRevisions>
    </reviewItem>
    <reviewItem>
      <errorID>94fffb92-35a1-4e03-b4b7-97b4deb72697</errorID>
      <errorWord>&gt;</errorWord>
      <group>L1_Format</group>
      <groupName>格式问题</groupName>
      <ability>L2_HalfPunc_CN</ability>
      <abilityName>全半角问题</abilityName>
      <candidateList>
        <item>〉</item>
      </candidateList>
      <explain>文本全半角错误。</explain>
      <paraID>11BA0E19</paraID>
      <start>49</start>
      <end>50</end>
      <status>unmodified</status>
      <modifiedWord/>
      <trackRevisions>false</trackRevisions>
    </reviewItem>
    <reviewItem>
      <errorID>9d2cee3f-52a8-40a8-888a-40d1f928bb88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29CE83B3</paraID>
      <start>0</start>
      <end>2</end>
      <status>unmodified</status>
      <modifiedWord/>
      <trackRevisions>false</trackRevisions>
    </reviewItem>
    <reviewItem>
      <errorID>12617a0b-bf56-48b5-9bdf-5cb08330055c</errorID>
      <errorWord>(</errorWord>
      <group>L1_Format</group>
      <groupName>格式问题</groupName>
      <ability>L2_HalfPunc_CN</ability>
      <abilityName>全半角问题</abilityName>
      <candidateList>
        <item>（</item>
      </candidateList>
      <explain>文本全半角错误。</explain>
      <paraID>702D42E8</paraID>
      <start>39</start>
      <end>40</end>
      <status>unmodified</status>
      <modifiedWord/>
      <trackRevisions>false</trackRevisions>
    </reviewItem>
    <reviewItem>
      <errorID>c46a9e20-d221-41cd-80a9-1e2d2318314b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702D42E8</paraID>
      <start>44</start>
      <end>45</end>
      <status>unmodified</status>
      <modifiedWord/>
      <trackRevisions>false</trackRevisions>
    </reviewItem>
    <reviewItem>
      <errorID>efd704a7-1969-4260-b9d1-c770a6c1abf1</errorID>
      <errorWord>)</errorWord>
      <group>L1_Format</group>
      <groupName>格式问题</groupName>
      <ability>L2_HalfPunc_CN</ability>
      <abilityName>全半角问题</abilityName>
      <candidateList>
        <item>）</item>
      </candidateList>
      <explain>文本全半角错误。</explain>
      <paraID>702D42E8</paraID>
      <start>50</start>
      <end>51</end>
      <status>unmodified</status>
      <modifiedWord/>
      <trackRevisions>false</trackRevisions>
    </reviewItem>
    <reviewItem>
      <errorID>d2dc8c2f-5235-4afa-8ba4-e184f3493e60</errorID>
      <errorWord>(</errorWord>
      <group>L1_Format</group>
      <groupName>格式问题</groupName>
      <ability>L2_HalfPunc_CN</ability>
      <abilityName>全半角问题</abilityName>
      <candidateList>
        <item>（</item>
      </candidateList>
      <explain>文本全半角错误。</explain>
      <paraID>702D42E8</paraID>
      <start>52</start>
      <end>53</end>
      <status>unmodified</status>
      <modifiedWord/>
      <trackRevisions>false</trackRevisions>
    </reviewItem>
    <reviewItem>
      <errorID>eb8f55bf-e0ae-44c7-801c-ac16fa0b1a12</errorID>
      <errorWord>(2025)198号</errorWord>
      <group>L1_Knowledge</group>
      <groupName>知识性问题</groupName>
      <ability>L2_Knowledge</ability>
      <abilityName>其他知识</abilityName>
      <candidateList>
        <item>〔2025〕198号</item>
      </candidateList>
      <explain>发文字号格式错误。</explain>
      <paraID>702D42E8</paraID>
      <start>57</start>
      <end>67</end>
      <status>modified</status>
      <modifiedWord>〔2025〕198号</modifiedWord>
      <trackRevisions>false</trackRevisions>
    </reviewItem>
    <reviewItem>
      <errorID>2fdfc9a0-4cba-41f8-8adb-eec17d1d6935</errorID>
      <errorWord>)</errorWord>
      <group>L1_Format</group>
      <groupName>格式问题</groupName>
      <ability>L2_HalfPunc_CN</ability>
      <abilityName>全半角问题</abilityName>
      <candidateList>
        <item>）</item>
      </candidateList>
      <explain>文本全半角错误。</explain>
      <paraID>702D42E8</paraID>
      <start>67</start>
      <end>68</end>
      <status>unmodified</status>
      <modifiedWord/>
      <trackRevisions>false</trackRevisions>
    </reviewItem>
    <reviewItem>
      <errorID>7c52c43f-7abb-4007-9bae-7e47a81a9257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37B0D06D</paraID>
      <start>15</start>
      <end>16</end>
      <status>unmodified</status>
      <modifiedWord/>
      <trackRevisions>false</trackRevisions>
    </reviewItem>
    <reviewItem>
      <errorID>62f5595c-5f9c-4f42-bfbb-3489215acb32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37B0D06D</paraID>
      <start>32</start>
      <end>33</end>
      <status>unmodified</status>
      <modifiedWord/>
      <trackRevisions>false</trackRevisions>
    </reviewItem>
    <reviewItem>
      <errorID>47551ff6-a703-43b8-8d48-d6f9d082db74</errorID>
      <errorWord>、和</errorWord>
      <group>L1_Punc</group>
      <groupName>标点问题</groupName>
      <ability>L2_Punc_CN</ability>
      <abilityName>标点符号问题</abilityName>
      <candidateList>
        <item>和</item>
      </candidateList>
      <explain>“及”“和”“等”连词前不宜使用顿号，建议删除（或使用逗号）。</explain>
      <paraID>5217F260</paraID>
      <start>16</start>
      <end>18</end>
      <status>unmodified</status>
      <modifiedWord/>
      <trackRevisions>false</trackRevisions>
    </reviewItem>
    <reviewItem>
      <errorID>1fefa401-9123-4725-b819-8f5a36a38127</errorID>
      <errorWord>、和</errorWord>
      <group>L1_Punc</group>
      <groupName>标点问题</groupName>
      <ability>L2_Punc_CN</ability>
      <abilityName>标点符号问题</abilityName>
      <candidateList>
        <item>和</item>
      </candidateList>
      <explain>“及”“和”“等”连词前不宜使用顿号，建议删除（或使用逗号）。</explain>
      <paraID>5217F260</paraID>
      <start>28</start>
      <end>30</end>
      <status>unmodified</status>
      <modifiedWord/>
      <trackRevisions>false</trackRevisions>
    </reviewItem>
    <reviewItem>
      <errorID>8c041534-7d36-41c6-b93e-46695a358898</errorID>
      <errorWord>(</errorWord>
      <group>L1_Format</group>
      <groupName>格式问题</groupName>
      <ability>L2_HalfPunc_CN</ability>
      <abilityName>全半角问题</abilityName>
      <candidateList>
        <item>（</item>
      </candidateList>
      <explain>文本全半角错误。</explain>
      <paraID>470BCAEF</paraID>
      <start>102</start>
      <end>103</end>
      <status>unmodified</status>
      <modifiedWord/>
      <trackRevisions>false</trackRevisions>
    </reviewItem>
    <reviewItem>
      <errorID>45363ae0-47a2-4be7-9b1f-dfa451f11698</errorID>
      <errorWord>)</errorWord>
      <group>L1_Format</group>
      <groupName>格式问题</groupName>
      <ability>L2_HalfPunc_CN</ability>
      <abilityName>全半角问题</abilityName>
      <candidateList>
        <item>）</item>
      </candidateList>
      <explain>文本全半角错误。</explain>
      <paraID>470BCAEF</paraID>
      <start>107</start>
      <end>108</end>
      <status>unmodified</status>
      <modifiedWord/>
      <trackRevisions>false</trackRevisions>
    </reviewItem>
    <reviewItem>
      <errorID>62e99a21-04a9-4045-acab-6f8c7786510d</errorID>
      <errorWord>;</errorWord>
      <group>L1_Format</group>
      <groupName>格式问题</groupName>
      <ability>L2_HalfPunc_CN</ability>
      <abilityName>全半角问题</abilityName>
      <candidateList>
        <item>；</item>
      </candidateList>
      <explain>文本全半角错误。</explain>
      <paraID>470BCAEF</paraID>
      <start>290</start>
      <end>291</end>
      <status>unmodified</status>
      <modifiedWord/>
      <trackRevisions>false</trackRevisions>
    </reviewItem>
    <reviewItem>
      <errorID>737f1426-535b-4546-8740-cd059750bc4e</errorID>
      <errorWord>多品硅</errorWord>
      <group>L1_Word</group>
      <groupName>字词问题</groupName>
      <ability>L2_Typo</ability>
      <abilityName>字词错误</abilityName>
      <candidateList>
        <item>多晶硅</item>
      </candidateList>
      <explain/>
      <paraID>470BCAEF</paraID>
      <start>365</start>
      <end>368</end>
      <status>modified</status>
      <modifiedWord>多晶硅</modifiedWord>
      <trackRevisions>false</trackRevisions>
    </reviewItem>
    <reviewItem>
      <errorID>d8065c52-9890-4704-b7c3-08779db89f8f</errorID>
      <errorWord>(</errorWord>
      <group>L1_Format</group>
      <groupName>格式问题</groupName>
      <ability>L2_HalfPunc_CN</ability>
      <abilityName>全半角问题</abilityName>
      <candidateList>
        <item>（</item>
      </candidateList>
      <explain>文本全半角错误。</explain>
      <paraID>55F09A56</paraID>
      <start>20</start>
      <end>21</end>
      <status>unmodified</status>
      <modifiedWord/>
      <trackRevisions>false</trackRevisions>
    </reviewItem>
    <reviewItem>
      <errorID>119aaa25-ed4f-496d-b4d1-22238afac291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55F09A56</paraID>
      <start>25</start>
      <end>26</end>
      <status>unmodified</status>
      <modifiedWord/>
      <trackRevisions>false</trackRevisions>
    </reviewItem>
    <reviewItem>
      <errorID>f534d5a4-b64a-4fb2-a2ce-53fae307ab44</errorID>
      <errorWord>)</errorWord>
      <group>L1_Format</group>
      <groupName>格式问题</groupName>
      <ability>L2_HalfPunc_CN</ability>
      <abilityName>全半角问题</abilityName>
      <candidateList>
        <item>）</item>
      </candidateList>
      <explain>文本全半角错误。</explain>
      <paraID>55F09A56</paraID>
      <start>31</start>
      <end>32</end>
      <status>unmodified</status>
      <modifiedWord/>
      <trackRevisions>false</trackRevisions>
    </reviewItem>
    <reviewItem>
      <errorID>d10afa94-74ef-478d-a615-f984a456fee7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37494173</paraID>
      <start>0</start>
      <end>2</end>
      <status>unmodified</status>
      <modifiedWord/>
      <trackRevisions>false</trackRevisions>
    </reviewItem>
    <reviewItem>
      <errorID>98bfe2e9-0570-477a-9283-8dfeea537133</errorID>
      <errorWord>资</errorWord>
      <group>L1_Grammar</group>
      <groupName>语法问题</groupName>
      <ability>L2_Collocation</ability>
      <abilityName>搭配不当</abilityName>
      <candidateList>
        <item>控制资</item>
      </candidateList>
      <explain>句子中可能存在主谓、动宾、定语中心语、状语中心语、补语中心语、关联词搭配不当等问题。</explain>
      <paraID>6034697E</paraID>
      <start>2</start>
      <end>3</end>
      <status>unmodified</status>
      <modifiedWord/>
      <trackRevisions>false</trackRevisions>
    </reviewItem>
    <reviewItem>
      <errorID>15d9c269-946e-4a5b-bb22-78250192b84e</errorID>
      <errorWord>上线</errorWord>
      <group>L1_Word</group>
      <groupName>字词问题</groupName>
      <ability>L2_Typo</ability>
      <abilityName>字词错误</abilityName>
      <candidateList>
        <item>上限</item>
      </candidateList>
      <explain/>
      <paraID>51CFDF95</paraID>
      <start>60</start>
      <end>62</end>
      <status>unmodified</status>
      <modifiedWord/>
      <trackRevisions>false</trackRevisions>
    </reviewItem>
    <reviewItem>
      <errorID>d1725b58-d4ae-4fee-abba-264c717ff013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20801BD5</paraID>
      <start>0</start>
      <end>2</end>
      <status>unmodified</status>
      <modifiedWord/>
      <trackRevisions>false</trackRevisions>
    </reviewItem>
    <reviewItem>
      <errorID>554739d7-2db1-430b-9b1f-57c3fafd9399</errorID>
      <errorWord>生态红线</errorWord>
      <group>L1_Political</group>
      <groupName>政治性问题</groupName>
      <ability>L2_Unpolitical</ability>
      <abilityName>政治敏感错误</abilityName>
      <candidateList>
        <item>生态保护红线</item>
      </candidateList>
      <explain/>
      <paraID>14695419</paraID>
      <start>101</start>
      <end>107</end>
      <status>modified</status>
      <modifiedWord>生态保护红线</modifiedWord>
      <trackRevisions>false</trackRevisions>
    </reviewItem>
    <reviewItem>
      <errorID>9514488f-6572-4831-8ce7-120c33890f1e</errorID>
      <errorWord>生态红线</errorWord>
      <group>L1_Political</group>
      <groupName>政治性问题</groupName>
      <ability>L2_Unpolitical</ability>
      <abilityName>政治敏感错误</abilityName>
      <candidateList>
        <item>生态保护红线</item>
      </candidateList>
      <explain/>
      <paraID> 14A1E65</paraID>
      <start>134</start>
      <end>140</end>
      <status>modified</status>
      <modifiedWord>生态保护红线</modifiedWord>
      <trackRevisions>false</trackRevisions>
    </reviewItem>
    <reviewItem>
      <errorID>19db7160-9f93-44a7-b1d5-beea4db03160</errorID>
      <errorWord>，</errorWord>
      <group>L1_Word</group>
      <groupName>字词问题</groupName>
      <ability>L2_Typo</ability>
      <abilityName>字词错误</abilityName>
      <candidateList>
        <item>，在</item>
      </candidateList>
      <explain/>
      <paraID>22C8ADF7</paraID>
      <start>31</start>
      <end>33</end>
      <status>modified</status>
      <modifiedWord>，在</modifiedWord>
      <trackRevisions>false</trackRevisions>
    </reviewItem>
    <reviewItem>
      <errorID>9c52b7e7-2fe8-4a01-82e4-38c4b3e85cd9</errorID>
      <errorWord>.</errorWord>
      <group>L1_Format</group>
      <groupName>格式问题</groupName>
      <ability>L2_HalfPunc_CN</ability>
      <abilityName>全半角问题</abilityName>
      <candidateList>
        <item>。</item>
      </candidateList>
      <explain>文本全半角错误。</explain>
      <paraID>10AB20D1</paraID>
      <start>63</start>
      <end>64</end>
      <status>modified</status>
      <modifiedWord>。</modifiedWord>
      <trackRevisions>false</trackRevisions>
    </reviewItem>
    <reviewItem>
      <errorID>a006131e-d83a-4501-8e2f-807a05b581d6</errorID>
      <errorWord>视屏监控</errorWord>
      <group>L1_Knowledge</group>
      <groupName>知识性问题</groupName>
      <ability>L2_Term</ability>
      <abilityName>专业术语</abilityName>
      <candidateList>
        <item>视频监控</item>
      </candidateList>
      <explain/>
      <paraID>10AB20D1</paraID>
      <start>169</start>
      <end>173</end>
      <status>modified</status>
      <modifiedWord>视频监控</modifiedWord>
      <trackRevisions>false</trackRevisions>
    </reviewItem>
    <reviewItem>
      <errorID>d4746048-4e2f-4992-91da-acc783ec3df2</errorID>
      <errorWord>上线</errorWord>
      <group>L1_Word</group>
      <groupName>字词问题</groupName>
      <ability>L2_Typo</ability>
      <abilityName>字词错误</abilityName>
      <candidateList>
        <item>上限</item>
      </candidateList>
      <explain/>
      <paraID>19C81965</paraID>
      <start>23</start>
      <end>25</end>
      <status>unmodified</status>
      <modifiedWord/>
      <trackRevisions>false</trackRevisions>
    </reviewItem>
    <reviewItem>
      <errorID>f55d5e7b-2f0e-4df4-8c80-0e5bc068ded5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6FFA5F9A</paraID>
      <start>0</start>
      <end>2</end>
      <status>unmodified</status>
      <modifiedWord/>
      <trackRevisions>false</trackRevisions>
    </reviewItem>
    <reviewItem>
      <errorID>40602a9d-9006-4f68-8a5b-a290cd5dc673</errorID>
      <errorWord>施工期</errorWord>
      <group>L1_Word</group>
      <groupName>字词问题</groupName>
      <ability>L2_Typo</ability>
      <abilityName>字词错误</abilityName>
      <candidateList>
        <item>施工</item>
      </candidateList>
      <explain/>
      <paraID>3D8D7BD1</paraID>
      <start>3</start>
      <end>5</end>
      <status>modified</status>
      <modifiedWord>施工</modifiedWord>
      <trackRevisions>false</trackRevisions>
    </reviewItem>
    <reviewItem>
      <errorID>02f9e38e-e9cb-4408-ab31-0291d4796154</errorID>
      <errorWord>，如</errorWord>
      <group>L1_Word</group>
      <groupName>字词问题</groupName>
      <ability>L2_Typo</ability>
      <abilityName>字词错误</abilityName>
      <candidateList>
        <item>，</item>
      </candidateList>
      <explain/>
      <paraID>3EF7D645</paraID>
      <start>9</start>
      <end>11</end>
      <status>unmodified</status>
      <modifiedWord/>
      <trackRevisions>false</trackRevisions>
    </reviewItem>
    <reviewItem>
      <errorID>bb4468b7-9a53-4b2c-ab72-111d0327d774</errorID>
      <errorWord>提高</errorWord>
      <group>L1_Grammar</group>
      <groupName>语法问题</groupName>
      <ability>L2_Grammar</ability>
      <abilityName>语法错误</abilityName>
      <candidateList>
        <item>增强</item>
      </candidateList>
      <explain>“提高～意识”搭配不当，建议修改为“增强～意识”。</explain>
      <paraID>7E78A46D</paraID>
      <start>16</start>
      <end>18</end>
      <status>unmodified</status>
      <modifiedWord/>
      <trackRevisions>false</trackRevisions>
    </reviewItem>
    <reviewItem>
      <errorID>3de8dd17-7a35-4f2b-831a-dfe3b8ae2a73</errorID>
      <errorWord>)</errorWord>
      <group>L1_Format</group>
      <groupName>格式问题</groupName>
      <ability>L2_HalfPunc_CN</ability>
      <abilityName>全半角问题</abilityName>
      <candidateList>
        <item>）</item>
      </candidateList>
      <explain>文本全半角错误。</explain>
      <paraID>45F6983E</paraID>
      <start>51</start>
      <end>52</end>
      <status>unmodified</status>
      <modifiedWord/>
      <trackRevisions>false</trackRevisions>
    </reviewItem>
    <reviewItem>
      <errorID>f5329df3-3bc4-4757-acbb-d6a9478d4aaa</errorID>
      <errorWord>；。</errorWord>
      <group>L1_Punc</group>
      <groupName>标点问题</groupName>
      <ability>L2_Punc_CN</ability>
      <abilityName>标点符号问题</abilityName>
      <candidateList>
        <item>；</item>
      </candidateList>
      <explain/>
      <paraID>1D3D04E9</paraID>
      <start>58</start>
      <end>60</end>
      <status>unmodified</status>
      <modifiedWord/>
      <trackRevisions>false</trackRevisions>
    </reviewItem>
    <reviewItem>
      <errorID>faef7528-dc80-4d4f-af2e-45014f42019d</errorID>
      <errorWord>的</errorWord>
      <group>L1_Word</group>
      <groupName>字词问题</groupName>
      <ability>L2_Typo</ability>
      <abilityName>字词错误</abilityName>
      <candidateList>
        <item>的数</item>
      </candidateList>
      <explain/>
      <paraID> 99E7C9D</paraID>
      <start>14</start>
      <end>15</end>
      <status>unmodified</status>
      <modifiedWord/>
      <trackRevisions>false</trackRevisions>
    </reviewItem>
    <reviewItem>
      <errorID>e6ebb070-02e2-4a2a-8bf9-a20e710009de</errorID>
      <errorWord>防污</errorWord>
      <group>L1_Word</group>
      <groupName>字词问题</groupName>
      <ability>L2_Typo</ability>
      <abilityName>字词错误</abilityName>
      <candidateList>
        <item>防</item>
      </candidateList>
      <explain/>
      <paraID> 99E7C9D</paraID>
      <start>56</start>
      <end>58</end>
      <status>unmodified</status>
      <modifiedWord/>
      <trackRevisions>false</trackRevisions>
    </reviewItem>
    <reviewItem>
      <errorID>cb9b9a92-f591-4b89-aa7a-097d242fb8ff</errorID>
      <errorWord>直线震动筛</errorWord>
      <group>L1_Knowledge</group>
      <groupName>知识性问题</groupName>
      <ability>L2_Term</ability>
      <abilityName>专业术语</abilityName>
      <candidateList>
        <item>直线振动筛</item>
      </candidateList>
      <explain/>
      <paraID>30C6C21C</paraID>
      <start>66</start>
      <end>71</end>
      <status>modified</status>
      <modifiedWord>直线振动筛</modifiedWord>
      <trackRevisions>false</trackRevisions>
    </reviewItem>
    <reviewItem>
      <errorID>188da3f7-d548-4b24-89d0-9cbca78896ec</errorID>
      <errorWord>(</errorWord>
      <group>L1_Format</group>
      <groupName>格式问题</groupName>
      <ability>L2_HalfPunc_CN</ability>
      <abilityName>全半角问题</abilityName>
      <candidateList>
        <item>（</item>
      </candidateList>
      <explain>文本全半角错误。</explain>
      <paraID>21F1F350</paraID>
      <start>90</start>
      <end>91</end>
      <status>unmodified</status>
      <modifiedWord/>
      <trackRevisions>false</trackRevisions>
    </reviewItem>
    <reviewItem>
      <errorID>1159edb3-7e4e-4441-ab74-d84edde48836</errorID>
      <errorWord>)</errorWord>
      <group>L1_Format</group>
      <groupName>格式问题</groupName>
      <ability>L2_HalfPunc_CN</ability>
      <abilityName>全半角问题</abilityName>
      <candidateList>
        <item>）</item>
      </candidateList>
      <explain>文本全半角错误。</explain>
      <paraID>21F1F350</paraID>
      <start>95</start>
      <end>96</end>
      <status>unmodified</status>
      <modifiedWord/>
      <trackRevisions>false</trackRevisions>
    </reviewItem>
    <reviewItem>
      <errorID>0388e636-28ca-4a5f-950e-fbc40440b3d6</errorID>
      <errorWord>，，</errorWord>
      <group>L1_Punc</group>
      <groupName>标点问题</groupName>
      <ability>L2_Punc_CN</ability>
      <abilityName>标点符号问题</abilityName>
      <candidateList>
        <item>，</item>
      </candidateList>
      <explain/>
      <paraID> CCB9954</paraID>
      <start>41</start>
      <end>43</end>
      <status>unmodified</status>
      <modifiedWord/>
      <trackRevisions>false</trackRevisions>
    </reviewItem>
    <reviewItem>
      <errorID>48aee910-463f-4128-a912-ead703084dcb</errorID>
      <errorWord>(</errorWord>
      <group>L1_Format</group>
      <groupName>格式问题</groupName>
      <ability>L2_HalfPunc_CN</ability>
      <abilityName>全半角问题</abilityName>
      <candidateList>
        <item>（</item>
      </candidateList>
      <explain>文本全半角错误。</explain>
      <paraID>4A2DCEA2</paraID>
      <start>11</start>
      <end>12</end>
      <status>unmodified</status>
      <modifiedWord/>
      <trackRevisions>false</trackRevisions>
    </reviewItem>
    <reviewItem>
      <errorID>b9f48124-58ab-4d18-aea5-360849ccd26b</errorID>
      <errorWord>)</errorWord>
      <group>L1_Format</group>
      <groupName>格式问题</groupName>
      <ability>L2_HalfPunc_CN</ability>
      <abilityName>全半角问题</abilityName>
      <candidateList>
        <item>）</item>
      </candidateList>
      <explain>文本全半角错误。</explain>
      <paraID>4A2DCEA2</paraID>
      <start>16</start>
      <end>17</end>
      <status>unmodified</status>
      <modifiedWord/>
      <trackRevisions>false</trackRevisions>
    </reviewItem>
    <reviewItem>
      <errorID>52e877f1-5ea6-4cac-ba22-35774fbf76a0</errorID>
      <errorWord>岀</errorWord>
      <group>L1_Word</group>
      <groupName>字词问题</groupName>
      <ability>L2_Variant</ability>
      <abilityName>异形词</abilityName>
      <candidateList>
        <item>出</item>
      </candidateList>
      <explain>词汇[岀]的规范词形写作[出]。</explain>
      <paraID>37DCCBC0</paraID>
      <start>4</start>
      <end>5</end>
      <status>unmodified</status>
      <modifiedWord/>
      <trackRevisions>false</trackRevisions>
    </reviewItem>
    <reviewItem>
      <errorID>ad77f187-b669-48c0-b65b-b3784898e204</errorID>
      <errorWord>-</errorWord>
      <group>L1_Format</group>
      <groupName>格式问题</groupName>
      <ability>L2_HalfPunc_CN</ability>
      <abilityName>全半角问题</abilityName>
      <candidateList>
        <item>－</item>
      </candidateList>
      <explain>文本全半角错误。</explain>
      <paraID>7AFAAEA0</paraID>
      <start>45</start>
      <end>46</end>
      <status>unmodified</status>
      <modifiedWord/>
      <trackRevisions>false</trackRevisions>
    </reviewItem>
    <reviewItem>
      <errorID>865dd29a-b1ca-4f94-82e2-438672b27fe8</errorID>
      <errorWord>计</errorWord>
      <group>L1_Word</group>
      <groupName>字词问题</groupName>
      <ability>L2_Typo</ability>
      <abilityName>字词错误</abilityName>
      <candidateList>
        <item>计算</item>
      </candidateList>
      <explain/>
      <paraID>20A96C2D</paraID>
      <start>19</start>
      <end>20</end>
      <status>unmodified</status>
      <modifiedWord/>
      <trackRevisions>false</trackRevisions>
    </reviewItem>
    <reviewItem>
      <errorID>7619ae33-2cc7-482d-ac01-12dfa0347f00</errorID>
      <errorWord>的</errorWord>
      <group>L1_Word</group>
      <groupName>字词问题</groupName>
      <ability>L2_DDD</ability>
      <abilityName>的地得用法</abilityName>
      <candidateList>
        <item>地</item>
      </candidateList>
      <explain/>
      <paraID>7384DCA9</paraID>
      <start>4</start>
      <end>5</end>
      <status>unmodified</status>
      <modifiedWord/>
      <trackRevisions>false</trackRevisions>
    </reviewItem>
    <reviewItem>
      <errorID>379c01af-35fd-4b86-9949-7911ed099860</errorID>
      <errorWord>(</errorWord>
      <group>L1_Format</group>
      <groupName>格式问题</groupName>
      <ability>L2_HalfPunc_CN</ability>
      <abilityName>全半角问题</abilityName>
      <candidateList>
        <item>（</item>
      </candidateList>
      <explain>文本全半角错误。</explain>
      <paraID>1FA47181</paraID>
      <start>3</start>
      <end>4</end>
      <status>unmodified</status>
      <modifiedWord/>
      <trackRevisions>false</trackRevisions>
    </reviewItem>
    <reviewItem>
      <errorID>89be9e5b-0713-4803-9197-045365032188</errorID>
      <errorWord>)</errorWord>
      <group>L1_Format</group>
      <groupName>格式问题</groupName>
      <ability>L2_HalfPunc_CN</ability>
      <abilityName>全半角问题</abilityName>
      <candidateList>
        <item>）</item>
      </candidateList>
      <explain>文本全半角错误。</explain>
      <paraID>4EB52C24</paraID>
      <start>2</start>
      <end>3</end>
      <status>unmodified</status>
      <modifiedWord/>
      <trackRevisions>false</trackRevisions>
    </reviewItem>
    <reviewItem>
      <errorID>ba4a7131-3bcb-4470-9b93-51f41a75e794</errorID>
      <errorWord>(</errorWord>
      <group>L1_Format</group>
      <groupName>格式问题</groupName>
      <ability>L2_HalfPunc_CN</ability>
      <abilityName>全半角问题</abilityName>
      <candidateList>
        <item>（</item>
      </candidateList>
      <explain>文本全半角错误。</explain>
      <paraID>7B7C8999</paraID>
      <start>5</start>
      <end>6</end>
      <status>unmodified</status>
      <modifiedWord/>
      <trackRevisions>false</trackRevisions>
    </reviewItem>
    <reviewItem>
      <errorID>00fb461e-f5db-4a17-bf0a-b9bf031e7715</errorID>
      <errorWord>（</errorWord>
      <group>L1_Format</group>
      <groupName>格式问题</groupName>
      <ability>L2_HalfPunc_CN</ability>
      <abilityName>全半角问题</abilityName>
      <candidateList>
        <item>(</item>
      </candidateList>
      <explain>文本全半角错误。</explain>
      <paraID>4333F870</paraID>
      <start>0</start>
      <end>1</end>
      <status>unmodified</status>
      <modifiedWord/>
      <trackRevisions>false</trackRevisions>
    </reviewItem>
    <reviewItem>
      <errorID>00294ac6-18ae-4fd7-9dfe-42a7e01d3be5</errorID>
      <errorWord>）</errorWord>
      <group>L1_Format</group>
      <groupName>格式问题</groupName>
      <ability>L2_HalfPunc_CN</ability>
      <abilityName>全半角问题</abilityName>
      <candidateList>
        <item>)</item>
      </candidateList>
      <explain>文本全半角错误。</explain>
      <paraID>4333F870</paraID>
      <start>12</start>
      <end>13</end>
      <status>unmodified</status>
      <modifiedWord/>
      <trackRevisions>false</trackRevisions>
    </reviewItem>
    <reviewItem>
      <errorID>d04528cc-aeb4-4da2-ba19-97e33c10b04a</errorID>
      <errorWord>生</errorWord>
      <group>L1_Word</group>
      <groupName>字词问题</groupName>
      <ability>L2_Typo</ability>
      <abilityName>字词错误</abilityName>
      <candidateList>
        <item>生的</item>
      </candidateList>
      <explain/>
      <paraID>7441723E</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9bedc-70e0-455b-b648-475d249367d0}">
  <ds:schemaRefs/>
</ds:datastoreItem>
</file>

<file path=docProps/app.xml><?xml version="1.0" encoding="utf-8"?>
<Properties xmlns="http://schemas.openxmlformats.org/officeDocument/2006/extended-properties" xmlns:vt="http://schemas.openxmlformats.org/officeDocument/2006/docPropsVTypes">
  <Template>c:\dsoa\wdzx97.dot</Template>
  <Company>微软中国</Company>
  <Pages>29</Pages>
  <Words>17985</Words>
  <Characters>19310</Characters>
  <Lines>379</Lines>
  <Paragraphs>106</Paragraphs>
  <TotalTime>9</TotalTime>
  <ScaleCrop>false</ScaleCrop>
  <LinksUpToDate>false</LinksUpToDate>
  <CharactersWithSpaces>19421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2020-12-29T02:43:00Z</cp:lastPrinted>
  <dcterms:modified xsi:type="dcterms:W3CDTF">2026-08-07T10:58:55Z</dcterms:modified>
  <dc:title>附件2</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F30706C1D4634D9385F3084B6C0F9FFB_13</vt:lpwstr>
  </property>
  <property fmtid="{D5CDD505-2E9C-101B-9397-08002B2CF9AE}" pid="4" name="KSOTemplateDocerSaveRecord">
    <vt:lpwstr>eyJoZGlkIjoiZjA3ZDQzZjg0NDFhZjgwZTc1OWY4ODU1NDlmMDYwMDYiLCJ1c2VySWQiOiIxMTI3ODA0MDc5In0=</vt:lpwstr>
  </property>
</Properties>
</file>