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bidi w:val="0"/>
        <w:jc w:val="center"/>
        <w:rPr>
          <w:rFonts w:hint="eastAsia"/>
          <w:sz w:val="52"/>
          <w:szCs w:val="52"/>
        </w:rPr>
      </w:pPr>
      <w:bookmarkStart w:id="0" w:name="_Toc9577"/>
      <w:bookmarkStart w:id="1" w:name="_Toc4449"/>
      <w:bookmarkStart w:id="2" w:name="_Toc24732"/>
    </w:p>
    <w:p>
      <w:pPr>
        <w:pStyle w:val="19"/>
        <w:bidi w:val="0"/>
        <w:jc w:val="center"/>
        <w:rPr>
          <w:rFonts w:hint="eastAsia"/>
          <w:sz w:val="52"/>
          <w:szCs w:val="52"/>
        </w:rPr>
      </w:pPr>
    </w:p>
    <w:p>
      <w:pPr>
        <w:pStyle w:val="19"/>
        <w:bidi w:val="0"/>
        <w:jc w:val="center"/>
        <w:rPr>
          <w:rFonts w:hint="eastAsia"/>
          <w:sz w:val="52"/>
          <w:szCs w:val="52"/>
        </w:rPr>
      </w:pPr>
    </w:p>
    <w:p>
      <w:pPr>
        <w:pStyle w:val="19"/>
        <w:bidi w:val="0"/>
        <w:jc w:val="center"/>
        <w:rPr>
          <w:rFonts w:hint="eastAsia"/>
          <w:sz w:val="52"/>
          <w:szCs w:val="52"/>
        </w:rPr>
      </w:pPr>
    </w:p>
    <w:p>
      <w:pPr>
        <w:pStyle w:val="19"/>
        <w:bidi w:val="0"/>
        <w:jc w:val="center"/>
        <w:rPr>
          <w:sz w:val="52"/>
          <w:szCs w:val="52"/>
        </w:rPr>
      </w:pPr>
      <w:r>
        <w:rPr>
          <w:rFonts w:hint="eastAsia"/>
          <w:sz w:val="52"/>
          <w:szCs w:val="52"/>
        </w:rPr>
        <w:t>建设项目环境影响报告表</w:t>
      </w:r>
      <w:bookmarkEnd w:id="0"/>
    </w:p>
    <w:p>
      <w:pPr>
        <w:adjustRightInd w:val="0"/>
        <w:snapToGrid w:val="0"/>
        <w:spacing w:beforeLines="80"/>
        <w:ind w:firstLine="0" w:firstLineChars="0"/>
        <w:jc w:val="center"/>
        <w:rPr>
          <w:rFonts w:ascii="楷体_GB2312" w:eastAsia="楷体_GB2312"/>
          <w:bCs/>
          <w:color w:val="auto"/>
          <w:sz w:val="48"/>
          <w:szCs w:val="48"/>
          <w:highlight w:val="none"/>
        </w:rPr>
      </w:pPr>
      <w:r>
        <w:rPr>
          <w:rFonts w:hint="eastAsia" w:ascii="楷体_GB2312" w:eastAsia="楷体_GB2312"/>
          <w:bCs/>
          <w:color w:val="auto"/>
          <w:sz w:val="48"/>
          <w:szCs w:val="48"/>
          <w:highlight w:val="none"/>
        </w:rPr>
        <w:t>（污染影响类）</w:t>
      </w:r>
    </w:p>
    <w:p>
      <w:pPr>
        <w:pStyle w:val="10"/>
        <w:ind w:firstLine="960"/>
        <w:rPr>
          <w:rFonts w:ascii="楷体_GB2312" w:eastAsia="楷体_GB2312"/>
          <w:bCs/>
          <w:color w:val="auto"/>
          <w:sz w:val="48"/>
          <w:szCs w:val="48"/>
          <w:highlight w:val="none"/>
        </w:rPr>
      </w:pPr>
    </w:p>
    <w:p>
      <w:pPr>
        <w:ind w:firstLine="480"/>
        <w:rPr>
          <w:color w:val="auto"/>
          <w:highlight w:val="none"/>
        </w:rPr>
      </w:pPr>
    </w:p>
    <w:p>
      <w:pPr>
        <w:ind w:firstLine="880"/>
        <w:rPr>
          <w:rFonts w:eastAsia="仿宋"/>
          <w:color w:val="auto"/>
          <w:sz w:val="44"/>
          <w:szCs w:val="44"/>
          <w:highlight w:val="none"/>
        </w:rPr>
      </w:pPr>
    </w:p>
    <w:p>
      <w:pPr>
        <w:ind w:firstLine="880"/>
        <w:rPr>
          <w:rFonts w:eastAsia="仿宋"/>
          <w:color w:val="auto"/>
          <w:sz w:val="44"/>
          <w:szCs w:val="44"/>
          <w:highlight w:val="none"/>
        </w:rPr>
      </w:pPr>
    </w:p>
    <w:p>
      <w:pPr>
        <w:adjustRightInd w:val="0"/>
        <w:snapToGrid w:val="0"/>
        <w:spacing w:line="288" w:lineRule="auto"/>
        <w:ind w:left="2566" w:leftChars="300" w:hanging="1846" w:hangingChars="513"/>
        <w:jc w:val="left"/>
        <w:rPr>
          <w:rFonts w:ascii="仿宋_GB2312" w:eastAsia="仿宋_GB2312"/>
          <w:color w:val="auto"/>
          <w:sz w:val="36"/>
          <w:szCs w:val="36"/>
          <w:highlight w:val="none"/>
          <w:u w:val="single"/>
        </w:rPr>
      </w:pPr>
      <w:r>
        <w:rPr>
          <w:rFonts w:hint="eastAsia" w:ascii="宋体" w:hAnsi="宋体" w:cs="宋体"/>
          <w:color w:val="auto"/>
          <w:sz w:val="36"/>
          <w:szCs w:val="36"/>
          <w:highlight w:val="none"/>
        </w:rPr>
        <w:t>项目名称：</w:t>
      </w:r>
      <w:r>
        <w:rPr>
          <w:rFonts w:hint="eastAsia" w:ascii="仿宋_GB2312" w:eastAsia="仿宋_GB2312"/>
          <w:color w:val="auto"/>
          <w:sz w:val="36"/>
          <w:szCs w:val="36"/>
          <w:highlight w:val="none"/>
          <w:u w:val="single"/>
        </w:rPr>
        <w:t xml:space="preserve">  </w:t>
      </w:r>
      <w:r>
        <w:rPr>
          <w:rFonts w:hint="eastAsia" w:ascii="仿宋_GB2312" w:eastAsia="仿宋_GB2312"/>
          <w:color w:val="auto"/>
          <w:sz w:val="36"/>
          <w:szCs w:val="36"/>
          <w:highlight w:val="none"/>
          <w:u w:val="single"/>
          <w:lang w:val="en-US" w:eastAsia="zh-CN"/>
        </w:rPr>
        <w:t xml:space="preserve">  </w:t>
      </w:r>
      <w:r>
        <w:rPr>
          <w:rFonts w:hint="eastAsia" w:ascii="宋体" w:hAnsi="宋体" w:eastAsia="仿宋_GB2312" w:cs="宋体"/>
          <w:color w:val="auto"/>
          <w:sz w:val="36"/>
          <w:szCs w:val="36"/>
          <w:highlight w:val="none"/>
          <w:u w:val="single"/>
          <w:lang w:eastAsia="zh-CN"/>
        </w:rPr>
        <w:t>新疆西域酒业有限责任公司</w:t>
      </w:r>
      <w:r>
        <w:rPr>
          <w:rFonts w:hint="eastAsia" w:ascii="宋体" w:hAnsi="宋体" w:cs="宋体"/>
          <w:color w:val="auto"/>
          <w:sz w:val="36"/>
          <w:szCs w:val="36"/>
          <w:highlight w:val="none"/>
          <w:u w:val="single"/>
        </w:rPr>
        <w:t xml:space="preserve"> </w:t>
      </w:r>
      <w:r>
        <w:rPr>
          <w:rFonts w:hint="eastAsia" w:ascii="仿宋_GB2312" w:eastAsia="仿宋_GB2312"/>
          <w:color w:val="auto"/>
          <w:sz w:val="36"/>
          <w:szCs w:val="36"/>
          <w:highlight w:val="none"/>
          <w:u w:val="single"/>
        </w:rPr>
        <w:t xml:space="preserve">      </w:t>
      </w:r>
    </w:p>
    <w:p>
      <w:pPr>
        <w:adjustRightInd w:val="0"/>
        <w:snapToGrid w:val="0"/>
        <w:spacing w:line="288" w:lineRule="auto"/>
        <w:ind w:left="2822" w:leftChars="1026" w:hanging="360" w:hangingChars="100"/>
        <w:jc w:val="left"/>
        <w:rPr>
          <w:rFonts w:ascii="仿宋_GB2312" w:eastAsia="仿宋_GB2312"/>
          <w:color w:val="auto"/>
          <w:sz w:val="36"/>
          <w:szCs w:val="36"/>
          <w:highlight w:val="none"/>
          <w:u w:val="single"/>
        </w:rPr>
      </w:pPr>
      <w:r>
        <w:rPr>
          <w:rFonts w:hint="eastAsia" w:ascii="仿宋_GB2312" w:eastAsia="仿宋_GB2312"/>
          <w:color w:val="auto"/>
          <w:sz w:val="36"/>
          <w:szCs w:val="36"/>
          <w:highlight w:val="none"/>
          <w:u w:val="single"/>
        </w:rPr>
        <w:t xml:space="preserve">     </w:t>
      </w:r>
      <w:r>
        <w:rPr>
          <w:rFonts w:hint="eastAsia" w:ascii="仿宋_GB2312" w:eastAsia="仿宋_GB2312"/>
          <w:color w:val="auto"/>
          <w:sz w:val="36"/>
          <w:szCs w:val="36"/>
          <w:highlight w:val="none"/>
          <w:u w:val="single"/>
          <w:lang w:val="en-US" w:eastAsia="zh-CN"/>
        </w:rPr>
        <w:t xml:space="preserve"> </w:t>
      </w:r>
      <w:r>
        <w:rPr>
          <w:rFonts w:hint="eastAsia" w:ascii="仿宋_GB2312" w:eastAsia="仿宋_GB2312"/>
          <w:color w:val="auto"/>
          <w:sz w:val="36"/>
          <w:szCs w:val="36"/>
          <w:highlight w:val="none"/>
          <w:u w:val="single"/>
        </w:rPr>
        <w:t xml:space="preserve"> </w:t>
      </w:r>
      <w:r>
        <w:rPr>
          <w:rFonts w:hint="eastAsia" w:ascii="宋体" w:hAnsi="宋体" w:eastAsia="仿宋_GB2312" w:cs="宋体"/>
          <w:color w:val="auto"/>
          <w:sz w:val="36"/>
          <w:szCs w:val="36"/>
          <w:highlight w:val="none"/>
          <w:u w:val="single"/>
          <w:lang w:eastAsia="zh-CN"/>
        </w:rPr>
        <w:t>年产白酒及葡萄酒建设项目</w:t>
      </w:r>
      <w:r>
        <w:rPr>
          <w:rFonts w:hint="eastAsia" w:ascii="宋体" w:hAnsi="宋体" w:cs="宋体"/>
          <w:color w:val="auto"/>
          <w:sz w:val="36"/>
          <w:szCs w:val="36"/>
          <w:highlight w:val="none"/>
          <w:u w:val="single"/>
        </w:rPr>
        <w:t xml:space="preserve"> </w:t>
      </w:r>
      <w:r>
        <w:rPr>
          <w:rFonts w:hint="eastAsia" w:ascii="仿宋_GB2312" w:eastAsia="仿宋_GB2312"/>
          <w:color w:val="auto"/>
          <w:sz w:val="36"/>
          <w:szCs w:val="36"/>
          <w:highlight w:val="none"/>
          <w:u w:val="single"/>
        </w:rPr>
        <w:t xml:space="preserve">           </w:t>
      </w:r>
    </w:p>
    <w:p>
      <w:pPr>
        <w:adjustRightInd w:val="0"/>
        <w:snapToGrid w:val="0"/>
        <w:spacing w:line="288" w:lineRule="auto"/>
        <w:ind w:firstLine="720"/>
        <w:rPr>
          <w:rFonts w:ascii="宋体" w:hAnsi="宋体" w:cs="宋体"/>
          <w:color w:val="auto"/>
          <w:sz w:val="36"/>
          <w:szCs w:val="36"/>
          <w:highlight w:val="none"/>
          <w:u w:val="single"/>
        </w:rPr>
      </w:pPr>
      <w:r>
        <w:rPr>
          <w:rFonts w:hint="eastAsia" w:ascii="宋体" w:hAnsi="宋体" w:cs="宋体"/>
          <w:color w:val="auto"/>
          <w:sz w:val="36"/>
          <w:szCs w:val="36"/>
          <w:highlight w:val="none"/>
        </w:rPr>
        <w:t>建设单位（盖章）：</w:t>
      </w:r>
      <w:r>
        <w:rPr>
          <w:rFonts w:hint="eastAsia" w:ascii="宋体" w:hAnsi="宋体" w:cs="宋体"/>
          <w:color w:val="auto"/>
          <w:sz w:val="36"/>
          <w:szCs w:val="36"/>
          <w:highlight w:val="none"/>
          <w:u w:val="single"/>
          <w:lang w:val="en-US" w:eastAsia="zh-CN"/>
        </w:rPr>
        <w:t>新疆西域酒业有限责任公司</w:t>
      </w:r>
      <w:r>
        <w:rPr>
          <w:rFonts w:hint="eastAsia" w:ascii="宋体" w:hAnsi="宋体" w:cs="宋体"/>
          <w:color w:val="auto"/>
          <w:sz w:val="36"/>
          <w:szCs w:val="36"/>
          <w:highlight w:val="none"/>
          <w:u w:val="single"/>
        </w:rPr>
        <w:t xml:space="preserve">                 </w:t>
      </w:r>
    </w:p>
    <w:p>
      <w:pPr>
        <w:adjustRightInd w:val="0"/>
        <w:snapToGrid w:val="0"/>
        <w:spacing w:line="288" w:lineRule="auto"/>
        <w:ind w:firstLine="720"/>
        <w:rPr>
          <w:rFonts w:ascii="仿宋_GB2312" w:eastAsia="仿宋_GB2312"/>
          <w:color w:val="auto"/>
          <w:sz w:val="36"/>
          <w:szCs w:val="36"/>
          <w:highlight w:val="none"/>
          <w:u w:val="single"/>
        </w:rPr>
      </w:pPr>
      <w:r>
        <w:rPr>
          <w:rFonts w:hint="eastAsia" w:ascii="宋体" w:hAnsi="宋体" w:cs="宋体"/>
          <w:color w:val="auto"/>
          <w:sz w:val="36"/>
          <w:szCs w:val="36"/>
          <w:highlight w:val="none"/>
        </w:rPr>
        <w:t>编制日期：</w:t>
      </w:r>
      <w:r>
        <w:rPr>
          <w:rFonts w:hint="eastAsia" w:ascii="宋体" w:hAnsi="宋体" w:cs="宋体"/>
          <w:color w:val="auto"/>
          <w:sz w:val="36"/>
          <w:szCs w:val="36"/>
          <w:highlight w:val="none"/>
          <w:u w:val="single"/>
        </w:rPr>
        <w:t xml:space="preserve">         </w:t>
      </w:r>
      <w:r>
        <w:rPr>
          <w:rFonts w:hint="eastAsia" w:ascii="宋体" w:hAnsi="宋体" w:cs="宋体"/>
          <w:color w:val="auto"/>
          <w:sz w:val="36"/>
          <w:szCs w:val="36"/>
          <w:highlight w:val="none"/>
          <w:u w:val="single"/>
          <w:lang w:val="en-US" w:eastAsia="zh-CN"/>
        </w:rPr>
        <w:t>2026</w:t>
      </w:r>
      <w:r>
        <w:rPr>
          <w:rFonts w:hint="eastAsia" w:ascii="宋体" w:hAnsi="宋体" w:cs="宋体"/>
          <w:color w:val="auto"/>
          <w:sz w:val="36"/>
          <w:szCs w:val="36"/>
          <w:highlight w:val="none"/>
          <w:u w:val="single"/>
        </w:rPr>
        <w:t>年</w:t>
      </w:r>
      <w:r>
        <w:rPr>
          <w:rFonts w:hint="eastAsia" w:ascii="宋体" w:hAnsi="宋体" w:cs="宋体"/>
          <w:color w:val="auto"/>
          <w:sz w:val="36"/>
          <w:szCs w:val="36"/>
          <w:highlight w:val="none"/>
          <w:u w:val="single"/>
          <w:lang w:val="en-US" w:eastAsia="zh-CN"/>
        </w:rPr>
        <w:t>8</w:t>
      </w:r>
      <w:r>
        <w:rPr>
          <w:rFonts w:hint="eastAsia" w:ascii="宋体" w:hAnsi="宋体" w:cs="宋体"/>
          <w:color w:val="auto"/>
          <w:sz w:val="36"/>
          <w:szCs w:val="36"/>
          <w:highlight w:val="none"/>
          <w:u w:val="single"/>
        </w:rPr>
        <w:t xml:space="preserve">月           </w:t>
      </w:r>
      <w:r>
        <w:rPr>
          <w:rFonts w:ascii="仿宋_GB2312" w:eastAsia="仿宋_GB2312"/>
          <w:color w:val="auto"/>
          <w:sz w:val="36"/>
          <w:szCs w:val="36"/>
          <w:highlight w:val="none"/>
          <w:u w:val="single"/>
        </w:rPr>
        <w:t xml:space="preserve">          </w:t>
      </w:r>
      <w:r>
        <w:rPr>
          <w:rFonts w:hint="eastAsia" w:ascii="仿宋_GB2312" w:eastAsia="仿宋_GB2312"/>
          <w:color w:val="auto"/>
          <w:sz w:val="36"/>
          <w:szCs w:val="36"/>
          <w:highlight w:val="none"/>
          <w:u w:val="single"/>
        </w:rPr>
        <w:t xml:space="preserve"> </w:t>
      </w:r>
    </w:p>
    <w:p>
      <w:pPr>
        <w:adjustRightInd w:val="0"/>
        <w:snapToGrid w:val="0"/>
        <w:spacing w:line="288" w:lineRule="auto"/>
        <w:ind w:firstLine="720"/>
        <w:rPr>
          <w:rFonts w:ascii="仿宋_GB2312" w:eastAsia="仿宋_GB2312"/>
          <w:color w:val="auto"/>
          <w:sz w:val="36"/>
          <w:szCs w:val="36"/>
          <w:highlight w:val="none"/>
          <w:u w:val="single"/>
        </w:rPr>
      </w:pPr>
      <w:bookmarkStart w:id="3" w:name="_Hlk57884087"/>
    </w:p>
    <w:p>
      <w:pPr>
        <w:adjustRightInd w:val="0"/>
        <w:snapToGrid w:val="0"/>
        <w:spacing w:line="288" w:lineRule="auto"/>
        <w:ind w:firstLine="0" w:firstLineChars="0"/>
        <w:rPr>
          <w:rFonts w:ascii="仿宋_GB2312" w:eastAsia="仿宋_GB2312"/>
          <w:color w:val="auto"/>
          <w:sz w:val="36"/>
          <w:szCs w:val="36"/>
          <w:highlight w:val="none"/>
        </w:rPr>
      </w:pPr>
    </w:p>
    <w:p>
      <w:pPr>
        <w:adjustRightInd w:val="0"/>
        <w:snapToGrid w:val="0"/>
        <w:spacing w:line="288" w:lineRule="auto"/>
        <w:ind w:firstLine="720"/>
        <w:rPr>
          <w:rFonts w:ascii="仿宋_GB2312" w:eastAsia="仿宋_GB2312"/>
          <w:color w:val="auto"/>
          <w:sz w:val="36"/>
          <w:szCs w:val="36"/>
          <w:highlight w:val="none"/>
        </w:rPr>
      </w:pPr>
    </w:p>
    <w:bookmarkEnd w:id="3"/>
    <w:p>
      <w:pPr>
        <w:ind w:firstLine="0" w:firstLineChars="0"/>
        <w:jc w:val="center"/>
        <w:rPr>
          <w:rFonts w:ascii="宋体" w:hAnsi="宋体" w:cs="宋体"/>
          <w:color w:val="auto"/>
          <w:sz w:val="36"/>
          <w:szCs w:val="36"/>
          <w:highlight w:val="none"/>
        </w:rPr>
        <w:sectPr>
          <w:headerReference r:id="rId5" w:type="default"/>
          <w:footerReference r:id="rId6" w:type="default"/>
          <w:pgSz w:w="11906" w:h="16838"/>
          <w:pgMar w:top="1440" w:right="1417" w:bottom="1440"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宋体" w:hAnsi="宋体" w:cs="宋体"/>
          <w:color w:val="auto"/>
          <w:sz w:val="36"/>
          <w:szCs w:val="36"/>
          <w:highlight w:val="none"/>
        </w:rPr>
        <w:t>中华人民共和国生态环境部制</w:t>
      </w:r>
    </w:p>
    <w:p>
      <w:pPr>
        <w:pStyle w:val="3"/>
        <w:numPr>
          <w:ilvl w:val="0"/>
          <w:numId w:val="1"/>
        </w:numPr>
        <w:ind w:left="425" w:leftChars="0" w:hanging="425" w:firstLineChars="0"/>
        <w:rPr>
          <w:color w:val="auto"/>
          <w:highlight w:val="none"/>
        </w:rPr>
      </w:pPr>
      <w:bookmarkStart w:id="4" w:name="_Toc23643"/>
      <w:r>
        <w:rPr>
          <w:color w:val="auto"/>
          <w:highlight w:val="none"/>
        </w:rPr>
        <w:t>建设项目基本情况</w:t>
      </w:r>
      <w:bookmarkEnd w:id="1"/>
      <w:bookmarkEnd w:id="2"/>
      <w:bookmarkEnd w:id="4"/>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70"/>
        <w:gridCol w:w="2300"/>
        <w:gridCol w:w="1920"/>
        <w:gridCol w:w="30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建设项目名称</w:t>
            </w:r>
          </w:p>
        </w:tc>
        <w:tc>
          <w:tcPr>
            <w:tcW w:w="7318" w:type="dxa"/>
            <w:gridSpan w:val="3"/>
            <w:vAlign w:val="center"/>
          </w:tcPr>
          <w:p>
            <w:pPr>
              <w:keepNext w:val="0"/>
              <w:keepLines w:val="0"/>
              <w:suppressLineNumbers w:val="0"/>
              <w:spacing w:before="0" w:beforeAutospacing="0" w:after="0" w:afterAutospacing="0"/>
              <w:ind w:left="0" w:right="0" w:firstLine="0" w:firstLineChars="0"/>
              <w:jc w:val="center"/>
              <w:rPr>
                <w:rFonts w:hint="eastAsia" w:eastAsia="宋体"/>
                <w:color w:val="auto"/>
                <w:szCs w:val="20"/>
                <w:highlight w:val="none"/>
                <w:lang w:eastAsia="zh-CN"/>
              </w:rPr>
            </w:pPr>
            <w:r>
              <w:rPr>
                <w:rFonts w:hint="eastAsia"/>
                <w:color w:val="auto"/>
                <w:szCs w:val="20"/>
                <w:highlight w:val="none"/>
                <w:lang w:eastAsia="zh-CN"/>
              </w:rPr>
              <w:t>新疆西域酒业有限责任公司年产白酒及葡萄酒建设项目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项目代码</w:t>
            </w:r>
          </w:p>
        </w:tc>
        <w:tc>
          <w:tcPr>
            <w:tcW w:w="7318" w:type="dxa"/>
            <w:gridSpan w:val="3"/>
            <w:vAlign w:val="center"/>
          </w:tcPr>
          <w:p>
            <w:pPr>
              <w:keepNext w:val="0"/>
              <w:keepLines w:val="0"/>
              <w:suppressLineNumbers w:val="0"/>
              <w:spacing w:before="0" w:beforeAutospacing="0" w:after="0" w:afterAutospacing="0"/>
              <w:ind w:left="0" w:right="0" w:firstLine="0" w:firstLineChars="0"/>
              <w:jc w:val="center"/>
              <w:rPr>
                <w:rFonts w:hint="default" w:eastAsia="宋体"/>
                <w:color w:val="auto"/>
                <w:szCs w:val="20"/>
                <w:highlight w:val="none"/>
                <w:lang w:val="en" w:eastAsia="zh-CN"/>
              </w:rPr>
            </w:pPr>
            <w:r>
              <w:rPr>
                <w:rFonts w:hint="default"/>
                <w:color w:val="auto"/>
                <w:szCs w:val="20"/>
                <w:highlight w:val="none"/>
                <w:lang w:val="en"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建设单位联系人</w:t>
            </w:r>
          </w:p>
        </w:tc>
        <w:tc>
          <w:tcPr>
            <w:tcW w:w="2300" w:type="dxa"/>
            <w:vAlign w:val="center"/>
          </w:tcPr>
          <w:p>
            <w:pPr>
              <w:keepNext w:val="0"/>
              <w:keepLines w:val="0"/>
              <w:suppressLineNumbers w:val="0"/>
              <w:spacing w:before="0" w:beforeAutospacing="0" w:after="0" w:afterAutospacing="0"/>
              <w:ind w:left="0" w:right="0" w:firstLine="0" w:firstLineChars="0"/>
              <w:jc w:val="center"/>
              <w:rPr>
                <w:rFonts w:hint="default" w:eastAsia="宋体"/>
                <w:color w:val="auto"/>
                <w:szCs w:val="20"/>
                <w:highlight w:val="none"/>
                <w:lang w:val="en" w:eastAsia="zh-CN"/>
              </w:rPr>
            </w:pPr>
            <w:r>
              <w:rPr>
                <w:rFonts w:hint="default"/>
                <w:color w:val="auto"/>
                <w:szCs w:val="20"/>
                <w:highlight w:val="none"/>
                <w:lang w:val="en" w:eastAsia="zh-CN"/>
              </w:rPr>
              <w:t>/</w:t>
            </w:r>
          </w:p>
        </w:tc>
        <w:tc>
          <w:tcPr>
            <w:tcW w:w="1920" w:type="dxa"/>
            <w:vAlign w:val="center"/>
          </w:tcPr>
          <w:p>
            <w:pPr>
              <w:keepNext w:val="0"/>
              <w:keepLines w:val="0"/>
              <w:suppressLineNumbers w:val="0"/>
              <w:spacing w:before="0" w:beforeAutospacing="0" w:after="0" w:afterAutospacing="0"/>
              <w:ind w:left="0" w:right="0" w:firstLine="0" w:firstLineChars="0"/>
              <w:jc w:val="center"/>
              <w:rPr>
                <w:rFonts w:hint="default"/>
                <w:color w:val="auto"/>
                <w:szCs w:val="20"/>
                <w:highlight w:val="none"/>
              </w:rPr>
            </w:pPr>
            <w:r>
              <w:rPr>
                <w:rFonts w:hint="default"/>
                <w:color w:val="auto"/>
                <w:szCs w:val="20"/>
                <w:highlight w:val="none"/>
              </w:rPr>
              <w:t>联系方式</w:t>
            </w:r>
          </w:p>
        </w:tc>
        <w:tc>
          <w:tcPr>
            <w:tcW w:w="3098" w:type="dxa"/>
            <w:vAlign w:val="center"/>
          </w:tcPr>
          <w:p>
            <w:pPr>
              <w:keepNext w:val="0"/>
              <w:keepLines w:val="0"/>
              <w:suppressLineNumbers w:val="0"/>
              <w:spacing w:before="0" w:beforeAutospacing="0" w:after="0" w:afterAutospacing="0"/>
              <w:ind w:left="0" w:right="0" w:firstLine="0" w:firstLineChars="0"/>
              <w:jc w:val="center"/>
              <w:rPr>
                <w:rFonts w:hint="default" w:eastAsia="宋体"/>
                <w:color w:val="auto"/>
                <w:szCs w:val="20"/>
                <w:highlight w:val="none"/>
                <w:lang w:val="en" w:eastAsia="zh-CN"/>
              </w:rPr>
            </w:pPr>
            <w:r>
              <w:rPr>
                <w:rFonts w:hint="default"/>
                <w:color w:val="auto"/>
                <w:szCs w:val="20"/>
                <w:highlight w:val="none"/>
                <w:lang w:val="en"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建设地点</w:t>
            </w:r>
          </w:p>
        </w:tc>
        <w:tc>
          <w:tcPr>
            <w:tcW w:w="7318" w:type="dxa"/>
            <w:gridSpan w:val="3"/>
            <w:vAlign w:val="center"/>
          </w:tcPr>
          <w:p>
            <w:pPr>
              <w:keepNext w:val="0"/>
              <w:keepLines w:val="0"/>
              <w:suppressLineNumbers w:val="0"/>
              <w:spacing w:before="0" w:beforeAutospacing="0" w:after="0" w:afterAutospacing="0"/>
              <w:ind w:left="-131" w:right="-139" w:firstLine="0" w:firstLineChars="0"/>
              <w:jc w:val="center"/>
              <w:rPr>
                <w:rFonts w:hint="default" w:eastAsia="宋体"/>
                <w:color w:val="auto"/>
                <w:szCs w:val="20"/>
                <w:highlight w:val="none"/>
                <w:lang w:val="en" w:eastAsia="zh-CN"/>
              </w:rPr>
            </w:pPr>
            <w:r>
              <w:rPr>
                <w:rFonts w:hint="default"/>
                <w:color w:val="auto"/>
                <w:szCs w:val="20"/>
                <w:highlight w:val="none"/>
                <w:lang w:val="en"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地理坐标</w:t>
            </w:r>
          </w:p>
        </w:tc>
        <w:tc>
          <w:tcPr>
            <w:tcW w:w="7318" w:type="dxa"/>
            <w:gridSpan w:val="3"/>
            <w:vAlign w:val="center"/>
          </w:tcPr>
          <w:p>
            <w:pPr>
              <w:keepNext w:val="0"/>
              <w:keepLines w:val="0"/>
              <w:suppressLineNumbers w:val="0"/>
              <w:spacing w:before="0" w:beforeAutospacing="0" w:after="0" w:afterAutospacing="0"/>
              <w:ind w:left="0" w:right="0" w:firstLine="0" w:firstLineChars="0"/>
              <w:jc w:val="center"/>
              <w:rPr>
                <w:rFonts w:hint="default" w:eastAsia="宋体"/>
                <w:color w:val="auto"/>
                <w:szCs w:val="20"/>
                <w:highlight w:val="none"/>
                <w:lang w:val="en" w:eastAsia="zh-CN"/>
              </w:rPr>
            </w:pPr>
            <w:r>
              <w:rPr>
                <w:rFonts w:hint="default"/>
                <w:color w:val="auto"/>
                <w:szCs w:val="20"/>
                <w:highlight w:val="none"/>
                <w:u w:val="single"/>
                <w:lang w:val="en" w:eastAsia="zh-CN"/>
              </w:rPr>
              <w:t>/</w:t>
            </w:r>
            <w:bookmarkStart w:id="19" w:name="_GoBack"/>
            <w:bookmarkEnd w:id="1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国民经济</w:t>
            </w:r>
          </w:p>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行业类别</w:t>
            </w:r>
          </w:p>
        </w:tc>
        <w:tc>
          <w:tcPr>
            <w:tcW w:w="2300" w:type="dxa"/>
            <w:vAlign w:val="center"/>
          </w:tcPr>
          <w:p>
            <w:pPr>
              <w:keepNext w:val="0"/>
              <w:keepLines w:val="0"/>
              <w:suppressLineNumbers w:val="0"/>
              <w:spacing w:before="0" w:beforeAutospacing="0" w:after="0" w:afterAutospacing="0" w:line="240" w:lineRule="auto"/>
              <w:ind w:left="0" w:right="0" w:firstLine="0" w:firstLineChars="0"/>
              <w:rPr>
                <w:rFonts w:hint="eastAsia" w:eastAsia="宋体"/>
                <w:color w:val="auto"/>
                <w:szCs w:val="20"/>
                <w:highlight w:val="none"/>
                <w:lang w:eastAsia="zh-CN"/>
              </w:rPr>
            </w:pPr>
            <w:r>
              <w:rPr>
                <w:rFonts w:hint="eastAsia"/>
                <w:color w:val="auto"/>
                <w:szCs w:val="20"/>
                <w:highlight w:val="none"/>
                <w:lang w:eastAsia="zh-CN"/>
              </w:rPr>
              <w:t>C1512 白酒制造C1515 葡萄酒制造</w:t>
            </w:r>
          </w:p>
        </w:tc>
        <w:tc>
          <w:tcPr>
            <w:tcW w:w="192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建设项目</w:t>
            </w:r>
          </w:p>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行业类别</w:t>
            </w:r>
          </w:p>
        </w:tc>
        <w:tc>
          <w:tcPr>
            <w:tcW w:w="3098" w:type="dxa"/>
            <w:vAlign w:val="center"/>
          </w:tcPr>
          <w:p>
            <w:pPr>
              <w:keepNext w:val="0"/>
              <w:keepLines w:val="0"/>
              <w:suppressLineNumbers w:val="0"/>
              <w:spacing w:before="0" w:beforeAutospacing="0" w:after="0" w:afterAutospacing="0" w:line="240" w:lineRule="auto"/>
              <w:ind w:left="240" w:right="0" w:hanging="240" w:hangingChars="100"/>
              <w:rPr>
                <w:rFonts w:hint="eastAsia" w:eastAsia="宋体"/>
                <w:color w:val="auto"/>
                <w:szCs w:val="20"/>
                <w:highlight w:val="none"/>
                <w:lang w:eastAsia="zh-CN"/>
              </w:rPr>
            </w:pPr>
            <w:r>
              <w:rPr>
                <w:rFonts w:hint="eastAsia"/>
                <w:color w:val="auto"/>
                <w:szCs w:val="20"/>
                <w:highlight w:val="none"/>
                <w:lang w:eastAsia="zh-CN"/>
              </w:rPr>
              <w:t>十二、酒、饮料制造业 15—25 酒的制造151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建设性质</w:t>
            </w:r>
          </w:p>
        </w:tc>
        <w:tc>
          <w:tcPr>
            <w:tcW w:w="2300"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color w:val="auto"/>
                <w:szCs w:val="20"/>
                <w:highlight w:val="none"/>
              </w:rPr>
            </w:pPr>
            <w:r>
              <w:rPr>
                <w:rFonts w:hint="default"/>
                <w:color w:val="auto"/>
                <w:szCs w:val="20"/>
                <w:highlight w:val="none"/>
              </w:rPr>
              <w:sym w:font="Wingdings 2" w:char="0052"/>
            </w:r>
            <w:r>
              <w:rPr>
                <w:rFonts w:hint="default"/>
                <w:color w:val="auto"/>
                <w:szCs w:val="20"/>
                <w:highlight w:val="none"/>
              </w:rPr>
              <w:t>新建（迁建）</w:t>
            </w:r>
          </w:p>
          <w:p>
            <w:pPr>
              <w:keepNext w:val="0"/>
              <w:keepLines w:val="0"/>
              <w:suppressLineNumbers w:val="0"/>
              <w:spacing w:before="0" w:beforeAutospacing="0" w:after="0" w:afterAutospacing="0" w:line="240" w:lineRule="auto"/>
              <w:ind w:left="0" w:right="0" w:firstLine="0" w:firstLineChars="0"/>
              <w:jc w:val="left"/>
              <w:rPr>
                <w:rFonts w:hint="default"/>
                <w:color w:val="auto"/>
                <w:szCs w:val="20"/>
                <w:highlight w:val="none"/>
              </w:rPr>
            </w:pPr>
            <w:r>
              <w:rPr>
                <w:rFonts w:hint="default"/>
                <w:color w:val="auto"/>
                <w:szCs w:val="20"/>
                <w:highlight w:val="none"/>
              </w:rPr>
              <w:sym w:font="Wingdings 2" w:char="00A3"/>
            </w:r>
            <w:r>
              <w:rPr>
                <w:rFonts w:hint="default"/>
                <w:color w:val="auto"/>
                <w:szCs w:val="20"/>
                <w:highlight w:val="none"/>
              </w:rPr>
              <w:t>改建</w:t>
            </w:r>
          </w:p>
          <w:p>
            <w:pPr>
              <w:keepNext w:val="0"/>
              <w:keepLines w:val="0"/>
              <w:suppressLineNumbers w:val="0"/>
              <w:spacing w:before="0" w:beforeAutospacing="0" w:after="0" w:afterAutospacing="0" w:line="240" w:lineRule="auto"/>
              <w:ind w:left="0" w:right="0" w:firstLine="0" w:firstLineChars="0"/>
              <w:jc w:val="left"/>
              <w:rPr>
                <w:rFonts w:hint="default"/>
                <w:color w:val="auto"/>
                <w:szCs w:val="20"/>
                <w:highlight w:val="none"/>
              </w:rPr>
            </w:pPr>
            <w:r>
              <w:rPr>
                <w:rFonts w:hint="default"/>
                <w:color w:val="auto"/>
                <w:szCs w:val="20"/>
                <w:highlight w:val="none"/>
              </w:rPr>
              <w:sym w:font="Wingdings 2" w:char="00A3"/>
            </w:r>
            <w:r>
              <w:rPr>
                <w:rFonts w:hint="default"/>
                <w:color w:val="auto"/>
                <w:szCs w:val="20"/>
                <w:highlight w:val="none"/>
              </w:rPr>
              <w:t>扩建</w:t>
            </w:r>
          </w:p>
          <w:p>
            <w:pPr>
              <w:keepNext w:val="0"/>
              <w:keepLines w:val="0"/>
              <w:suppressLineNumbers w:val="0"/>
              <w:spacing w:before="0" w:beforeAutospacing="0" w:after="0" w:afterAutospacing="0" w:line="240" w:lineRule="auto"/>
              <w:ind w:left="0" w:right="0" w:firstLine="0" w:firstLineChars="0"/>
              <w:jc w:val="left"/>
              <w:rPr>
                <w:rFonts w:hint="default"/>
                <w:color w:val="auto"/>
                <w:szCs w:val="20"/>
                <w:highlight w:val="none"/>
              </w:rPr>
            </w:pPr>
            <w:r>
              <w:rPr>
                <w:rFonts w:hint="default"/>
                <w:color w:val="auto"/>
                <w:szCs w:val="20"/>
                <w:highlight w:val="none"/>
              </w:rPr>
              <w:sym w:font="Wingdings 2" w:char="00A3"/>
            </w:r>
            <w:r>
              <w:rPr>
                <w:rFonts w:hint="default"/>
                <w:color w:val="auto"/>
                <w:szCs w:val="20"/>
                <w:highlight w:val="none"/>
              </w:rPr>
              <w:t>技术改造</w:t>
            </w:r>
          </w:p>
        </w:tc>
        <w:tc>
          <w:tcPr>
            <w:tcW w:w="192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建设项目</w:t>
            </w:r>
          </w:p>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申报情形</w:t>
            </w:r>
          </w:p>
        </w:tc>
        <w:tc>
          <w:tcPr>
            <w:tcW w:w="3098"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color w:val="auto"/>
                <w:szCs w:val="20"/>
                <w:highlight w:val="none"/>
              </w:rPr>
            </w:pPr>
            <w:r>
              <w:rPr>
                <w:rFonts w:hint="default"/>
                <w:color w:val="auto"/>
                <w:szCs w:val="20"/>
                <w:highlight w:val="none"/>
              </w:rPr>
              <w:sym w:font="Wingdings 2" w:char="00A3"/>
            </w:r>
            <w:r>
              <w:rPr>
                <w:rFonts w:hint="default"/>
                <w:color w:val="auto"/>
                <w:szCs w:val="20"/>
                <w:highlight w:val="none"/>
              </w:rPr>
              <w:t xml:space="preserve">首次申报项目             </w:t>
            </w:r>
          </w:p>
          <w:p>
            <w:pPr>
              <w:keepNext w:val="0"/>
              <w:keepLines w:val="0"/>
              <w:suppressLineNumbers w:val="0"/>
              <w:spacing w:before="0" w:beforeAutospacing="0" w:after="0" w:afterAutospacing="0" w:line="240" w:lineRule="auto"/>
              <w:ind w:left="0" w:right="0" w:firstLine="0" w:firstLineChars="0"/>
              <w:jc w:val="left"/>
              <w:rPr>
                <w:rFonts w:hint="default"/>
                <w:color w:val="auto"/>
                <w:szCs w:val="20"/>
                <w:highlight w:val="none"/>
              </w:rPr>
            </w:pPr>
            <w:r>
              <w:rPr>
                <w:rFonts w:hint="default"/>
                <w:color w:val="auto"/>
                <w:szCs w:val="20"/>
                <w:highlight w:val="none"/>
              </w:rPr>
              <w:sym w:font="Wingdings 2" w:char="00A3"/>
            </w:r>
            <w:r>
              <w:rPr>
                <w:rFonts w:hint="default"/>
                <w:color w:val="auto"/>
                <w:szCs w:val="20"/>
                <w:highlight w:val="none"/>
              </w:rPr>
              <w:t>不予批准后再次申报项目</w:t>
            </w:r>
          </w:p>
          <w:p>
            <w:pPr>
              <w:keepNext w:val="0"/>
              <w:keepLines w:val="0"/>
              <w:suppressLineNumbers w:val="0"/>
              <w:spacing w:before="0" w:beforeAutospacing="0" w:after="0" w:afterAutospacing="0" w:line="240" w:lineRule="auto"/>
              <w:ind w:left="0" w:right="0" w:firstLine="0" w:firstLineChars="0"/>
              <w:jc w:val="left"/>
              <w:rPr>
                <w:rFonts w:hint="default"/>
                <w:color w:val="auto"/>
                <w:szCs w:val="20"/>
                <w:highlight w:val="none"/>
              </w:rPr>
            </w:pPr>
            <w:r>
              <w:rPr>
                <w:rFonts w:hint="default"/>
                <w:color w:val="auto"/>
                <w:szCs w:val="20"/>
                <w:highlight w:val="none"/>
              </w:rPr>
              <w:sym w:font="Wingdings 2" w:char="00A3"/>
            </w:r>
            <w:r>
              <w:rPr>
                <w:rFonts w:hint="default"/>
                <w:color w:val="auto"/>
                <w:szCs w:val="20"/>
                <w:highlight w:val="none"/>
              </w:rPr>
              <w:t xml:space="preserve">超五年重新审核项目     </w:t>
            </w:r>
          </w:p>
          <w:p>
            <w:pPr>
              <w:keepNext w:val="0"/>
              <w:keepLines w:val="0"/>
              <w:suppressLineNumbers w:val="0"/>
              <w:spacing w:before="0" w:beforeAutospacing="0" w:after="0" w:afterAutospacing="0" w:line="240" w:lineRule="auto"/>
              <w:ind w:left="0" w:right="0" w:firstLine="0" w:firstLineChars="0"/>
              <w:jc w:val="left"/>
              <w:rPr>
                <w:rFonts w:hint="default"/>
                <w:color w:val="auto"/>
                <w:szCs w:val="20"/>
                <w:highlight w:val="none"/>
              </w:rPr>
            </w:pPr>
            <w:r>
              <w:rPr>
                <w:rFonts w:hint="default"/>
                <w:color w:val="auto"/>
                <w:szCs w:val="20"/>
                <w:highlight w:val="none"/>
              </w:rPr>
              <w:sym w:font="Wingdings 2" w:char="0052"/>
            </w:r>
            <w:r>
              <w:rPr>
                <w:rFonts w:hint="default"/>
                <w:color w:val="auto"/>
                <w:szCs w:val="20"/>
                <w:highlight w:val="none"/>
              </w:rPr>
              <w:t>重大变动重新报批项目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项目审批(核准/</w:t>
            </w:r>
          </w:p>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备案)部门(选填)</w:t>
            </w:r>
          </w:p>
        </w:tc>
        <w:tc>
          <w:tcPr>
            <w:tcW w:w="230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eastAsia"/>
                <w:color w:val="auto"/>
                <w:szCs w:val="20"/>
                <w:highlight w:val="none"/>
                <w:lang w:eastAsia="zh-CN"/>
              </w:rPr>
              <w:t>乌苏市</w:t>
            </w:r>
            <w:r>
              <w:rPr>
                <w:rFonts w:hint="default"/>
                <w:color w:val="auto"/>
                <w:szCs w:val="20"/>
                <w:highlight w:val="none"/>
              </w:rPr>
              <w:t>发展和改革委员会</w:t>
            </w:r>
          </w:p>
        </w:tc>
        <w:tc>
          <w:tcPr>
            <w:tcW w:w="192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项目审批(核准/备案)文号(选填)</w:t>
            </w:r>
          </w:p>
        </w:tc>
        <w:tc>
          <w:tcPr>
            <w:tcW w:w="3098" w:type="dxa"/>
            <w:vAlign w:val="center"/>
          </w:tcPr>
          <w:p>
            <w:pPr>
              <w:keepNext w:val="0"/>
              <w:keepLines w:val="0"/>
              <w:suppressLineNumbers w:val="0"/>
              <w:spacing w:before="0" w:beforeAutospacing="0" w:after="0" w:afterAutospacing="0"/>
              <w:ind w:left="0" w:right="0" w:firstLine="0" w:firstLineChars="0"/>
              <w:jc w:val="center"/>
              <w:rPr>
                <w:rFonts w:hint="default" w:eastAsia="宋体"/>
                <w:color w:val="auto"/>
                <w:szCs w:val="20"/>
                <w:highlight w:val="none"/>
                <w:lang w:val="en-US" w:eastAsia="zh-CN"/>
              </w:rPr>
            </w:pPr>
            <w:r>
              <w:rPr>
                <w:rFonts w:hint="eastAsia"/>
                <w:color w:val="auto"/>
                <w:szCs w:val="20"/>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总投资（万元）</w:t>
            </w:r>
          </w:p>
        </w:tc>
        <w:tc>
          <w:tcPr>
            <w:tcW w:w="2300" w:type="dxa"/>
            <w:vAlign w:val="center"/>
          </w:tcPr>
          <w:p>
            <w:pPr>
              <w:keepNext w:val="0"/>
              <w:keepLines w:val="0"/>
              <w:suppressLineNumbers w:val="0"/>
              <w:spacing w:before="0" w:beforeAutospacing="0" w:after="0" w:afterAutospacing="0"/>
              <w:ind w:left="0" w:right="0" w:firstLine="0" w:firstLineChars="0"/>
              <w:jc w:val="center"/>
              <w:rPr>
                <w:rFonts w:hint="eastAsia" w:eastAsia="宋体"/>
                <w:color w:val="auto"/>
                <w:szCs w:val="20"/>
                <w:highlight w:val="none"/>
                <w:lang w:eastAsia="zh-CN"/>
              </w:rPr>
            </w:pPr>
            <w:r>
              <w:rPr>
                <w:rFonts w:hint="eastAsia"/>
                <w:color w:val="auto"/>
                <w:szCs w:val="20"/>
                <w:highlight w:val="none"/>
                <w:lang w:eastAsia="zh-CN"/>
              </w:rPr>
              <w:t>14115.5</w:t>
            </w:r>
          </w:p>
        </w:tc>
        <w:tc>
          <w:tcPr>
            <w:tcW w:w="1920" w:type="dxa"/>
            <w:vAlign w:val="center"/>
          </w:tcPr>
          <w:p>
            <w:pPr>
              <w:keepNext w:val="0"/>
              <w:keepLines w:val="0"/>
              <w:suppressLineNumbers w:val="0"/>
              <w:spacing w:before="0" w:beforeAutospacing="0" w:after="0" w:afterAutospacing="0" w:line="240" w:lineRule="auto"/>
              <w:ind w:left="0" w:right="0" w:firstLine="0" w:firstLineChars="0"/>
              <w:rPr>
                <w:rFonts w:hint="default"/>
                <w:color w:val="auto"/>
                <w:szCs w:val="20"/>
                <w:highlight w:val="none"/>
              </w:rPr>
            </w:pPr>
            <w:r>
              <w:rPr>
                <w:rFonts w:hint="default"/>
                <w:color w:val="auto"/>
                <w:szCs w:val="20"/>
                <w:highlight w:val="none"/>
              </w:rPr>
              <w:t>环保投资（万元）</w:t>
            </w:r>
          </w:p>
        </w:tc>
        <w:tc>
          <w:tcPr>
            <w:tcW w:w="3098" w:type="dxa"/>
            <w:vAlign w:val="center"/>
          </w:tcPr>
          <w:p>
            <w:pPr>
              <w:keepNext w:val="0"/>
              <w:keepLines w:val="0"/>
              <w:suppressLineNumbers w:val="0"/>
              <w:spacing w:before="0" w:beforeAutospacing="0" w:after="0" w:afterAutospacing="0"/>
              <w:ind w:left="0" w:right="0" w:firstLine="0" w:firstLineChars="0"/>
              <w:jc w:val="center"/>
              <w:rPr>
                <w:rFonts w:hint="eastAsia" w:eastAsia="宋体"/>
                <w:color w:val="auto"/>
                <w:szCs w:val="20"/>
                <w:highlight w:val="none"/>
                <w:lang w:eastAsia="zh-CN"/>
              </w:rPr>
            </w:pPr>
            <w:r>
              <w:rPr>
                <w:rFonts w:hint="eastAsia"/>
                <w:color w:val="auto"/>
                <w:szCs w:val="20"/>
                <w:highlight w:val="none"/>
                <w:lang w:eastAsia="zh-CN"/>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环保投资占比(%)</w:t>
            </w:r>
          </w:p>
        </w:tc>
        <w:tc>
          <w:tcPr>
            <w:tcW w:w="2300" w:type="dxa"/>
            <w:vAlign w:val="center"/>
          </w:tcPr>
          <w:p>
            <w:pPr>
              <w:keepNext w:val="0"/>
              <w:keepLines w:val="0"/>
              <w:suppressLineNumbers w:val="0"/>
              <w:spacing w:before="0" w:beforeAutospacing="0" w:after="0" w:afterAutospacing="0"/>
              <w:ind w:left="0" w:right="0" w:firstLine="0" w:firstLineChars="0"/>
              <w:jc w:val="center"/>
              <w:rPr>
                <w:rFonts w:hint="eastAsia" w:eastAsia="宋体"/>
                <w:color w:val="auto"/>
                <w:szCs w:val="20"/>
                <w:highlight w:val="none"/>
                <w:lang w:eastAsia="zh-CN"/>
              </w:rPr>
            </w:pPr>
            <w:r>
              <w:rPr>
                <w:rFonts w:hint="eastAsia"/>
                <w:color w:val="auto"/>
                <w:szCs w:val="20"/>
                <w:highlight w:val="none"/>
                <w:lang w:eastAsia="zh-CN"/>
              </w:rPr>
              <w:t>1.06</w:t>
            </w:r>
          </w:p>
        </w:tc>
        <w:tc>
          <w:tcPr>
            <w:tcW w:w="192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施工工期(月）</w:t>
            </w:r>
          </w:p>
        </w:tc>
        <w:tc>
          <w:tcPr>
            <w:tcW w:w="3098" w:type="dxa"/>
            <w:vAlign w:val="center"/>
          </w:tcPr>
          <w:p>
            <w:pPr>
              <w:keepNext w:val="0"/>
              <w:keepLines w:val="0"/>
              <w:suppressLineNumbers w:val="0"/>
              <w:spacing w:before="0" w:beforeAutospacing="0" w:after="0" w:afterAutospacing="0"/>
              <w:ind w:left="0" w:right="0" w:firstLine="0" w:firstLineChars="0"/>
              <w:jc w:val="center"/>
              <w:rPr>
                <w:rFonts w:hint="default"/>
                <w:color w:val="auto"/>
                <w:szCs w:val="20"/>
                <w:highlight w:val="none"/>
              </w:rPr>
            </w:pPr>
            <w:r>
              <w:rPr>
                <w:rFonts w:hint="eastAsia"/>
                <w:color w:val="auto"/>
                <w:szCs w:val="20"/>
                <w:highlight w:val="none"/>
              </w:rPr>
              <w:t>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是否开工建设</w:t>
            </w:r>
          </w:p>
        </w:tc>
        <w:tc>
          <w:tcPr>
            <w:tcW w:w="2300"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color w:val="auto"/>
                <w:szCs w:val="20"/>
                <w:highlight w:val="none"/>
              </w:rPr>
            </w:pPr>
            <w:r>
              <w:rPr>
                <w:rFonts w:hint="default"/>
                <w:color w:val="auto"/>
                <w:szCs w:val="20"/>
                <w:highlight w:val="none"/>
              </w:rPr>
              <w:sym w:font="Wingdings 2" w:char="00A3"/>
            </w:r>
            <w:r>
              <w:rPr>
                <w:rFonts w:hint="default"/>
                <w:color w:val="auto"/>
                <w:szCs w:val="20"/>
                <w:highlight w:val="none"/>
              </w:rPr>
              <w:t>否</w:t>
            </w:r>
          </w:p>
          <w:p>
            <w:pPr>
              <w:keepNext w:val="0"/>
              <w:keepLines w:val="0"/>
              <w:suppressLineNumbers w:val="0"/>
              <w:spacing w:before="0" w:beforeAutospacing="0" w:after="0" w:afterAutospacing="0" w:line="240" w:lineRule="auto"/>
              <w:ind w:left="0" w:right="0" w:firstLine="0" w:firstLineChars="0"/>
              <w:jc w:val="left"/>
              <w:rPr>
                <w:rFonts w:hint="eastAsia" w:eastAsia="宋体"/>
                <w:color w:val="auto"/>
                <w:szCs w:val="20"/>
                <w:highlight w:val="none"/>
                <w:lang w:val="en-US" w:eastAsia="zh-CN"/>
              </w:rPr>
            </w:pPr>
            <w:r>
              <w:rPr>
                <w:rFonts w:hint="default"/>
                <w:color w:val="auto"/>
                <w:szCs w:val="20"/>
                <w:highlight w:val="none"/>
              </w:rPr>
              <w:sym w:font="Wingdings 2" w:char="0052"/>
            </w:r>
            <w:r>
              <w:rPr>
                <w:rFonts w:hint="default"/>
                <w:color w:val="auto"/>
                <w:szCs w:val="20"/>
                <w:highlight w:val="none"/>
              </w:rPr>
              <w:t>是：</w:t>
            </w:r>
            <w:r>
              <w:rPr>
                <w:rFonts w:hint="default"/>
                <w:color w:val="auto"/>
                <w:szCs w:val="20"/>
                <w:highlight w:val="none"/>
                <w:u w:val="single"/>
              </w:rPr>
              <w:t>本项目一期工程已于2024年4月开工建设，2025年6月建成投产。本次为因产能发生重大变动而重新报批</w:t>
            </w:r>
            <w:r>
              <w:rPr>
                <w:rFonts w:hint="eastAsia"/>
                <w:color w:val="auto"/>
                <w:szCs w:val="20"/>
                <w:highlight w:val="none"/>
                <w:u w:val="single"/>
                <w:lang w:eastAsia="zh-CN"/>
              </w:rPr>
              <w:t>。</w:t>
            </w:r>
          </w:p>
        </w:tc>
        <w:tc>
          <w:tcPr>
            <w:tcW w:w="192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用地（用海）</w:t>
            </w:r>
          </w:p>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面积（m</w:t>
            </w:r>
            <w:r>
              <w:rPr>
                <w:rFonts w:hint="default"/>
                <w:color w:val="auto"/>
                <w:szCs w:val="20"/>
                <w:highlight w:val="none"/>
                <w:vertAlign w:val="superscript"/>
              </w:rPr>
              <w:t>2</w:t>
            </w:r>
            <w:r>
              <w:rPr>
                <w:rFonts w:hint="default"/>
                <w:color w:val="auto"/>
                <w:szCs w:val="20"/>
                <w:highlight w:val="none"/>
              </w:rPr>
              <w:t>）</w:t>
            </w:r>
          </w:p>
        </w:tc>
        <w:tc>
          <w:tcPr>
            <w:tcW w:w="3098" w:type="dxa"/>
            <w:vAlign w:val="center"/>
          </w:tcPr>
          <w:p>
            <w:pPr>
              <w:keepNext w:val="0"/>
              <w:keepLines w:val="0"/>
              <w:suppressLineNumbers w:val="0"/>
              <w:spacing w:before="0" w:beforeAutospacing="0" w:after="0" w:afterAutospacing="0"/>
              <w:ind w:left="0" w:right="0" w:firstLine="0" w:firstLineChars="0"/>
              <w:jc w:val="center"/>
              <w:rPr>
                <w:rFonts w:hint="eastAsia" w:eastAsia="宋体"/>
                <w:color w:val="auto"/>
                <w:szCs w:val="20"/>
                <w:highlight w:val="none"/>
                <w:lang w:eastAsia="zh-CN"/>
              </w:rPr>
            </w:pPr>
            <w:r>
              <w:rPr>
                <w:rFonts w:hint="eastAsia"/>
                <w:color w:val="auto"/>
                <w:szCs w:val="20"/>
                <w:highlight w:val="none"/>
                <w:lang w:eastAsia="zh-CN"/>
              </w:rPr>
              <w:t>18429.34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专项评价设置情况</w:t>
            </w:r>
          </w:p>
        </w:tc>
        <w:tc>
          <w:tcPr>
            <w:tcW w:w="7318" w:type="dxa"/>
            <w:gridSpan w:val="3"/>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规划情况</w:t>
            </w:r>
          </w:p>
        </w:tc>
        <w:tc>
          <w:tcPr>
            <w:tcW w:w="7318" w:type="dxa"/>
            <w:gridSpan w:val="3"/>
            <w:vAlign w:val="center"/>
          </w:tcPr>
          <w:p>
            <w:pPr>
              <w:keepNext w:val="0"/>
              <w:keepLines w:val="0"/>
              <w:suppressLineNumbers w:val="0"/>
              <w:spacing w:before="0" w:beforeAutospacing="0" w:after="0" w:afterAutospacing="0" w:line="240" w:lineRule="auto"/>
              <w:ind w:left="0" w:right="0" w:firstLine="0" w:firstLineChars="0"/>
              <w:jc w:val="center"/>
              <w:rPr>
                <w:rFonts w:hint="default" w:eastAsia="宋体"/>
                <w:color w:val="auto"/>
                <w:szCs w:val="20"/>
                <w:highlight w:val="none"/>
                <w:lang w:val="en-US" w:eastAsia="zh-CN"/>
              </w:rPr>
            </w:pPr>
            <w:r>
              <w:rPr>
                <w:rFonts w:hint="default" w:eastAsia="宋体"/>
                <w:color w:val="auto"/>
                <w:szCs w:val="20"/>
                <w:highlight w:val="none"/>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规划环境影响评价情况</w:t>
            </w:r>
          </w:p>
        </w:tc>
        <w:tc>
          <w:tcPr>
            <w:tcW w:w="7318" w:type="dxa"/>
            <w:gridSpan w:val="3"/>
            <w:vAlign w:val="center"/>
          </w:tcPr>
          <w:p>
            <w:pPr>
              <w:keepNext w:val="0"/>
              <w:keepLines w:val="0"/>
              <w:suppressLineNumbers w:val="0"/>
              <w:spacing w:before="0" w:beforeAutospacing="0" w:after="0" w:afterAutospacing="0" w:line="240" w:lineRule="auto"/>
              <w:ind w:left="0" w:right="0" w:firstLine="0" w:firstLineChars="0"/>
              <w:jc w:val="center"/>
              <w:rPr>
                <w:rFonts w:hint="eastAsia" w:eastAsia="宋体"/>
                <w:color w:val="auto"/>
                <w:szCs w:val="20"/>
                <w:highlight w:val="none"/>
                <w:lang w:val="en-US" w:eastAsia="zh-CN"/>
              </w:rPr>
            </w:pPr>
            <w:r>
              <w:rPr>
                <w:rFonts w:hint="eastAsia"/>
                <w:color w:val="auto"/>
                <w:szCs w:val="20"/>
                <w:highlight w:val="none"/>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970"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规划及规划环境影响评价符合性分析</w:t>
            </w:r>
          </w:p>
        </w:tc>
        <w:tc>
          <w:tcPr>
            <w:tcW w:w="7318" w:type="dxa"/>
            <w:gridSpan w:val="3"/>
            <w:vAlign w:val="center"/>
          </w:tcPr>
          <w:p>
            <w:pPr>
              <w:keepNext w:val="0"/>
              <w:keepLines w:val="0"/>
              <w:suppressLineNumbers w:val="0"/>
              <w:spacing w:before="0" w:beforeAutospacing="0" w:after="0" w:afterAutospacing="0"/>
              <w:ind w:left="0" w:right="0" w:firstLine="480"/>
              <w:jc w:val="center"/>
              <w:rPr>
                <w:rFonts w:hint="default"/>
                <w:color w:val="auto"/>
                <w:szCs w:val="20"/>
                <w:highlight w:val="none"/>
              </w:rPr>
            </w:pPr>
            <w:r>
              <w:rPr>
                <w:rFonts w:hint="eastAsia"/>
                <w:color w:val="auto"/>
                <w:szCs w:val="20"/>
                <w:highlight w:val="none"/>
                <w:lang w:val="en-US" w:eastAsia="zh-CN"/>
              </w:rPr>
              <w:t>无</w:t>
            </w:r>
          </w:p>
        </w:tc>
      </w:tr>
    </w:tbl>
    <w:p>
      <w:pPr>
        <w:pStyle w:val="3"/>
        <w:numPr>
          <w:ilvl w:val="0"/>
          <w:numId w:val="1"/>
        </w:numPr>
        <w:ind w:left="0" w:leftChars="0" w:firstLine="420" w:firstLineChars="0"/>
        <w:rPr>
          <w:color w:val="auto"/>
          <w:highlight w:val="none"/>
        </w:rPr>
      </w:pPr>
      <w:r>
        <w:rPr>
          <w:color w:val="auto"/>
          <w:highlight w:val="none"/>
        </w:rPr>
        <w:br w:type="page"/>
      </w:r>
      <w:bookmarkStart w:id="5" w:name="_Toc30578"/>
      <w:bookmarkStart w:id="6" w:name="_Toc27040"/>
      <w:bookmarkStart w:id="7" w:name="_Toc27368"/>
      <w:r>
        <w:rPr>
          <w:color w:val="auto"/>
          <w:highlight w:val="none"/>
        </w:rPr>
        <w:t>建设项目工程分析</w:t>
      </w:r>
      <w:bookmarkEnd w:id="5"/>
      <w:bookmarkEnd w:id="6"/>
      <w:bookmarkEnd w:id="7"/>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4" w:space="0"/>
        </w:tblBorders>
        <w:tblLayout w:type="autofit"/>
        <w:tblCellMar>
          <w:top w:w="0" w:type="dxa"/>
          <w:left w:w="108" w:type="dxa"/>
          <w:bottom w:w="0" w:type="dxa"/>
          <w:right w:w="108" w:type="dxa"/>
        </w:tblCellMar>
      </w:tblPr>
      <w:tblGrid>
        <w:gridCol w:w="456"/>
        <w:gridCol w:w="883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4" w:space="0"/>
          </w:tblBorders>
          <w:tblCellMar>
            <w:top w:w="0" w:type="dxa"/>
            <w:left w:w="108" w:type="dxa"/>
            <w:bottom w:w="0" w:type="dxa"/>
            <w:right w:w="108" w:type="dxa"/>
          </w:tblCellMar>
        </w:tblPrEx>
        <w:trPr>
          <w:trHeight w:val="90" w:hRule="atLeast"/>
        </w:trPr>
        <w:tc>
          <w:tcPr>
            <w:tcW w:w="456" w:type="dxa"/>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建设内容</w:t>
            </w:r>
          </w:p>
        </w:tc>
        <w:tc>
          <w:tcPr>
            <w:tcW w:w="8832" w:type="dxa"/>
            <w:tcBorders>
              <w:tl2br w:val="nil"/>
              <w:tr2bl w:val="nil"/>
            </w:tcBorders>
            <w:vAlign w:val="center"/>
          </w:tcPr>
          <w:p>
            <w:pPr>
              <w:pStyle w:val="6"/>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1、项目由来</w:t>
            </w:r>
          </w:p>
          <w:p>
            <w:pPr>
              <w:keepNext w:val="0"/>
              <w:keepLines w:val="0"/>
              <w:suppressLineNumbers w:val="0"/>
              <w:spacing w:before="0" w:beforeAutospacing="0" w:after="0" w:afterAutospacing="0"/>
              <w:ind w:left="0" w:right="0" w:firstLine="480"/>
              <w:rPr>
                <w:rFonts w:hint="eastAsia"/>
                <w:color w:val="auto"/>
                <w:szCs w:val="20"/>
                <w:highlight w:val="none"/>
                <w:lang w:eastAsia="zh-CN"/>
              </w:rPr>
            </w:pPr>
            <w:r>
              <w:rPr>
                <w:rFonts w:hint="eastAsia"/>
                <w:color w:val="auto"/>
                <w:szCs w:val="20"/>
                <w:highlight w:val="none"/>
                <w:lang w:eastAsia="zh-CN"/>
              </w:rPr>
              <w:t>乌苏市新疆西域酒业有限责任公司成立于2021年，注册地址位于新疆塔城地区乌苏市西城区街道物流园社区新安江东路北侧16号。</w:t>
            </w:r>
          </w:p>
          <w:p>
            <w:pPr>
              <w:keepNext w:val="0"/>
              <w:keepLines w:val="0"/>
              <w:suppressLineNumbers w:val="0"/>
              <w:spacing w:before="0" w:beforeAutospacing="0" w:after="0" w:afterAutospacing="0"/>
              <w:ind w:left="0" w:right="0" w:firstLine="480"/>
              <w:rPr>
                <w:rFonts w:hint="eastAsia"/>
                <w:color w:val="auto"/>
                <w:szCs w:val="20"/>
                <w:highlight w:val="none"/>
                <w:lang w:eastAsia="zh-CN"/>
              </w:rPr>
            </w:pPr>
            <w:r>
              <w:rPr>
                <w:rFonts w:hint="eastAsia"/>
                <w:color w:val="auto"/>
                <w:szCs w:val="20"/>
                <w:highlight w:val="none"/>
                <w:lang w:eastAsia="zh-CN"/>
              </w:rPr>
              <w:t>近年来，乌苏市不断培育壮大提升当地葡萄酒、白酒产业，推动酒产业集聚发展，使“乌苏啤酒”“鲜业精酿”“沙舟干红”“疆域王”等酒类形成优势资源互补，打造啤酒、红酒、白酒“三瓶酒”品牌名片。在此背景下，新疆西域酒业有限责任公司于2024年投资建设新疆西域酒业有限责任公司年产白酒及葡萄酒建设项目。</w:t>
            </w:r>
          </w:p>
          <w:p>
            <w:pPr>
              <w:keepNext w:val="0"/>
              <w:keepLines w:val="0"/>
              <w:suppressLineNumbers w:val="0"/>
              <w:spacing w:before="0" w:beforeAutospacing="0" w:after="0" w:afterAutospacing="0"/>
              <w:ind w:left="0" w:right="0" w:firstLine="480"/>
              <w:rPr>
                <w:rFonts w:hint="eastAsia"/>
                <w:color w:val="auto"/>
                <w:szCs w:val="20"/>
                <w:highlight w:val="none"/>
                <w:lang w:eastAsia="zh-CN"/>
              </w:rPr>
            </w:pPr>
            <w:r>
              <w:rPr>
                <w:rFonts w:hint="eastAsia"/>
                <w:color w:val="auto"/>
                <w:szCs w:val="20"/>
                <w:highlight w:val="none"/>
                <w:lang w:eastAsia="zh-CN"/>
              </w:rPr>
              <w:t>本项目于2024年6月首次取得乌苏市发展和改革委员会出具的项目备案证（项目代码：2406-654202-07-01-204583）。后因原环评批复撤销，备案证于2026年7月28日完成变更，重新获取。</w:t>
            </w:r>
          </w:p>
          <w:p>
            <w:pPr>
              <w:keepNext w:val="0"/>
              <w:keepLines w:val="0"/>
              <w:suppressLineNumbers w:val="0"/>
              <w:spacing w:before="0" w:beforeAutospacing="0" w:after="0" w:afterAutospacing="0"/>
              <w:ind w:left="0" w:right="0" w:firstLine="480"/>
              <w:rPr>
                <w:rFonts w:hint="eastAsia"/>
                <w:color w:val="auto"/>
                <w:szCs w:val="20"/>
                <w:highlight w:val="none"/>
                <w:lang w:eastAsia="zh-CN"/>
              </w:rPr>
            </w:pPr>
            <w:r>
              <w:rPr>
                <w:rFonts w:hint="eastAsia"/>
                <w:color w:val="auto"/>
                <w:szCs w:val="20"/>
                <w:highlight w:val="none"/>
                <w:lang w:eastAsia="zh-CN"/>
              </w:rPr>
              <w:t>建设单位曾于2024年委托编制《新疆西域酒业有限责任公司年产白酒及葡萄酒建设项目环境影响报告书》，并于2024年12月25日取得塔城地区生态环境局批复（塔地环审﹝2024﹞204号）。后因客观原因，该批复已依法撤销。</w:t>
            </w:r>
          </w:p>
          <w:p>
            <w:pPr>
              <w:keepNext w:val="0"/>
              <w:keepLines w:val="0"/>
              <w:suppressLineNumbers w:val="0"/>
              <w:spacing w:before="0" w:beforeAutospacing="0" w:after="0" w:afterAutospacing="0"/>
              <w:ind w:left="0" w:right="0" w:firstLine="480"/>
              <w:rPr>
                <w:rFonts w:hint="eastAsia"/>
                <w:color w:val="auto"/>
                <w:szCs w:val="20"/>
                <w:highlight w:val="none"/>
                <w:lang w:eastAsia="zh-CN"/>
              </w:rPr>
            </w:pPr>
            <w:r>
              <w:rPr>
                <w:rFonts w:hint="eastAsia"/>
                <w:color w:val="auto"/>
                <w:szCs w:val="20"/>
                <w:highlight w:val="none"/>
                <w:lang w:eastAsia="zh-CN"/>
              </w:rPr>
              <w:t>鉴于项目已在原批复有效期内建成投产，且建设单位无主观过错，生态环境主管部门经核实后，同意本项目免予行政处罚，并依据《建设项目环境影响评价分类管理名录》相关规定，同意将环评文件类型由报告书降级为报告表。</w:t>
            </w:r>
          </w:p>
          <w:p>
            <w:pPr>
              <w:keepNext w:val="0"/>
              <w:keepLines w:val="0"/>
              <w:suppressLineNumbers w:val="0"/>
              <w:spacing w:before="0" w:beforeAutospacing="0" w:after="0" w:afterAutospacing="0"/>
              <w:ind w:left="0" w:right="0" w:firstLine="480"/>
              <w:rPr>
                <w:rFonts w:hint="eastAsia"/>
                <w:color w:val="auto"/>
                <w:szCs w:val="20"/>
                <w:highlight w:val="none"/>
                <w:lang w:eastAsia="zh-CN"/>
              </w:rPr>
            </w:pPr>
            <w:r>
              <w:rPr>
                <w:rFonts w:hint="eastAsia"/>
                <w:color w:val="auto"/>
                <w:szCs w:val="20"/>
                <w:highlight w:val="none"/>
                <w:lang w:eastAsia="zh-CN"/>
              </w:rPr>
              <w:t>为此，建设单位重新编制环境影响报告表，报生态环境主管部门审批。</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lang w:eastAsia="zh-CN"/>
              </w:rPr>
              <w:t>本次评价范围仅为一期3000吨/年白酒生产线、</w:t>
            </w:r>
            <w:r>
              <w:rPr>
                <w:rFonts w:hint="eastAsia"/>
                <w:color w:val="auto"/>
                <w:szCs w:val="20"/>
                <w:highlight w:val="none"/>
                <w:lang w:val="en-US" w:eastAsia="zh-CN"/>
              </w:rPr>
              <w:t>5</w:t>
            </w:r>
            <w:r>
              <w:rPr>
                <w:rFonts w:hint="eastAsia"/>
                <w:color w:val="auto"/>
                <w:szCs w:val="20"/>
                <w:highlight w:val="none"/>
                <w:lang w:eastAsia="zh-CN"/>
              </w:rPr>
              <w:t>00吨/年</w:t>
            </w:r>
            <w:r>
              <w:rPr>
                <w:rFonts w:hint="eastAsia"/>
                <w:color w:val="auto"/>
                <w:szCs w:val="20"/>
                <w:highlight w:val="none"/>
                <w:lang w:val="en-US" w:eastAsia="zh-CN"/>
              </w:rPr>
              <w:t>葡萄</w:t>
            </w:r>
            <w:r>
              <w:rPr>
                <w:rFonts w:hint="eastAsia"/>
                <w:color w:val="auto"/>
                <w:szCs w:val="20"/>
                <w:highlight w:val="none"/>
                <w:lang w:eastAsia="zh-CN"/>
              </w:rPr>
              <w:t>酒生产线及其配套工程，二期建设另行开展环境影响评价</w:t>
            </w:r>
            <w:r>
              <w:rPr>
                <w:rFonts w:hint="eastAsia"/>
                <w:color w:val="auto"/>
                <w:szCs w:val="20"/>
                <w:highlight w:val="none"/>
              </w:rPr>
              <w:t>。</w:t>
            </w:r>
          </w:p>
          <w:p>
            <w:pPr>
              <w:pStyle w:val="6"/>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2、建设项目概况</w:t>
            </w:r>
          </w:p>
          <w:p>
            <w:pPr>
              <w:keepNext w:val="0"/>
              <w:keepLines w:val="0"/>
              <w:numPr>
                <w:ilvl w:val="0"/>
                <w:numId w:val="2"/>
              </w:numPr>
              <w:suppressLineNumbers w:val="0"/>
              <w:spacing w:before="0" w:beforeAutospacing="0" w:after="0" w:afterAutospacing="0"/>
              <w:ind w:left="0" w:leftChars="0" w:right="0" w:firstLine="567" w:firstLineChars="0"/>
              <w:rPr>
                <w:rFonts w:hint="default"/>
                <w:color w:val="auto"/>
                <w:szCs w:val="20"/>
                <w:highlight w:val="none"/>
              </w:rPr>
            </w:pPr>
            <w:r>
              <w:rPr>
                <w:rFonts w:hint="default"/>
                <w:color w:val="auto"/>
                <w:szCs w:val="20"/>
                <w:highlight w:val="none"/>
              </w:rPr>
              <w:t>项目名称：</w:t>
            </w:r>
            <w:r>
              <w:rPr>
                <w:rFonts w:hint="eastAsia"/>
                <w:color w:val="auto"/>
                <w:szCs w:val="20"/>
                <w:highlight w:val="none"/>
                <w:lang w:eastAsia="zh-CN"/>
              </w:rPr>
              <w:t>新疆西域酒业有限责任公司年产白酒及葡萄酒建设项目</w:t>
            </w:r>
            <w:r>
              <w:rPr>
                <w:rFonts w:hint="eastAsia"/>
                <w:color w:val="auto"/>
                <w:szCs w:val="20"/>
                <w:highlight w:val="none"/>
              </w:rPr>
              <w:t>；</w:t>
            </w:r>
          </w:p>
          <w:p>
            <w:pPr>
              <w:keepNext w:val="0"/>
              <w:keepLines w:val="0"/>
              <w:numPr>
                <w:ilvl w:val="0"/>
                <w:numId w:val="2"/>
              </w:numPr>
              <w:suppressLineNumbers w:val="0"/>
              <w:spacing w:before="0" w:beforeAutospacing="0" w:after="0" w:afterAutospacing="0"/>
              <w:ind w:left="0" w:leftChars="0" w:right="0" w:firstLine="567" w:firstLineChars="0"/>
              <w:rPr>
                <w:rFonts w:hint="default"/>
                <w:color w:val="auto"/>
                <w:szCs w:val="20"/>
                <w:highlight w:val="none"/>
              </w:rPr>
            </w:pPr>
            <w:r>
              <w:rPr>
                <w:rFonts w:hint="eastAsia"/>
                <w:color w:val="auto"/>
                <w:szCs w:val="20"/>
                <w:highlight w:val="none"/>
              </w:rPr>
              <w:t>项目地点</w:t>
            </w:r>
            <w:r>
              <w:rPr>
                <w:rFonts w:hint="default"/>
                <w:color w:val="auto"/>
                <w:szCs w:val="20"/>
                <w:highlight w:val="none"/>
              </w:rPr>
              <w:t>：</w:t>
            </w:r>
            <w:r>
              <w:rPr>
                <w:rFonts w:hint="eastAsia"/>
                <w:color w:val="auto"/>
                <w:szCs w:val="20"/>
                <w:highlight w:val="none"/>
                <w:lang w:eastAsia="zh-CN"/>
              </w:rPr>
              <w:t>新疆塔城地区乌苏市西城区街道物流园社区新安江东路北侧16号</w:t>
            </w:r>
            <w:r>
              <w:rPr>
                <w:rFonts w:hint="eastAsia"/>
                <w:color w:val="auto"/>
                <w:szCs w:val="20"/>
                <w:highlight w:val="none"/>
              </w:rPr>
              <w:t>；</w:t>
            </w:r>
          </w:p>
          <w:p>
            <w:pPr>
              <w:keepNext w:val="0"/>
              <w:keepLines w:val="0"/>
              <w:numPr>
                <w:ilvl w:val="0"/>
                <w:numId w:val="2"/>
              </w:numPr>
              <w:suppressLineNumbers w:val="0"/>
              <w:spacing w:before="0" w:beforeAutospacing="0" w:after="0" w:afterAutospacing="0"/>
              <w:ind w:left="0" w:leftChars="0" w:right="0" w:firstLine="567" w:firstLineChars="0"/>
              <w:rPr>
                <w:rFonts w:hint="default"/>
                <w:color w:val="auto"/>
                <w:szCs w:val="20"/>
                <w:highlight w:val="none"/>
              </w:rPr>
            </w:pPr>
            <w:r>
              <w:rPr>
                <w:rFonts w:hint="default"/>
                <w:color w:val="auto"/>
                <w:szCs w:val="20"/>
                <w:highlight w:val="none"/>
              </w:rPr>
              <w:t>项目性质：</w:t>
            </w:r>
            <w:r>
              <w:rPr>
                <w:rFonts w:hint="eastAsia"/>
                <w:color w:val="auto"/>
                <w:szCs w:val="20"/>
                <w:highlight w:val="none"/>
                <w:lang w:val="en-US" w:eastAsia="zh-CN"/>
              </w:rPr>
              <w:t>新建（重大变动重新报批）</w:t>
            </w:r>
            <w:r>
              <w:rPr>
                <w:rFonts w:hint="eastAsia"/>
                <w:color w:val="auto"/>
                <w:szCs w:val="20"/>
                <w:highlight w:val="none"/>
              </w:rPr>
              <w:t>；</w:t>
            </w:r>
          </w:p>
          <w:p>
            <w:pPr>
              <w:keepNext w:val="0"/>
              <w:keepLines w:val="0"/>
              <w:numPr>
                <w:ilvl w:val="0"/>
                <w:numId w:val="2"/>
              </w:numPr>
              <w:suppressLineNumbers w:val="0"/>
              <w:spacing w:before="0" w:beforeAutospacing="0" w:after="0" w:afterAutospacing="0"/>
              <w:ind w:left="0" w:leftChars="0" w:right="0" w:firstLine="567" w:firstLineChars="0"/>
              <w:rPr>
                <w:rFonts w:hint="default"/>
                <w:color w:val="auto"/>
                <w:szCs w:val="20"/>
                <w:highlight w:val="none"/>
              </w:rPr>
            </w:pPr>
            <w:r>
              <w:rPr>
                <w:rFonts w:hint="eastAsia"/>
                <w:color w:val="auto"/>
                <w:szCs w:val="20"/>
                <w:highlight w:val="none"/>
              </w:rPr>
              <w:t>行业类别：</w:t>
            </w:r>
            <w:r>
              <w:rPr>
                <w:rFonts w:hint="eastAsia"/>
                <w:color w:val="auto"/>
                <w:szCs w:val="20"/>
                <w:highlight w:val="none"/>
                <w:lang w:eastAsia="zh-CN"/>
              </w:rPr>
              <w:t>C1512 白酒制造</w:t>
            </w:r>
            <w:r>
              <w:rPr>
                <w:rFonts w:hint="eastAsia"/>
                <w:color w:val="auto"/>
                <w:szCs w:val="20"/>
                <w:highlight w:val="none"/>
              </w:rPr>
              <w:t>；C1515 葡萄酒制造</w:t>
            </w:r>
          </w:p>
          <w:p>
            <w:pPr>
              <w:keepNext w:val="0"/>
              <w:keepLines w:val="0"/>
              <w:numPr>
                <w:ilvl w:val="0"/>
                <w:numId w:val="2"/>
              </w:numPr>
              <w:suppressLineNumbers w:val="0"/>
              <w:spacing w:before="0" w:beforeAutospacing="0" w:after="0" w:afterAutospacing="0"/>
              <w:ind w:left="0" w:leftChars="0" w:right="0" w:firstLine="567" w:firstLineChars="0"/>
              <w:rPr>
                <w:rFonts w:hint="default"/>
                <w:color w:val="auto"/>
                <w:szCs w:val="20"/>
                <w:highlight w:val="none"/>
              </w:rPr>
            </w:pPr>
            <w:r>
              <w:rPr>
                <w:rFonts w:hint="eastAsia"/>
                <w:color w:val="auto"/>
                <w:szCs w:val="20"/>
                <w:highlight w:val="none"/>
              </w:rPr>
              <w:t>投资总额：</w:t>
            </w:r>
            <w:r>
              <w:rPr>
                <w:rFonts w:hint="eastAsia"/>
                <w:color w:val="auto"/>
                <w:szCs w:val="20"/>
                <w:highlight w:val="none"/>
                <w:lang w:eastAsia="zh-CN"/>
              </w:rPr>
              <w:t>14115.5</w:t>
            </w:r>
            <w:r>
              <w:rPr>
                <w:rFonts w:hint="eastAsia"/>
                <w:color w:val="auto"/>
                <w:szCs w:val="20"/>
                <w:highlight w:val="none"/>
              </w:rPr>
              <w:t>万元；</w:t>
            </w:r>
          </w:p>
          <w:p>
            <w:pPr>
              <w:keepNext w:val="0"/>
              <w:keepLines w:val="0"/>
              <w:numPr>
                <w:ilvl w:val="0"/>
                <w:numId w:val="2"/>
              </w:numPr>
              <w:suppressLineNumbers w:val="0"/>
              <w:spacing w:before="0" w:beforeAutospacing="0" w:after="0" w:afterAutospacing="0"/>
              <w:ind w:left="0" w:leftChars="0" w:right="0" w:firstLine="567" w:firstLineChars="0"/>
              <w:rPr>
                <w:rFonts w:hint="default"/>
                <w:color w:val="auto"/>
                <w:szCs w:val="20"/>
                <w:highlight w:val="none"/>
              </w:rPr>
            </w:pPr>
            <w:r>
              <w:rPr>
                <w:rFonts w:hint="eastAsia"/>
                <w:color w:val="auto"/>
                <w:szCs w:val="20"/>
                <w:highlight w:val="none"/>
              </w:rPr>
              <w:t>工程规模：</w:t>
            </w:r>
            <w:r>
              <w:rPr>
                <w:rFonts w:hint="eastAsia"/>
                <w:color w:val="auto"/>
                <w:szCs w:val="20"/>
                <w:highlight w:val="none"/>
                <w:lang w:eastAsia="zh-CN"/>
              </w:rPr>
              <w:t>年产白酒3000吨</w:t>
            </w:r>
            <w:r>
              <w:rPr>
                <w:rFonts w:hint="eastAsia"/>
                <w:color w:val="auto"/>
                <w:szCs w:val="20"/>
                <w:highlight w:val="none"/>
                <w:lang w:val="en-US" w:eastAsia="zh-CN"/>
              </w:rPr>
              <w:t>+葡萄</w:t>
            </w:r>
            <w:r>
              <w:rPr>
                <w:rFonts w:hint="eastAsia"/>
                <w:color w:val="auto"/>
                <w:szCs w:val="20"/>
                <w:highlight w:val="none"/>
                <w:lang w:eastAsia="zh-CN"/>
              </w:rPr>
              <w:t>酒</w:t>
            </w:r>
            <w:r>
              <w:rPr>
                <w:rFonts w:hint="eastAsia"/>
                <w:color w:val="auto"/>
                <w:szCs w:val="20"/>
                <w:highlight w:val="none"/>
                <w:lang w:val="en-US" w:eastAsia="zh-CN"/>
              </w:rPr>
              <w:t>5</w:t>
            </w:r>
            <w:r>
              <w:rPr>
                <w:rFonts w:hint="eastAsia"/>
                <w:color w:val="auto"/>
                <w:szCs w:val="20"/>
                <w:highlight w:val="none"/>
                <w:lang w:eastAsia="zh-CN"/>
              </w:rPr>
              <w:t>00吨</w:t>
            </w:r>
            <w:r>
              <w:rPr>
                <w:rFonts w:hint="eastAsia"/>
                <w:color w:val="auto"/>
                <w:szCs w:val="20"/>
                <w:highlight w:val="none"/>
              </w:rPr>
              <w:t>；</w:t>
            </w:r>
          </w:p>
          <w:p>
            <w:pPr>
              <w:keepNext w:val="0"/>
              <w:keepLines w:val="0"/>
              <w:numPr>
                <w:ilvl w:val="0"/>
                <w:numId w:val="2"/>
              </w:numPr>
              <w:suppressLineNumbers w:val="0"/>
              <w:spacing w:before="0" w:beforeAutospacing="0" w:after="0" w:afterAutospacing="0"/>
              <w:ind w:left="0" w:leftChars="0" w:right="0" w:firstLine="567" w:firstLineChars="0"/>
              <w:rPr>
                <w:rFonts w:hint="default" w:eastAsia="宋体"/>
                <w:color w:val="auto"/>
                <w:szCs w:val="20"/>
                <w:highlight w:val="none"/>
                <w:lang w:val="en-US" w:eastAsia="zh-CN"/>
              </w:rPr>
            </w:pPr>
            <w:r>
              <w:rPr>
                <w:rFonts w:hint="eastAsia"/>
                <w:color w:val="auto"/>
                <w:szCs w:val="20"/>
                <w:highlight w:val="none"/>
              </w:rPr>
              <w:t>人员配置：本项目劳动定员80人，采用</w:t>
            </w:r>
            <w:r>
              <w:rPr>
                <w:rFonts w:hint="eastAsia"/>
                <w:color w:val="auto"/>
                <w:szCs w:val="20"/>
                <w:highlight w:val="none"/>
                <w:lang w:eastAsia="zh-CN"/>
              </w:rPr>
              <w:t>8小时工作制</w:t>
            </w:r>
            <w:r>
              <w:rPr>
                <w:rFonts w:hint="eastAsia"/>
                <w:color w:val="auto"/>
                <w:szCs w:val="20"/>
                <w:highlight w:val="none"/>
              </w:rPr>
              <w:t>，年工作日300天。</w:t>
            </w:r>
          </w:p>
          <w:p>
            <w:pPr>
              <w:pStyle w:val="6"/>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3、建设内容</w:t>
            </w:r>
          </w:p>
          <w:p>
            <w:pPr>
              <w:keepNext w:val="0"/>
              <w:keepLines w:val="0"/>
              <w:suppressLineNumbers w:val="0"/>
              <w:spacing w:before="0" w:beforeAutospacing="0" w:after="0" w:afterAutospacing="0"/>
              <w:ind w:left="0" w:right="0" w:firstLine="480"/>
              <w:rPr>
                <w:rFonts w:hint="default" w:ascii="Times New Roman" w:hAnsi="Times New Roman" w:eastAsia="宋体" w:cs="Times New Roman"/>
                <w:b/>
                <w:snapToGrid/>
                <w:color w:val="auto"/>
                <w:kern w:val="2"/>
                <w:sz w:val="24"/>
                <w:szCs w:val="24"/>
                <w:highlight w:val="none"/>
                <w:lang w:eastAsia="zh-CN"/>
              </w:rPr>
            </w:pPr>
            <w:r>
              <w:rPr>
                <w:rFonts w:hint="eastAsia"/>
                <w:color w:val="auto"/>
                <w:szCs w:val="20"/>
                <w:highlight w:val="none"/>
              </w:rPr>
              <w:t>本项目租用乌苏市兴农农业发展有限公司现有车间进行建设，总占地面积</w:t>
            </w:r>
            <w:r>
              <w:rPr>
                <w:rFonts w:hint="eastAsia"/>
                <w:color w:val="auto"/>
                <w:szCs w:val="20"/>
                <w:highlight w:val="none"/>
                <w:lang w:eastAsia="zh-CN"/>
              </w:rPr>
              <w:t>18429.34</w:t>
            </w:r>
            <w:r>
              <w:rPr>
                <w:rFonts w:hint="eastAsia"/>
                <w:color w:val="auto"/>
                <w:szCs w:val="20"/>
                <w:highlight w:val="none"/>
              </w:rPr>
              <w:t>m²。厂区分为生产区和仓储区：酿酒车间及包装生产线位于西侧，储调酒车间位于东侧，产品库房位于东侧及北侧，粮食原料库及粉碎车间位于西北侧。办公楼依托南区葡萄酒项目区综合办公楼，生活办公及厂区食堂位于葡萄酒项目区</w:t>
            </w:r>
            <w:r>
              <w:rPr>
                <w:rFonts w:hint="eastAsia"/>
                <w:color w:val="auto"/>
                <w:szCs w:val="20"/>
                <w:highlight w:val="none"/>
                <w:lang w:eastAsia="zh-CN"/>
              </w:rPr>
              <w:t>。</w:t>
            </w:r>
          </w:p>
          <w:p>
            <w:pPr>
              <w:pStyle w:val="8"/>
              <w:keepNext w:val="0"/>
              <w:keepLines w:val="0"/>
              <w:suppressLineNumbers w:val="0"/>
              <w:spacing w:before="0" w:beforeAutospacing="0" w:after="0" w:afterAutospacing="0"/>
              <w:ind w:left="0" w:right="0"/>
              <w:jc w:val="center"/>
              <w:rPr>
                <w:rFonts w:hint="default"/>
                <w:szCs w:val="20"/>
              </w:rPr>
            </w:pPr>
            <w:r>
              <w:rPr>
                <w:rFonts w:hint="default"/>
                <w:szCs w:val="20"/>
              </w:rPr>
              <w:t>表</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2</w:t>
            </w:r>
            <w:r>
              <w:rPr>
                <w:rFonts w:hint="default"/>
                <w:szCs w:val="20"/>
              </w:rPr>
              <w:fldChar w:fldCharType="end"/>
            </w:r>
            <w:r>
              <w:rPr>
                <w:rFonts w:hint="eastAsia"/>
                <w:szCs w:val="20"/>
                <w:lang w:eastAsia="zh-CN"/>
              </w:rPr>
              <w:t>-</w:t>
            </w:r>
            <w:r>
              <w:rPr>
                <w:rFonts w:hint="default"/>
                <w:szCs w:val="20"/>
              </w:rPr>
              <w:fldChar w:fldCharType="begin"/>
            </w:r>
            <w:r>
              <w:rPr>
                <w:rFonts w:hint="default"/>
                <w:szCs w:val="20"/>
              </w:rPr>
              <w:instrText xml:space="preserve"> SEQ 表 \* ARABIC \s 1 </w:instrText>
            </w:r>
            <w:r>
              <w:rPr>
                <w:rFonts w:hint="default"/>
                <w:szCs w:val="20"/>
              </w:rPr>
              <w:fldChar w:fldCharType="separate"/>
            </w:r>
            <w:r>
              <w:rPr>
                <w:rFonts w:hint="default"/>
                <w:szCs w:val="20"/>
              </w:rPr>
              <w:t>1</w:t>
            </w:r>
            <w:r>
              <w:rPr>
                <w:rFonts w:hint="default"/>
                <w:szCs w:val="20"/>
              </w:rPr>
              <w:fldChar w:fldCharType="end"/>
            </w:r>
            <w:r>
              <w:rPr>
                <w:rFonts w:hint="eastAsia"/>
                <w:szCs w:val="20"/>
              </w:rPr>
              <w:t>建设项目组成一览表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720"/>
              <w:gridCol w:w="5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b/>
                      <w:szCs w:val="20"/>
                    </w:rPr>
                  </w:pPr>
                  <w:r>
                    <w:rPr>
                      <w:rFonts w:hint="default"/>
                      <w:b/>
                      <w:szCs w:val="20"/>
                    </w:rPr>
                    <w:t>类别</w:t>
                  </w: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组成内容</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建设内容及规模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主体工程</w:t>
                  </w: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eastAsia="宋体"/>
                      <w:szCs w:val="20"/>
                      <w:lang w:val="en-US" w:eastAsia="zh-CN"/>
                    </w:rPr>
                  </w:pPr>
                  <w:r>
                    <w:rPr>
                      <w:rFonts w:hint="eastAsia"/>
                      <w:szCs w:val="20"/>
                      <w:lang w:val="en-US" w:eastAsia="zh-CN"/>
                    </w:rPr>
                    <w:t>2</w:t>
                  </w:r>
                  <w:r>
                    <w:rPr>
                      <w:rFonts w:hint="default"/>
                      <w:szCs w:val="20"/>
                    </w:rPr>
                    <w:t>#</w:t>
                  </w:r>
                  <w:r>
                    <w:rPr>
                      <w:rFonts w:hint="eastAsia"/>
                      <w:szCs w:val="20"/>
                      <w:lang w:val="en-US" w:eastAsia="zh-CN"/>
                    </w:rPr>
                    <w:t>包装车间</w:t>
                  </w:r>
                </w:p>
              </w:tc>
              <w:tc>
                <w:tcPr>
                  <w:tcW w:w="29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kern w:val="2"/>
                      <w:sz w:val="24"/>
                      <w:szCs w:val="20"/>
                      <w:lang w:val="en-US" w:eastAsia="zh-CN" w:bidi="ar-SA"/>
                    </w:rPr>
                  </w:pPr>
                  <w:r>
                    <w:rPr>
                      <w:rFonts w:hint="default"/>
                      <w:szCs w:val="20"/>
                    </w:rPr>
                    <w:t>占地面积</w:t>
                  </w:r>
                  <w:r>
                    <w:rPr>
                      <w:rFonts w:hint="eastAsia"/>
                      <w:szCs w:val="20"/>
                      <w:lang w:val="en-US" w:eastAsia="zh-CN"/>
                    </w:rPr>
                    <w:t>6371.30</w:t>
                  </w:r>
                  <w:r>
                    <w:rPr>
                      <w:rFonts w:hint="default"/>
                      <w:szCs w:val="20"/>
                    </w:rPr>
                    <w:t>m</w:t>
                  </w:r>
                  <w:r>
                    <w:rPr>
                      <w:rFonts w:hint="default"/>
                      <w:szCs w:val="20"/>
                      <w:vertAlign w:val="superscript"/>
                    </w:rPr>
                    <w:t>2</w:t>
                  </w:r>
                  <w:r>
                    <w:rPr>
                      <w:rFonts w:hint="default"/>
                      <w:szCs w:val="20"/>
                    </w:rPr>
                    <w:t>，高度8m，1层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eastAsia"/>
                      <w:szCs w:val="20"/>
                      <w:lang w:val="en-US" w:eastAsia="zh-CN"/>
                    </w:rPr>
                    <w:t>3</w:t>
                  </w:r>
                  <w:r>
                    <w:rPr>
                      <w:rFonts w:hint="default"/>
                      <w:szCs w:val="20"/>
                    </w:rPr>
                    <w:t>#</w:t>
                  </w:r>
                  <w:r>
                    <w:rPr>
                      <w:rFonts w:hint="eastAsia"/>
                      <w:szCs w:val="20"/>
                      <w:lang w:val="en-US" w:eastAsia="zh-CN"/>
                    </w:rPr>
                    <w:t>葡萄酒生产车间</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w:t>
                  </w:r>
                  <w:r>
                    <w:rPr>
                      <w:rFonts w:hint="eastAsia"/>
                      <w:szCs w:val="20"/>
                      <w:lang w:val="en-US" w:eastAsia="zh-CN"/>
                    </w:rPr>
                    <w:t>1496.91</w:t>
                  </w:r>
                  <w:r>
                    <w:rPr>
                      <w:rFonts w:hint="default"/>
                      <w:szCs w:val="20"/>
                    </w:rPr>
                    <w:t>m</w:t>
                  </w:r>
                  <w:r>
                    <w:rPr>
                      <w:rFonts w:hint="default"/>
                      <w:szCs w:val="20"/>
                      <w:vertAlign w:val="superscript"/>
                    </w:rPr>
                    <w:t>2</w:t>
                  </w:r>
                  <w:r>
                    <w:rPr>
                      <w:rFonts w:hint="default"/>
                      <w:szCs w:val="20"/>
                    </w:rPr>
                    <w:t>，高度8m，1层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8#酿酒车间</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szCs w:val="20"/>
                    </w:rPr>
                  </w:pPr>
                  <w:r>
                    <w:rPr>
                      <w:rFonts w:hint="default"/>
                      <w:szCs w:val="20"/>
                    </w:rPr>
                    <w:t>占地面积3270.54m</w:t>
                  </w:r>
                  <w:r>
                    <w:rPr>
                      <w:rFonts w:hint="default"/>
                      <w:szCs w:val="20"/>
                      <w:vertAlign w:val="superscript"/>
                    </w:rPr>
                    <w:t>2</w:t>
                  </w:r>
                  <w:r>
                    <w:rPr>
                      <w:rFonts w:hint="default"/>
                      <w:szCs w:val="20"/>
                    </w:rPr>
                    <w:t>，高度8m，1层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eastAsia="宋体"/>
                      <w:szCs w:val="20"/>
                      <w:lang w:eastAsia="zh-CN"/>
                    </w:rPr>
                  </w:pPr>
                  <w:r>
                    <w:rPr>
                      <w:rFonts w:hint="default"/>
                      <w:szCs w:val="20"/>
                    </w:rPr>
                    <w:t>9#粮食储存与</w:t>
                  </w:r>
                  <w:r>
                    <w:rPr>
                      <w:rFonts w:hint="eastAsia"/>
                      <w:szCs w:val="20"/>
                      <w:lang w:val="en-US" w:eastAsia="zh-CN"/>
                    </w:rPr>
                    <w:t>包材库</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占地面积5120.49m</w:t>
                  </w:r>
                  <w:r>
                    <w:rPr>
                      <w:rFonts w:hint="default"/>
                      <w:szCs w:val="20"/>
                      <w:vertAlign w:val="superscript"/>
                    </w:rPr>
                    <w:t>2</w:t>
                  </w:r>
                  <w:r>
                    <w:rPr>
                      <w:rFonts w:hint="default"/>
                      <w:szCs w:val="20"/>
                    </w:rPr>
                    <w:t>，高度8m，1层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10#储调车间</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占地面积5227.04m</w:t>
                  </w:r>
                  <w:r>
                    <w:rPr>
                      <w:rFonts w:hint="default"/>
                      <w:szCs w:val="20"/>
                      <w:vertAlign w:val="superscript"/>
                    </w:rPr>
                    <w:t>2</w:t>
                  </w:r>
                  <w:r>
                    <w:rPr>
                      <w:rFonts w:hint="default"/>
                      <w:szCs w:val="20"/>
                    </w:rPr>
                    <w:t>，高度10m，1层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11#成品库房</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占地面积1441.84m</w:t>
                  </w:r>
                  <w:r>
                    <w:rPr>
                      <w:rFonts w:hint="default"/>
                      <w:szCs w:val="20"/>
                      <w:vertAlign w:val="superscript"/>
                    </w:rPr>
                    <w:t>2</w:t>
                  </w:r>
                  <w:r>
                    <w:rPr>
                      <w:rFonts w:hint="default"/>
                      <w:szCs w:val="20"/>
                    </w:rPr>
                    <w:t>，高度8m，1层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12#</w:t>
                  </w:r>
                  <w:r>
                    <w:rPr>
                      <w:rFonts w:hint="eastAsia"/>
                      <w:szCs w:val="20"/>
                      <w:lang w:val="en-US" w:eastAsia="zh-CN"/>
                    </w:rPr>
                    <w:t>粉碎</w:t>
                  </w:r>
                  <w:r>
                    <w:rPr>
                      <w:rFonts w:hint="default"/>
                      <w:szCs w:val="20"/>
                    </w:rPr>
                    <w:t>车间</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占地面积1056.21m</w:t>
                  </w:r>
                  <w:r>
                    <w:rPr>
                      <w:rFonts w:hint="default"/>
                      <w:szCs w:val="20"/>
                      <w:vertAlign w:val="superscript"/>
                    </w:rPr>
                    <w:t>2</w:t>
                  </w:r>
                  <w:r>
                    <w:rPr>
                      <w:rFonts w:hint="default"/>
                      <w:szCs w:val="20"/>
                    </w:rPr>
                    <w:t>，高度8m，1层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13#曲与稻壳存储车间</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占地面积1043.55m</w:t>
                  </w:r>
                  <w:r>
                    <w:rPr>
                      <w:rFonts w:hint="default"/>
                      <w:szCs w:val="20"/>
                      <w:vertAlign w:val="superscript"/>
                    </w:rPr>
                    <w:t>2</w:t>
                  </w:r>
                  <w:r>
                    <w:rPr>
                      <w:rFonts w:hint="default"/>
                      <w:szCs w:val="20"/>
                    </w:rPr>
                    <w:t>，高度8m，1层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14#成品库房</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占地面积919.35m</w:t>
                  </w:r>
                  <w:r>
                    <w:rPr>
                      <w:rFonts w:hint="default"/>
                      <w:szCs w:val="20"/>
                      <w:vertAlign w:val="superscript"/>
                    </w:rPr>
                    <w:t>2</w:t>
                  </w:r>
                  <w:r>
                    <w:rPr>
                      <w:rFonts w:hint="default"/>
                      <w:szCs w:val="20"/>
                    </w:rPr>
                    <w:t>，高度8m，1层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辅助工程</w:t>
                  </w: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综合楼（依托）</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占地面积2144.8m</w:t>
                  </w:r>
                  <w:r>
                    <w:rPr>
                      <w:rFonts w:hint="default"/>
                      <w:szCs w:val="20"/>
                      <w:vertAlign w:val="superscript"/>
                    </w:rPr>
                    <w:t>2</w:t>
                  </w:r>
                  <w:r>
                    <w:rPr>
                      <w:rFonts w:hint="default"/>
                      <w:szCs w:val="20"/>
                    </w:rPr>
                    <w:t>，建筑面积2760.69m</w:t>
                  </w:r>
                  <w:r>
                    <w:rPr>
                      <w:rFonts w:hint="default"/>
                      <w:szCs w:val="20"/>
                      <w:vertAlign w:val="superscript"/>
                    </w:rPr>
                    <w:t>2</w:t>
                  </w:r>
                  <w:r>
                    <w:rPr>
                      <w:rFonts w:hint="default"/>
                      <w:szCs w:val="20"/>
                    </w:rPr>
                    <w:t>，多层，地下为酒窖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食堂（依托）</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占地面积274.89m</w:t>
                  </w:r>
                  <w:r>
                    <w:rPr>
                      <w:rFonts w:hint="default"/>
                      <w:szCs w:val="20"/>
                      <w:vertAlign w:val="superscript"/>
                    </w:rPr>
                    <w:t>2</w:t>
                  </w:r>
                  <w:r>
                    <w:rPr>
                      <w:rFonts w:hint="default"/>
                      <w:szCs w:val="20"/>
                    </w:rPr>
                    <w:t>，高度4.2m，1层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生活区（依托）</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占地面积1000m</w:t>
                  </w:r>
                  <w:r>
                    <w:rPr>
                      <w:rFonts w:hint="default"/>
                      <w:szCs w:val="20"/>
                      <w:vertAlign w:val="superscript"/>
                    </w:rPr>
                    <w:t>2</w:t>
                  </w:r>
                  <w:r>
                    <w:rPr>
                      <w:rFonts w:hint="default"/>
                      <w:szCs w:val="20"/>
                    </w:rPr>
                    <w:t>，高度4m，1层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eastAsia="宋体"/>
                      <w:szCs w:val="20"/>
                      <w:lang w:val="en-US" w:eastAsia="zh-CN"/>
                    </w:rPr>
                  </w:pPr>
                  <w:r>
                    <w:rPr>
                      <w:rFonts w:hint="eastAsia"/>
                      <w:szCs w:val="20"/>
                      <w:lang w:val="en-US" w:eastAsia="zh-CN"/>
                    </w:rPr>
                    <w:t>消防泵房</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w:t>
                  </w:r>
                  <w:r>
                    <w:rPr>
                      <w:rFonts w:hint="eastAsia"/>
                      <w:szCs w:val="20"/>
                      <w:lang w:val="en-US" w:eastAsia="zh-CN"/>
                    </w:rPr>
                    <w:t>117.56</w:t>
                  </w:r>
                  <w:r>
                    <w:rPr>
                      <w:rFonts w:hint="default"/>
                      <w:szCs w:val="20"/>
                    </w:rPr>
                    <w:t>m</w:t>
                  </w:r>
                  <w:r>
                    <w:rPr>
                      <w:rFonts w:hint="default"/>
                      <w:szCs w:val="20"/>
                      <w:vertAlign w:val="superscript"/>
                    </w:rPr>
                    <w:t>2</w:t>
                  </w:r>
                  <w:r>
                    <w:rPr>
                      <w:rFonts w:hint="default"/>
                      <w:szCs w:val="20"/>
                    </w:rPr>
                    <w:t>，高度</w:t>
                  </w:r>
                  <w:r>
                    <w:rPr>
                      <w:rFonts w:hint="eastAsia"/>
                      <w:szCs w:val="20"/>
                      <w:lang w:val="en-US" w:eastAsia="zh-CN"/>
                    </w:rPr>
                    <w:t>6</w:t>
                  </w:r>
                  <w:r>
                    <w:rPr>
                      <w:rFonts w:hint="default"/>
                      <w:szCs w:val="20"/>
                    </w:rPr>
                    <w:t>m，</w:t>
                  </w:r>
                  <w:r>
                    <w:rPr>
                      <w:rFonts w:hint="eastAsia"/>
                      <w:szCs w:val="20"/>
                      <w:lang w:val="en-US" w:eastAsia="zh-CN"/>
                    </w:rPr>
                    <w:t>2</w:t>
                  </w:r>
                  <w:r>
                    <w:rPr>
                      <w:rFonts w:hint="default"/>
                      <w:szCs w:val="20"/>
                    </w:rPr>
                    <w:t>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lang w:val="en-US" w:eastAsia="zh-CN"/>
                    </w:rPr>
                  </w:pPr>
                  <w:r>
                    <w:rPr>
                      <w:rFonts w:hint="eastAsia"/>
                      <w:szCs w:val="20"/>
                      <w:lang w:val="en-US" w:eastAsia="zh-CN"/>
                    </w:rPr>
                    <w:t>化验室</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w:t>
                  </w:r>
                  <w:r>
                    <w:rPr>
                      <w:rFonts w:hint="eastAsia"/>
                      <w:szCs w:val="20"/>
                      <w:lang w:val="en-US" w:eastAsia="zh-CN"/>
                    </w:rPr>
                    <w:t>313.69</w:t>
                  </w:r>
                  <w:r>
                    <w:rPr>
                      <w:rFonts w:hint="default"/>
                      <w:szCs w:val="20"/>
                    </w:rPr>
                    <w:t>m</w:t>
                  </w:r>
                  <w:r>
                    <w:rPr>
                      <w:rFonts w:hint="default"/>
                      <w:szCs w:val="20"/>
                      <w:vertAlign w:val="superscript"/>
                    </w:rPr>
                    <w:t>2</w:t>
                  </w:r>
                  <w:r>
                    <w:rPr>
                      <w:rFonts w:hint="default"/>
                      <w:szCs w:val="20"/>
                    </w:rPr>
                    <w:t>，高度</w:t>
                  </w:r>
                  <w:r>
                    <w:rPr>
                      <w:rFonts w:hint="eastAsia"/>
                      <w:szCs w:val="20"/>
                      <w:lang w:val="en-US" w:eastAsia="zh-CN"/>
                    </w:rPr>
                    <w:t>4.2</w:t>
                  </w:r>
                  <w:r>
                    <w:rPr>
                      <w:rFonts w:hint="default"/>
                      <w:szCs w:val="20"/>
                    </w:rPr>
                    <w:t>m，</w:t>
                  </w:r>
                  <w:r>
                    <w:rPr>
                      <w:rFonts w:hint="eastAsia"/>
                      <w:szCs w:val="20"/>
                      <w:lang w:val="en-US" w:eastAsia="zh-CN"/>
                    </w:rPr>
                    <w:t>1</w:t>
                  </w:r>
                  <w:r>
                    <w:rPr>
                      <w:rFonts w:hint="default"/>
                      <w:szCs w:val="20"/>
                    </w:rPr>
                    <w:t>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3"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储运工程</w:t>
                  </w: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储酒罐区</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eastAsia="宋体"/>
                      <w:szCs w:val="20"/>
                      <w:lang w:val="en-US" w:eastAsia="zh-CN"/>
                    </w:rPr>
                  </w:pPr>
                  <w:r>
                    <w:rPr>
                      <w:rFonts w:hint="default"/>
                      <w:szCs w:val="20"/>
                    </w:rPr>
                    <w:t>100m</w:t>
                  </w:r>
                  <w:r>
                    <w:rPr>
                      <w:rFonts w:hint="default"/>
                      <w:szCs w:val="20"/>
                      <w:vertAlign w:val="superscript"/>
                    </w:rPr>
                    <w:t>3</w:t>
                  </w:r>
                  <w:r>
                    <w:rPr>
                      <w:rFonts w:hint="default"/>
                      <w:szCs w:val="20"/>
                    </w:rPr>
                    <w:t>储罐</w:t>
                  </w:r>
                  <w:r>
                    <w:rPr>
                      <w:rFonts w:hint="eastAsia"/>
                      <w:szCs w:val="20"/>
                      <w:lang w:val="en-US" w:eastAsia="zh-CN"/>
                    </w:rPr>
                    <w:t>40</w:t>
                  </w:r>
                  <w:r>
                    <w:rPr>
                      <w:rFonts w:hint="default"/>
                      <w:szCs w:val="20"/>
                    </w:rPr>
                    <w:t>个，60m</w:t>
                  </w:r>
                  <w:r>
                    <w:rPr>
                      <w:rFonts w:hint="default"/>
                      <w:szCs w:val="20"/>
                      <w:vertAlign w:val="superscript"/>
                    </w:rPr>
                    <w:t>3</w:t>
                  </w:r>
                  <w:r>
                    <w:rPr>
                      <w:rFonts w:hint="default"/>
                      <w:szCs w:val="20"/>
                    </w:rPr>
                    <w:t>储罐</w:t>
                  </w:r>
                  <w:r>
                    <w:rPr>
                      <w:rFonts w:hint="eastAsia"/>
                      <w:szCs w:val="20"/>
                      <w:lang w:val="en-US" w:eastAsia="zh-CN"/>
                    </w:rPr>
                    <w:t>40</w:t>
                  </w:r>
                  <w:r>
                    <w:rPr>
                      <w:rFonts w:hint="default"/>
                      <w:szCs w:val="20"/>
                    </w:rPr>
                    <w:t>个</w:t>
                  </w:r>
                  <w:r>
                    <w:rPr>
                      <w:rFonts w:hint="eastAsia"/>
                      <w:szCs w:val="20"/>
                      <w:lang w:eastAsia="zh-CN"/>
                    </w:rPr>
                    <w:t>，</w:t>
                  </w:r>
                  <w:r>
                    <w:rPr>
                      <w:rFonts w:hint="eastAsia"/>
                      <w:szCs w:val="20"/>
                      <w:lang w:val="en-US" w:eastAsia="zh-CN"/>
                    </w:rPr>
                    <w:t>10t储罐4个，红酒发酵罐30个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地下酒窖</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占地面积996.76m</w:t>
                  </w:r>
                  <w:r>
                    <w:rPr>
                      <w:rFonts w:hint="default"/>
                      <w:szCs w:val="20"/>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废渣收集间</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高度8m，1层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公用工程</w:t>
                  </w: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供电</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由市政供电管网供给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供水</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由市政自来水管网供给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供暖</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由乌苏市市政供暖管网供给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环保工程</w:t>
                  </w: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废气治理</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原料破碎：集尘罩+布袋除尘器+15m排气筒（DA001）；食堂油烟：油烟净化器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废水治理</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eastAsia"/>
                      <w:szCs w:val="20"/>
                      <w:lang w:val="en-US" w:eastAsia="zh-CN"/>
                    </w:rPr>
                    <w:t>经厂区</w:t>
                  </w:r>
                  <w:r>
                    <w:rPr>
                      <w:rFonts w:hint="eastAsia"/>
                      <w:szCs w:val="20"/>
                      <w:lang w:eastAsia="zh-CN"/>
                    </w:rPr>
                    <w:t>污水站</w:t>
                  </w:r>
                  <w:r>
                    <w:rPr>
                      <w:rFonts w:hint="eastAsia"/>
                      <w:szCs w:val="20"/>
                      <w:lang w:val="en-US" w:eastAsia="zh-CN"/>
                    </w:rPr>
                    <w:t>处理后排入</w:t>
                  </w:r>
                  <w:r>
                    <w:rPr>
                      <w:rFonts w:hint="default"/>
                      <w:szCs w:val="20"/>
                    </w:rPr>
                    <w:t>园区管网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噪声治理</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低噪声设备、基础减震、置于室内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固废治理</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eastAsia="宋体"/>
                      <w:szCs w:val="20"/>
                      <w:lang w:val="en-US" w:eastAsia="zh-CN"/>
                    </w:rPr>
                  </w:pPr>
                  <w:r>
                    <w:rPr>
                      <w:rFonts w:hint="default"/>
                      <w:szCs w:val="20"/>
                    </w:rPr>
                    <w:t>废渣收集间1间、危废暂存间1间</w:t>
                  </w:r>
                  <w:r>
                    <w:rPr>
                      <w:rFonts w:hint="eastAsia"/>
                      <w:szCs w:val="20"/>
                      <w:lang w:eastAsia="zh-CN"/>
                    </w:rPr>
                    <w:t>、</w:t>
                  </w:r>
                  <w:r>
                    <w:rPr>
                      <w:rFonts w:hint="default"/>
                      <w:color w:val="auto"/>
                      <w:szCs w:val="20"/>
                      <w:highlight w:val="none"/>
                      <w:lang w:val="en-US" w:eastAsia="zh-CN"/>
                    </w:rPr>
                    <w:t>酒糟暂存</w:t>
                  </w:r>
                  <w:r>
                    <w:rPr>
                      <w:rFonts w:hint="eastAsia"/>
                      <w:color w:val="auto"/>
                      <w:szCs w:val="20"/>
                      <w:highlight w:val="none"/>
                      <w:lang w:val="en-US" w:eastAsia="zh-CN"/>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环境风险</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事故池1座，有效容积100m</w:t>
                  </w:r>
                  <w:r>
                    <w:rPr>
                      <w:rFonts w:hint="default"/>
                      <w:szCs w:val="20"/>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绿化</w:t>
                  </w:r>
                </w:p>
              </w:tc>
              <w:tc>
                <w:tcPr>
                  <w:tcW w:w="158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厂区绿化</w:t>
                  </w:r>
                </w:p>
              </w:tc>
              <w:tc>
                <w:tcPr>
                  <w:tcW w:w="293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绿化面积9416.02m</w:t>
                  </w:r>
                  <w:r>
                    <w:rPr>
                      <w:rFonts w:hint="default"/>
                      <w:szCs w:val="20"/>
                      <w:vertAlign w:val="superscript"/>
                    </w:rPr>
                    <w:t>2</w:t>
                  </w:r>
                </w:p>
              </w:tc>
            </w:tr>
          </w:tbl>
          <w:p>
            <w:pPr>
              <w:keepNext/>
              <w:keepLines/>
              <w:suppressLineNumbers w:val="0"/>
              <w:spacing w:before="0" w:beforeAutospacing="0" w:after="0" w:afterAutospacing="0"/>
              <w:ind w:left="0" w:right="0" w:firstLine="0" w:firstLineChars="0"/>
              <w:jc w:val="both"/>
              <w:outlineLvl w:val="3"/>
              <w:rPr>
                <w:rFonts w:hint="default"/>
                <w:b/>
                <w:color w:val="auto"/>
                <w:szCs w:val="20"/>
                <w:highlight w:val="none"/>
              </w:rPr>
            </w:pPr>
            <w:r>
              <w:rPr>
                <w:rFonts w:hint="eastAsia"/>
                <w:b/>
                <w:color w:val="auto"/>
                <w:szCs w:val="20"/>
                <w:highlight w:val="none"/>
                <w:lang w:val="en-US" w:eastAsia="zh-CN"/>
              </w:rPr>
              <w:t>4</w:t>
            </w:r>
            <w:r>
              <w:rPr>
                <w:rFonts w:hint="default"/>
                <w:b/>
                <w:color w:val="auto"/>
                <w:szCs w:val="20"/>
                <w:highlight w:val="none"/>
              </w:rPr>
              <w:t>、项目原辅材料消耗</w:t>
            </w:r>
            <w:r>
              <w:rPr>
                <w:rFonts w:hint="eastAsia"/>
                <w:b/>
                <w:color w:val="auto"/>
                <w:szCs w:val="20"/>
                <w:highlight w:val="none"/>
              </w:rPr>
              <w:t>情况</w:t>
            </w:r>
          </w:p>
          <w:p>
            <w:pPr>
              <w:keepNext w:val="0"/>
              <w:keepLines w:val="0"/>
              <w:suppressLineNumbers w:val="0"/>
              <w:spacing w:before="0" w:beforeAutospacing="0" w:after="0" w:afterAutospacing="0"/>
              <w:ind w:left="0" w:right="0" w:firstLine="480"/>
              <w:jc w:val="both"/>
              <w:rPr>
                <w:rFonts w:hint="default"/>
                <w:color w:val="auto"/>
                <w:szCs w:val="20"/>
                <w:highlight w:val="none"/>
              </w:rPr>
            </w:pPr>
            <w:r>
              <w:rPr>
                <w:rFonts w:hint="default"/>
                <w:color w:val="auto"/>
                <w:szCs w:val="20"/>
                <w:highlight w:val="none"/>
              </w:rPr>
              <w:t>项目原辅材料</w:t>
            </w:r>
            <w:r>
              <w:rPr>
                <w:rFonts w:hint="eastAsia"/>
                <w:color w:val="auto"/>
                <w:szCs w:val="20"/>
                <w:highlight w:val="none"/>
              </w:rPr>
              <w:t>详见下表</w:t>
            </w:r>
            <w:r>
              <w:rPr>
                <w:rFonts w:hint="default"/>
                <w:color w:val="auto"/>
                <w:szCs w:val="20"/>
                <w:highlight w:val="none"/>
              </w:rPr>
              <w:t>。</w:t>
            </w:r>
          </w:p>
          <w:p>
            <w:pPr>
              <w:pStyle w:val="8"/>
              <w:keepNext w:val="0"/>
              <w:keepLines w:val="0"/>
              <w:suppressLineNumbers w:val="0"/>
              <w:spacing w:before="0" w:beforeAutospacing="0" w:after="0" w:afterAutospacing="0"/>
              <w:ind w:left="0" w:right="0"/>
              <w:jc w:val="center"/>
              <w:rPr>
                <w:rFonts w:hint="eastAsia" w:eastAsia="黑体"/>
                <w:szCs w:val="20"/>
                <w:lang w:val="en-US" w:eastAsia="zh-CN"/>
              </w:rPr>
            </w:pPr>
            <w:r>
              <w:rPr>
                <w:rFonts w:hint="default"/>
                <w:szCs w:val="20"/>
              </w:rPr>
              <w:t>表</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2</w:t>
            </w:r>
            <w:r>
              <w:rPr>
                <w:rFonts w:hint="default"/>
                <w:szCs w:val="20"/>
              </w:rPr>
              <w:fldChar w:fldCharType="end"/>
            </w:r>
            <w:r>
              <w:rPr>
                <w:rFonts w:hint="eastAsia"/>
                <w:szCs w:val="20"/>
                <w:lang w:eastAsia="zh-CN"/>
              </w:rPr>
              <w:t>-</w:t>
            </w:r>
            <w:r>
              <w:rPr>
                <w:rFonts w:hint="default"/>
                <w:szCs w:val="20"/>
              </w:rPr>
              <w:fldChar w:fldCharType="begin"/>
            </w:r>
            <w:r>
              <w:rPr>
                <w:rFonts w:hint="default"/>
                <w:szCs w:val="20"/>
              </w:rPr>
              <w:instrText xml:space="preserve"> SEQ 表 \* ARABIC \s 1 </w:instrText>
            </w:r>
            <w:r>
              <w:rPr>
                <w:rFonts w:hint="default"/>
                <w:szCs w:val="20"/>
              </w:rPr>
              <w:fldChar w:fldCharType="separate"/>
            </w:r>
            <w:r>
              <w:rPr>
                <w:rFonts w:hint="default"/>
                <w:szCs w:val="20"/>
              </w:rPr>
              <w:t>2</w:t>
            </w:r>
            <w:r>
              <w:rPr>
                <w:rFonts w:hint="default"/>
                <w:szCs w:val="20"/>
              </w:rPr>
              <w:fldChar w:fldCharType="end"/>
            </w:r>
            <w:r>
              <w:rPr>
                <w:rFonts w:hint="eastAsia"/>
                <w:szCs w:val="20"/>
                <w:lang w:val="en-US" w:eastAsia="zh-CN"/>
              </w:rPr>
              <w:t xml:space="preserve"> </w:t>
            </w:r>
            <w:r>
              <w:rPr>
                <w:rFonts w:hint="default"/>
                <w:color w:val="auto"/>
                <w:szCs w:val="20"/>
                <w:highlight w:val="none"/>
              </w:rPr>
              <w:t>项目原辅材料</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3"/>
              <w:gridCol w:w="3150"/>
              <w:gridCol w:w="3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序号</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产品</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消耗量</w:t>
                  </w:r>
                  <w:r>
                    <w:rPr>
                      <w:rFonts w:hint="eastAsia" w:cs="Times New Roman"/>
                      <w:b/>
                      <w:bCs/>
                      <w:color w:val="auto"/>
                      <w:sz w:val="21"/>
                      <w:szCs w:val="21"/>
                      <w:highlight w:val="none"/>
                      <w:lang w:val="en-US" w:eastAsia="zh-CN"/>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玉米</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高粱</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大米</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糯米</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小麦</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稻草</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稻壳</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母曲</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白酒瓶（500mL）</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600</w:t>
                  </w:r>
                  <w:r>
                    <w:rPr>
                      <w:rFonts w:hint="default" w:ascii="Times New Roman" w:hAnsi="Times New Roman" w:eastAsia="宋体" w:cs="Times New Roman"/>
                      <w:color w:val="auto"/>
                      <w:sz w:val="21"/>
                      <w:szCs w:val="21"/>
                      <w:highlight w:val="none"/>
                      <w:lang w:val="en-US" w:eastAsia="zh-CN"/>
                    </w:rPr>
                    <w:t>万个/a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0</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包装箱</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110</w:t>
                  </w:r>
                  <w:r>
                    <w:rPr>
                      <w:rFonts w:hint="default" w:ascii="Times New Roman" w:hAnsi="Times New Roman" w:eastAsia="宋体" w:cs="Times New Roman"/>
                      <w:color w:val="auto"/>
                      <w:sz w:val="21"/>
                      <w:szCs w:val="21"/>
                      <w:highlight w:val="none"/>
                      <w:lang w:val="en-US" w:eastAsia="zh-CN"/>
                    </w:rPr>
                    <w:t>万个/a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蒸汽</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12</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水</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7185</w:t>
                  </w:r>
                  <w:r>
                    <w:rPr>
                      <w:rFonts w:hint="default" w:ascii="Times New Roman" w:hAnsi="Times New Roman" w:eastAsia="宋体" w:cs="Times New Roman"/>
                      <w:color w:val="auto"/>
                      <w:sz w:val="21"/>
                      <w:szCs w:val="21"/>
                      <w:highlight w:val="none"/>
                      <w:lang w:val="en-US" w:eastAsia="zh-CN"/>
                    </w:rPr>
                    <w:t>m³/a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13</w:t>
                  </w:r>
                </w:p>
              </w:tc>
              <w:tc>
                <w:tcPr>
                  <w:tcW w:w="183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电</w:t>
                  </w:r>
                </w:p>
              </w:tc>
              <w:tc>
                <w:tcPr>
                  <w:tcW w:w="21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0.5</w:t>
                  </w:r>
                  <w:r>
                    <w:rPr>
                      <w:rFonts w:hint="default" w:ascii="Times New Roman" w:hAnsi="Times New Roman" w:eastAsia="宋体" w:cs="Times New Roman"/>
                      <w:color w:val="auto"/>
                      <w:sz w:val="21"/>
                      <w:szCs w:val="21"/>
                      <w:highlight w:val="none"/>
                      <w:lang w:val="en-US" w:eastAsia="zh-CN"/>
                    </w:rPr>
                    <w:t>×10⁵kW·h</w:t>
                  </w:r>
                </w:p>
              </w:tc>
            </w:tr>
          </w:tbl>
          <w:p>
            <w:pPr>
              <w:keepNext/>
              <w:keepLines/>
              <w:suppressLineNumbers w:val="0"/>
              <w:spacing w:before="0" w:beforeAutospacing="0" w:after="0" w:afterAutospacing="0"/>
              <w:ind w:left="0" w:right="0" w:firstLine="0" w:firstLineChars="0"/>
              <w:jc w:val="both"/>
              <w:outlineLvl w:val="3"/>
              <w:rPr>
                <w:rFonts w:hint="default"/>
                <w:b/>
                <w:color w:val="auto"/>
                <w:szCs w:val="20"/>
                <w:highlight w:val="none"/>
              </w:rPr>
            </w:pPr>
            <w:r>
              <w:rPr>
                <w:rFonts w:hint="eastAsia"/>
                <w:b/>
                <w:color w:val="auto"/>
                <w:szCs w:val="20"/>
                <w:highlight w:val="none"/>
                <w:lang w:val="en-US" w:eastAsia="zh-CN"/>
              </w:rPr>
              <w:t>5</w:t>
            </w:r>
            <w:r>
              <w:rPr>
                <w:rFonts w:hint="default"/>
                <w:b/>
                <w:color w:val="auto"/>
                <w:szCs w:val="20"/>
                <w:highlight w:val="none"/>
              </w:rPr>
              <w:t>、主要设备</w:t>
            </w:r>
          </w:p>
          <w:p>
            <w:pPr>
              <w:pStyle w:val="8"/>
              <w:keepNext w:val="0"/>
              <w:keepLines w:val="0"/>
              <w:suppressLineNumbers w:val="0"/>
              <w:spacing w:before="0" w:beforeAutospacing="0" w:after="0" w:afterAutospacing="0"/>
              <w:ind w:left="0" w:right="0"/>
              <w:jc w:val="center"/>
              <w:rPr>
                <w:rFonts w:hint="default"/>
                <w:szCs w:val="20"/>
              </w:rPr>
            </w:pPr>
            <w:r>
              <w:rPr>
                <w:rFonts w:hint="default"/>
                <w:szCs w:val="20"/>
              </w:rPr>
              <w:t>表</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2</w:t>
            </w:r>
            <w:r>
              <w:rPr>
                <w:rFonts w:hint="default"/>
                <w:szCs w:val="20"/>
              </w:rPr>
              <w:fldChar w:fldCharType="end"/>
            </w:r>
            <w:r>
              <w:rPr>
                <w:rFonts w:hint="eastAsia"/>
                <w:szCs w:val="20"/>
                <w:lang w:eastAsia="zh-CN"/>
              </w:rPr>
              <w:t>-</w:t>
            </w:r>
            <w:r>
              <w:rPr>
                <w:rFonts w:hint="default"/>
                <w:szCs w:val="20"/>
              </w:rPr>
              <w:fldChar w:fldCharType="begin"/>
            </w:r>
            <w:r>
              <w:rPr>
                <w:rFonts w:hint="default"/>
                <w:szCs w:val="20"/>
              </w:rPr>
              <w:instrText xml:space="preserve"> SEQ 表 \* ARABIC \s 1 </w:instrText>
            </w:r>
            <w:r>
              <w:rPr>
                <w:rFonts w:hint="default"/>
                <w:szCs w:val="20"/>
              </w:rPr>
              <w:fldChar w:fldCharType="separate"/>
            </w:r>
            <w:r>
              <w:rPr>
                <w:rFonts w:hint="default"/>
                <w:szCs w:val="20"/>
              </w:rPr>
              <w:t>3</w:t>
            </w:r>
            <w:r>
              <w:rPr>
                <w:rFonts w:hint="default"/>
                <w:szCs w:val="20"/>
              </w:rPr>
              <w:fldChar w:fldCharType="end"/>
            </w:r>
            <w:r>
              <w:rPr>
                <w:rFonts w:hint="eastAsia"/>
                <w:szCs w:val="20"/>
              </w:rPr>
              <w:t>主要设备一览表    单位：台</w:t>
            </w:r>
          </w:p>
          <w:tbl>
            <w:tblPr>
              <w:tblStyle w:val="22"/>
              <w:tblW w:w="8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2173"/>
              <w:gridCol w:w="2800"/>
              <w:gridCol w:w="1401"/>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default" w:ascii="Times New Roman" w:hAnsi="Times New Roman" w:eastAsia="宋体" w:cs="Times New Roman"/>
                      <w:b/>
                      <w:bCs w:val="0"/>
                      <w:color w:val="auto"/>
                      <w:sz w:val="21"/>
                      <w:szCs w:val="21"/>
                      <w:vertAlign w:val="baseline"/>
                      <w:lang w:val="en-US" w:eastAsia="zh-CN"/>
                    </w:rPr>
                    <w:t>序号</w:t>
                  </w:r>
                </w:p>
              </w:tc>
              <w:tc>
                <w:tcPr>
                  <w:tcW w:w="2996" w:type="pct"/>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default" w:ascii="Times New Roman" w:hAnsi="Times New Roman" w:eastAsia="宋体" w:cs="Times New Roman"/>
                      <w:b/>
                      <w:bCs w:val="0"/>
                      <w:color w:val="auto"/>
                      <w:sz w:val="21"/>
                      <w:szCs w:val="21"/>
                      <w:vertAlign w:val="baseline"/>
                      <w:lang w:val="en-US" w:eastAsia="zh-CN"/>
                    </w:rPr>
                    <w:t>设备名称</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default" w:ascii="Times New Roman" w:hAnsi="Times New Roman" w:eastAsia="宋体" w:cs="Times New Roman"/>
                      <w:b/>
                      <w:bCs w:val="0"/>
                      <w:color w:val="auto"/>
                      <w:sz w:val="21"/>
                      <w:szCs w:val="21"/>
                      <w:vertAlign w:val="baseline"/>
                      <w:lang w:val="en-US" w:eastAsia="zh-CN"/>
                    </w:rPr>
                    <w:t>单位</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eastAsia" w:ascii="Times New Roman" w:hAnsi="Times New Roman" w:eastAsia="宋体" w:cs="Times New Roman"/>
                      <w:b/>
                      <w:bCs w:val="0"/>
                      <w:color w:val="auto"/>
                      <w:sz w:val="21"/>
                      <w:szCs w:val="21"/>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一</w:t>
                  </w:r>
                </w:p>
              </w:tc>
              <w:tc>
                <w:tcPr>
                  <w:tcW w:w="3840" w:type="pct"/>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生产线设备</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w:t>
                  </w:r>
                </w:p>
              </w:tc>
              <w:tc>
                <w:tcPr>
                  <w:tcW w:w="130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原料处理</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原料、酒曲破碎机</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套</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2</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晾糟机</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套</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3</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传送带</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4</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斗式提升机</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5</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抓斗</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6</w:t>
                  </w:r>
                </w:p>
              </w:tc>
              <w:tc>
                <w:tcPr>
                  <w:tcW w:w="130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color w:val="auto"/>
                      <w:spacing w:val="-3"/>
                      <w:sz w:val="21"/>
                      <w:szCs w:val="21"/>
                    </w:rPr>
                    <w:t>发酵设备</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发酵池</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个</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7</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风冷冷却器</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8</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蒸锅</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9</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行车</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10</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接酒桶</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个</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11</w:t>
                  </w:r>
                </w:p>
              </w:tc>
              <w:tc>
                <w:tcPr>
                  <w:tcW w:w="130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color w:val="auto"/>
                      <w:spacing w:val="-2"/>
                      <w:sz w:val="21"/>
                      <w:szCs w:val="21"/>
                    </w:rPr>
                    <w:t>储酒设施</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不锈钢</w:t>
                  </w:r>
                  <w:r>
                    <w:rPr>
                      <w:rFonts w:hint="eastAsia" w:cs="Times New Roman"/>
                      <w:bCs/>
                      <w:color w:val="auto"/>
                      <w:sz w:val="21"/>
                      <w:szCs w:val="21"/>
                      <w:vertAlign w:val="baseline"/>
                      <w:lang w:val="en-US" w:eastAsia="zh-CN"/>
                    </w:rPr>
                    <w:t>储酒罐</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个</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12</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snapToGrid w:val="0"/>
                      <w:color w:val="auto"/>
                      <w:kern w:val="0"/>
                      <w:sz w:val="21"/>
                      <w:szCs w:val="21"/>
                      <w:vertAlign w:val="baseline"/>
                      <w:lang w:val="en-US" w:eastAsia="zh-CN" w:bidi="ar-SA"/>
                    </w:rPr>
                  </w:pPr>
                  <w:r>
                    <w:rPr>
                      <w:rFonts w:hint="default" w:ascii="Times New Roman" w:hAnsi="Times New Roman" w:eastAsia="宋体" w:cs="Times New Roman"/>
                      <w:bCs/>
                      <w:color w:val="auto"/>
                      <w:sz w:val="21"/>
                      <w:szCs w:val="21"/>
                      <w:vertAlign w:val="baseline"/>
                      <w:lang w:val="en-US" w:eastAsia="zh-CN"/>
                    </w:rPr>
                    <w:t>不锈钢</w:t>
                  </w:r>
                  <w:r>
                    <w:rPr>
                      <w:rFonts w:hint="eastAsia" w:cs="Times New Roman"/>
                      <w:bCs/>
                      <w:color w:val="auto"/>
                      <w:sz w:val="21"/>
                      <w:szCs w:val="21"/>
                      <w:vertAlign w:val="baseline"/>
                      <w:lang w:val="en-US" w:eastAsia="zh-CN"/>
                    </w:rPr>
                    <w:t>发酵罐</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snapToGrid w:val="0"/>
                      <w:color w:val="auto"/>
                      <w:kern w:val="0"/>
                      <w:sz w:val="21"/>
                      <w:szCs w:val="21"/>
                      <w:vertAlign w:val="baseline"/>
                      <w:lang w:val="en-US" w:eastAsia="zh-CN" w:bidi="ar-SA"/>
                    </w:rPr>
                  </w:pPr>
                  <w:r>
                    <w:rPr>
                      <w:rFonts w:hint="default" w:ascii="Times New Roman" w:hAnsi="Times New Roman" w:eastAsia="宋体" w:cs="Times New Roman"/>
                      <w:bCs/>
                      <w:color w:val="auto"/>
                      <w:sz w:val="21"/>
                      <w:szCs w:val="21"/>
                      <w:vertAlign w:val="baseline"/>
                      <w:lang w:val="en-US" w:eastAsia="zh-CN"/>
                    </w:rPr>
                    <w:t>个</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不锈钢储罐</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个</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13</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snapToGrid w:val="0"/>
                      <w:color w:val="auto"/>
                      <w:kern w:val="0"/>
                      <w:sz w:val="21"/>
                      <w:szCs w:val="21"/>
                      <w:vertAlign w:val="baseline"/>
                      <w:lang w:val="en-US" w:eastAsia="zh-CN" w:bidi="ar-SA"/>
                    </w:rPr>
                  </w:pPr>
                  <w:r>
                    <w:rPr>
                      <w:rFonts w:hint="default" w:ascii="Times New Roman" w:hAnsi="Times New Roman" w:eastAsia="宋体" w:cs="Times New Roman"/>
                      <w:bCs/>
                      <w:color w:val="auto"/>
                      <w:sz w:val="21"/>
                      <w:szCs w:val="21"/>
                      <w:vertAlign w:val="baseline"/>
                      <w:lang w:val="en-US" w:eastAsia="zh-CN"/>
                    </w:rPr>
                    <w:t>酒坛（土陶）</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snapToGrid w:val="0"/>
                      <w:color w:val="auto"/>
                      <w:kern w:val="0"/>
                      <w:sz w:val="21"/>
                      <w:szCs w:val="21"/>
                      <w:vertAlign w:val="baseline"/>
                      <w:lang w:val="en-US" w:eastAsia="zh-CN" w:bidi="ar-SA"/>
                    </w:rPr>
                  </w:pPr>
                  <w:r>
                    <w:rPr>
                      <w:rFonts w:hint="default" w:ascii="Times New Roman" w:hAnsi="Times New Roman" w:eastAsia="宋体" w:cs="Times New Roman"/>
                      <w:bCs/>
                      <w:color w:val="auto"/>
                      <w:sz w:val="21"/>
                      <w:szCs w:val="21"/>
                      <w:vertAlign w:val="baseline"/>
                      <w:lang w:val="en-US" w:eastAsia="zh-CN"/>
                    </w:rPr>
                    <w:t>个</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14</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snapToGrid w:val="0"/>
                      <w:color w:val="auto"/>
                      <w:kern w:val="0"/>
                      <w:sz w:val="21"/>
                      <w:szCs w:val="21"/>
                      <w:vertAlign w:val="baseline"/>
                      <w:lang w:val="en-US" w:eastAsia="zh-CN" w:bidi="ar-SA"/>
                    </w:rPr>
                  </w:pPr>
                  <w:r>
                    <w:rPr>
                      <w:rFonts w:hint="default" w:ascii="Times New Roman" w:hAnsi="Times New Roman" w:eastAsia="宋体" w:cs="Times New Roman"/>
                      <w:bCs/>
                      <w:color w:val="auto"/>
                      <w:sz w:val="21"/>
                      <w:szCs w:val="21"/>
                      <w:vertAlign w:val="baseline"/>
                      <w:lang w:val="en-US" w:eastAsia="zh-CN"/>
                    </w:rPr>
                    <w:t>酒泵</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snapToGrid w:val="0"/>
                      <w:color w:val="auto"/>
                      <w:kern w:val="0"/>
                      <w:sz w:val="21"/>
                      <w:szCs w:val="21"/>
                      <w:vertAlign w:val="baseline"/>
                      <w:lang w:val="en-US" w:eastAsia="zh-CN" w:bidi="ar-SA"/>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15</w:t>
                  </w:r>
                </w:p>
              </w:tc>
              <w:tc>
                <w:tcPr>
                  <w:tcW w:w="130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color w:val="auto"/>
                      <w:spacing w:val="-2"/>
                      <w:sz w:val="21"/>
                      <w:szCs w:val="21"/>
                    </w:rPr>
                    <w:t>勾调</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snapToGrid w:val="0"/>
                      <w:color w:val="auto"/>
                      <w:kern w:val="0"/>
                      <w:sz w:val="21"/>
                      <w:szCs w:val="21"/>
                      <w:vertAlign w:val="baseline"/>
                      <w:lang w:val="en-US" w:eastAsia="zh-CN" w:bidi="ar-SA"/>
                    </w:rPr>
                  </w:pPr>
                  <w:r>
                    <w:rPr>
                      <w:rFonts w:hint="default" w:ascii="Times New Roman" w:hAnsi="Times New Roman" w:eastAsia="宋体" w:cs="Times New Roman"/>
                      <w:color w:val="auto"/>
                      <w:spacing w:val="-2"/>
                      <w:sz w:val="21"/>
                      <w:szCs w:val="21"/>
                    </w:rPr>
                    <w:t>勾调设备</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snapToGrid w:val="0"/>
                      <w:color w:val="auto"/>
                      <w:kern w:val="0"/>
                      <w:sz w:val="21"/>
                      <w:szCs w:val="21"/>
                      <w:vertAlign w:val="baseline"/>
                      <w:lang w:val="en-US" w:eastAsia="zh-CN" w:bidi="ar-SA"/>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snapToGrid w:val="0"/>
                      <w:color w:val="auto"/>
                      <w:kern w:val="0"/>
                      <w:sz w:val="21"/>
                      <w:szCs w:val="21"/>
                      <w:vertAlign w:val="baseline"/>
                      <w:lang w:val="en-US" w:eastAsia="zh-CN" w:bidi="ar-SA"/>
                    </w:rPr>
                  </w:pPr>
                  <w:r>
                    <w:rPr>
                      <w:rFonts w:hint="default" w:ascii="Times New Roman" w:hAnsi="Times New Roman" w:eastAsia="宋体" w:cs="Times New Roman"/>
                      <w:bCs/>
                      <w:snapToGrid w:val="0"/>
                      <w:color w:val="auto"/>
                      <w:kern w:val="0"/>
                      <w:sz w:val="21"/>
                      <w:szCs w:val="21"/>
                      <w:vertAlign w:val="baseli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16</w:t>
                  </w:r>
                </w:p>
              </w:tc>
              <w:tc>
                <w:tcPr>
                  <w:tcW w:w="130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rPr>
                    <w:t>过滤设备</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rPr>
                    <w:t>反渗透纯水处理设备</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bidi="ar-SA"/>
                    </w:rPr>
                  </w:pPr>
                  <w:r>
                    <w:rPr>
                      <w:rFonts w:hint="default" w:ascii="Times New Roman" w:hAnsi="Times New Roman" w:eastAsia="宋体" w:cs="Times New Roman"/>
                      <w:bCs/>
                      <w:color w:val="auto"/>
                      <w:sz w:val="21"/>
                      <w:szCs w:val="21"/>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19</w:t>
                  </w:r>
                </w:p>
              </w:tc>
              <w:tc>
                <w:tcPr>
                  <w:tcW w:w="130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rPr>
                    <w:t>清洗消毒</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rPr>
                    <w:t>自动冲洗瓶机</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bidi="ar-SA"/>
                    </w:rPr>
                  </w:pPr>
                  <w:r>
                    <w:rPr>
                      <w:rFonts w:hint="default" w:ascii="Times New Roman" w:hAnsi="Times New Roman" w:eastAsia="宋体" w:cs="Times New Roman"/>
                      <w:color w:val="auto"/>
                      <w:spacing w:val="-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20</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rPr>
                    <w:t>吹干机</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2"/>
                      <w:sz w:val="21"/>
                      <w:szCs w:val="21"/>
                      <w:lang w:val="en-US" w:eastAsia="zh-CN" w:bidi="ar-SA"/>
                    </w:rPr>
                  </w:pPr>
                  <w:r>
                    <w:rPr>
                      <w:rFonts w:hint="eastAsia" w:ascii="Times New Roman" w:hAnsi="Times New Roman" w:eastAsia="宋体" w:cs="Times New Roman"/>
                      <w:color w:val="auto"/>
                      <w:spacing w:val="-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21</w:t>
                  </w:r>
                </w:p>
              </w:tc>
              <w:tc>
                <w:tcPr>
                  <w:tcW w:w="130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rPr>
                    <w:t>自动灌装封盖设备</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bCs/>
                      <w:color w:val="auto"/>
                      <w:sz w:val="21"/>
                      <w:szCs w:val="21"/>
                      <w:vertAlign w:val="baseline"/>
                      <w:lang w:val="en-US" w:eastAsia="zh-CN"/>
                    </w:rPr>
                    <w:t>定量灌装机</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bidi="ar-SA"/>
                    </w:rPr>
                  </w:pPr>
                  <w:r>
                    <w:rPr>
                      <w:rFonts w:hint="default" w:ascii="Times New Roman" w:hAnsi="Times New Roman" w:eastAsia="宋体" w:cs="Times New Roman"/>
                      <w:color w:val="auto"/>
                      <w:spacing w:val="-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22</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铝盖提升盖机</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bidi="ar-SA"/>
                    </w:rPr>
                  </w:pPr>
                  <w:r>
                    <w:rPr>
                      <w:rFonts w:hint="default" w:ascii="Times New Roman" w:hAnsi="Times New Roman" w:eastAsia="宋体" w:cs="Times New Roman"/>
                      <w:color w:val="auto"/>
                      <w:spacing w:val="-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23</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铝盖封口机</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bidi="ar-SA"/>
                    </w:rPr>
                  </w:pPr>
                  <w:r>
                    <w:rPr>
                      <w:rFonts w:hint="default" w:ascii="Times New Roman" w:hAnsi="Times New Roman" w:eastAsia="宋体" w:cs="Times New Roman"/>
                      <w:color w:val="auto"/>
                      <w:spacing w:val="-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24</w:t>
                  </w:r>
                </w:p>
              </w:tc>
              <w:tc>
                <w:tcPr>
                  <w:tcW w:w="130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履带压盖机</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bidi="ar-SA"/>
                    </w:rPr>
                  </w:pPr>
                  <w:r>
                    <w:rPr>
                      <w:rFonts w:hint="default" w:ascii="Times New Roman" w:hAnsi="Times New Roman" w:eastAsia="宋体" w:cs="Times New Roman"/>
                      <w:color w:val="auto"/>
                      <w:spacing w:val="-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二</w:t>
                  </w:r>
                </w:p>
              </w:tc>
              <w:tc>
                <w:tcPr>
                  <w:tcW w:w="3840" w:type="pct"/>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纯净水生产设备</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w:t>
                  </w:r>
                </w:p>
              </w:tc>
              <w:tc>
                <w:tcPr>
                  <w:tcW w:w="130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双极反渗透水处理器</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三</w:t>
                  </w:r>
                </w:p>
              </w:tc>
              <w:tc>
                <w:tcPr>
                  <w:tcW w:w="3840" w:type="pct"/>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化验室</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1</w:t>
                  </w:r>
                </w:p>
              </w:tc>
              <w:tc>
                <w:tcPr>
                  <w:tcW w:w="130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天平</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vertAlign w:val="baseline"/>
                      <w:lang w:val="en-US" w:eastAsia="zh-CN" w:bidi="ar-SA"/>
                    </w:rPr>
                  </w:pPr>
                  <w:r>
                    <w:rPr>
                      <w:rFonts w:hint="eastAsia" w:ascii="Times New Roman" w:hAnsi="Times New Roman" w:eastAsia="宋体" w:cs="Times New Roman"/>
                      <w:bCs/>
                      <w:color w:val="auto"/>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2</w:t>
                  </w:r>
                </w:p>
              </w:tc>
              <w:tc>
                <w:tcPr>
                  <w:tcW w:w="130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酸度计</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vertAlign w:val="baseline"/>
                      <w:lang w:val="en-US" w:eastAsia="zh-CN" w:bidi="ar-SA"/>
                    </w:rPr>
                  </w:pPr>
                  <w:r>
                    <w:rPr>
                      <w:rFonts w:hint="eastAsia" w:ascii="Times New Roman" w:hAnsi="Times New Roman" w:eastAsia="宋体" w:cs="Times New Roman"/>
                      <w:bCs/>
                      <w:color w:val="auto"/>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3</w:t>
                  </w:r>
                </w:p>
              </w:tc>
              <w:tc>
                <w:tcPr>
                  <w:tcW w:w="130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分光光度计</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vertAlign w:val="baseline"/>
                      <w:lang w:val="en-US" w:eastAsia="zh-CN" w:bidi="ar-SA"/>
                    </w:rPr>
                  </w:pPr>
                  <w:r>
                    <w:rPr>
                      <w:rFonts w:hint="eastAsia" w:ascii="Times New Roman" w:hAnsi="Times New Roman" w:eastAsia="宋体" w:cs="Times New Roman"/>
                      <w:bCs/>
                      <w:color w:val="auto"/>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4</w:t>
                  </w:r>
                </w:p>
              </w:tc>
              <w:tc>
                <w:tcPr>
                  <w:tcW w:w="130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酒精计</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vertAlign w:val="baseline"/>
                      <w:lang w:val="en-US" w:eastAsia="zh-CN" w:bidi="ar-SA"/>
                    </w:rPr>
                  </w:pPr>
                  <w:r>
                    <w:rPr>
                      <w:rFonts w:hint="eastAsia" w:ascii="Times New Roman" w:hAnsi="Times New Roman" w:eastAsia="宋体" w:cs="Times New Roman"/>
                      <w:bCs/>
                      <w:color w:val="auto"/>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5</w:t>
                  </w:r>
                </w:p>
              </w:tc>
              <w:tc>
                <w:tcPr>
                  <w:tcW w:w="130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温度计</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vertAlign w:val="baseline"/>
                      <w:lang w:val="en-US" w:eastAsia="zh-CN" w:bidi="ar-SA"/>
                    </w:rPr>
                  </w:pPr>
                  <w:r>
                    <w:rPr>
                      <w:rFonts w:hint="eastAsia" w:ascii="Times New Roman" w:hAnsi="Times New Roman" w:eastAsia="宋体" w:cs="Times New Roman"/>
                      <w:bCs/>
                      <w:color w:val="auto"/>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6</w:t>
                  </w:r>
                </w:p>
              </w:tc>
              <w:tc>
                <w:tcPr>
                  <w:tcW w:w="130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恒温干燥箱</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vertAlign w:val="baseline"/>
                      <w:lang w:val="en-US" w:eastAsia="zh-CN" w:bidi="ar-SA"/>
                    </w:rPr>
                  </w:pPr>
                  <w:r>
                    <w:rPr>
                      <w:rFonts w:hint="eastAsia" w:ascii="Times New Roman" w:hAnsi="Times New Roman" w:eastAsia="宋体" w:cs="Times New Roman"/>
                      <w:bCs/>
                      <w:color w:val="auto"/>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7</w:t>
                  </w:r>
                </w:p>
              </w:tc>
              <w:tc>
                <w:tcPr>
                  <w:tcW w:w="130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恒温水浴锅</w:t>
                  </w:r>
                </w:p>
              </w:tc>
              <w:tc>
                <w:tcPr>
                  <w:tcW w:w="168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台</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vertAlign w:val="baseline"/>
                      <w:lang w:val="en-US" w:eastAsia="zh-CN" w:bidi="ar-SA"/>
                    </w:rPr>
                  </w:pPr>
                  <w:r>
                    <w:rPr>
                      <w:rFonts w:hint="eastAsia" w:ascii="Times New Roman" w:hAnsi="Times New Roman" w:eastAsia="宋体" w:cs="Times New Roman"/>
                      <w:bCs/>
                      <w:color w:val="auto"/>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四</w:t>
                  </w:r>
                </w:p>
              </w:tc>
              <w:tc>
                <w:tcPr>
                  <w:tcW w:w="3840" w:type="pct"/>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其他环保设备</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1</w:t>
                  </w:r>
                </w:p>
              </w:tc>
              <w:tc>
                <w:tcPr>
                  <w:tcW w:w="2996" w:type="pct"/>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布袋除尘器</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套</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vertAlign w:val="baseline"/>
                      <w:lang w:val="en-US" w:eastAsia="zh-CN" w:bidi="ar-SA"/>
                    </w:rPr>
                  </w:pPr>
                  <w:r>
                    <w:rPr>
                      <w:rFonts w:hint="eastAsia" w:ascii="Times New Roman" w:hAnsi="Times New Roman" w:eastAsia="宋体" w:cs="Times New Roman"/>
                      <w:bCs/>
                      <w:color w:val="auto"/>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2</w:t>
                  </w:r>
                </w:p>
              </w:tc>
              <w:tc>
                <w:tcPr>
                  <w:tcW w:w="2996" w:type="pct"/>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油烟净化器</w:t>
                  </w:r>
                </w:p>
              </w:tc>
              <w:tc>
                <w:tcPr>
                  <w:tcW w:w="8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套</w:t>
                  </w:r>
                </w:p>
              </w:tc>
              <w:tc>
                <w:tcPr>
                  <w:tcW w:w="730"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vertAlign w:val="baseline"/>
                      <w:lang w:val="en-US" w:eastAsia="zh-CN" w:bidi="ar-SA"/>
                    </w:rPr>
                  </w:pPr>
                  <w:r>
                    <w:rPr>
                      <w:rFonts w:hint="default" w:ascii="Times New Roman" w:hAnsi="Times New Roman" w:eastAsia="宋体" w:cs="Times New Roman"/>
                      <w:bCs/>
                      <w:color w:val="auto"/>
                      <w:sz w:val="21"/>
                      <w:szCs w:val="21"/>
                      <w:vertAlign w:val="baseline"/>
                      <w:lang w:val="en-US" w:eastAsia="zh-CN"/>
                    </w:rPr>
                    <w:t>1</w:t>
                  </w:r>
                </w:p>
              </w:tc>
            </w:tr>
          </w:tbl>
          <w:p>
            <w:pPr>
              <w:keepNext w:val="0"/>
              <w:keepLines w:val="0"/>
              <w:suppressLineNumbers w:val="0"/>
              <w:spacing w:before="0" w:beforeAutospacing="0" w:after="0" w:afterAutospacing="0"/>
              <w:ind w:left="0" w:right="0"/>
              <w:rPr>
                <w:rFonts w:hint="default"/>
                <w:szCs w:val="20"/>
              </w:rPr>
            </w:pPr>
          </w:p>
        </w:tc>
      </w:tr>
    </w:tbl>
    <w:p>
      <w:pPr>
        <w:numPr>
          <w:ilvl w:val="0"/>
          <w:numId w:val="1"/>
        </w:numPr>
        <w:bidi w:val="0"/>
        <w:sectPr>
          <w:headerReference r:id="rId7" w:type="default"/>
          <w:footerReference r:id="rId8" w:type="default"/>
          <w:pgSz w:w="11906" w:h="16838"/>
          <w:pgMar w:top="1440" w:right="1417" w:bottom="1440"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bookmarkStart w:id="8" w:name="_Toc28206"/>
      <w:bookmarkStart w:id="9" w:name="_Toc16369"/>
      <w:bookmarkStart w:id="10" w:name="_Toc22863"/>
    </w:p>
    <w:bookmarkEnd w:id="8"/>
    <w:bookmarkEnd w:id="9"/>
    <w:bookmarkEnd w:id="10"/>
    <w:p>
      <w:pPr>
        <w:pStyle w:val="3"/>
        <w:numPr>
          <w:ilvl w:val="0"/>
          <w:numId w:val="1"/>
        </w:numPr>
        <w:ind w:left="0" w:leftChars="0" w:firstLine="420" w:firstLineChars="0"/>
        <w:rPr>
          <w:color w:val="auto"/>
          <w:highlight w:val="none"/>
        </w:rPr>
      </w:pPr>
      <w:bookmarkStart w:id="11" w:name="_Toc17740"/>
      <w:bookmarkStart w:id="12" w:name="_Toc21563"/>
      <w:bookmarkStart w:id="13" w:name="_Toc20426"/>
      <w:r>
        <w:rPr>
          <w:color w:val="auto"/>
          <w:highlight w:val="none"/>
        </w:rPr>
        <w:t>主要环境影响和保护措施</w:t>
      </w:r>
      <w:bookmarkEnd w:id="11"/>
      <w:bookmarkEnd w:id="12"/>
      <w:bookmarkEnd w:id="13"/>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85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9"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r>
              <w:rPr>
                <w:rFonts w:hint="default"/>
                <w:color w:val="auto"/>
                <w:szCs w:val="20"/>
                <w:highlight w:val="none"/>
              </w:rPr>
              <w:t>运营期环境影响和保护措施</w:t>
            </w:r>
          </w:p>
        </w:tc>
        <w:tc>
          <w:tcPr>
            <w:tcW w:w="8549" w:type="dxa"/>
            <w:vAlign w:val="center"/>
          </w:tcPr>
          <w:p>
            <w:pPr>
              <w:pStyle w:val="5"/>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一、大气环境影响分析</w:t>
            </w:r>
          </w:p>
          <w:p>
            <w:pPr>
              <w:pStyle w:val="6"/>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1、废气源强核算</w:t>
            </w:r>
          </w:p>
          <w:p>
            <w:pPr>
              <w:pStyle w:val="6"/>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1、</w:t>
            </w:r>
            <w:r>
              <w:rPr>
                <w:rFonts w:hint="eastAsia"/>
                <w:color w:val="auto"/>
                <w:szCs w:val="20"/>
                <w:highlight w:val="none"/>
              </w:rPr>
              <w:t>项目</w:t>
            </w:r>
            <w:r>
              <w:rPr>
                <w:rFonts w:hint="default"/>
                <w:color w:val="auto"/>
                <w:szCs w:val="20"/>
                <w:highlight w:val="none"/>
              </w:rPr>
              <w:t>废气源强核算</w:t>
            </w:r>
          </w:p>
          <w:p>
            <w:pPr>
              <w:keepNext w:val="0"/>
              <w:keepLines w:val="0"/>
              <w:suppressLineNumbers w:val="0"/>
              <w:spacing w:before="0" w:beforeAutospacing="0" w:after="0" w:afterAutospacing="0"/>
              <w:ind w:left="0" w:right="0" w:firstLine="480"/>
              <w:rPr>
                <w:rFonts w:hint="eastAsia" w:eastAsia="宋体"/>
                <w:color w:val="auto"/>
                <w:szCs w:val="20"/>
                <w:highlight w:val="none"/>
                <w:lang w:eastAsia="zh-CN"/>
              </w:rPr>
            </w:pPr>
            <w:r>
              <w:rPr>
                <w:rFonts w:hint="default"/>
                <w:color w:val="auto"/>
                <w:szCs w:val="20"/>
                <w:highlight w:val="none"/>
              </w:rPr>
              <w:t>根据《污染源源强核算技术指南 准则》（HJ 884-2018），本项目废气源强采用类比法进行核算。类比对象为本项目一期工程，类比数据来源于《新疆西域酒业有限责任公司年产白酒及葡萄酒建设项目竣工环境保护验收监测报告》（报告编号：DDXG2604013Y）。验收监测期间，项目生产工况为73%，环保设施运行正常，监测数据能反映项目正常生产状况下的污染物排放水平。类比条件：本项目与类比对象产品类型相同（白酒制造）、生产工艺相同（均为固态发酵法）、生产规模相近（类比对象为3000吨/年，本项目为3000吨/年）、原辅材料种类相同、污染治理设施相同，满足类比要求。本次新增的葡萄酒生产线为配制型果酒，产污环节与白酒灌装线类似，故源强类比合理</w:t>
            </w:r>
            <w:r>
              <w:rPr>
                <w:rFonts w:hint="eastAsia"/>
                <w:color w:val="auto"/>
                <w:szCs w:val="20"/>
                <w:highlight w:val="none"/>
                <w:lang w:eastAsia="zh-CN"/>
              </w:rPr>
              <w:t>。</w:t>
            </w:r>
          </w:p>
        </w:tc>
      </w:tr>
    </w:tbl>
    <w:p>
      <w:pPr>
        <w:ind w:firstLine="480"/>
        <w:rPr>
          <w:color w:val="auto"/>
          <w:highlight w:val="none"/>
        </w:rPr>
        <w:sectPr>
          <w:pgSz w:w="11906" w:h="16838"/>
          <w:pgMar w:top="1440" w:right="1417" w:bottom="1440"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pStyle w:val="8"/>
        <w:jc w:val="center"/>
      </w:pPr>
      <w:r>
        <w:t>表</w:t>
      </w:r>
      <w:r>
        <w:fldChar w:fldCharType="begin"/>
      </w:r>
      <w:r>
        <w:instrText xml:space="preserve"> STYLEREF 1 \s \* ARABIC </w:instrText>
      </w:r>
      <w:r>
        <w:fldChar w:fldCharType="separate"/>
      </w:r>
      <w:r>
        <w:t>4</w:t>
      </w:r>
      <w:r>
        <w:fldChar w:fldCharType="end"/>
      </w:r>
      <w:r>
        <w:rPr>
          <w:rFonts w:hint="eastAsia"/>
          <w:lang w:eastAsia="zh-CN"/>
        </w:rPr>
        <w:t>-</w:t>
      </w:r>
      <w:r>
        <w:fldChar w:fldCharType="begin"/>
      </w:r>
      <w:r>
        <w:instrText xml:space="preserve"> SEQ 表 \* ARABIC \s 1 </w:instrText>
      </w:r>
      <w:r>
        <w:fldChar w:fldCharType="separate"/>
      </w:r>
      <w:r>
        <w:t>1</w:t>
      </w:r>
      <w:r>
        <w:fldChar w:fldCharType="end"/>
      </w:r>
      <w:r>
        <w:rPr>
          <w:rFonts w:hint="eastAsia"/>
        </w:rPr>
        <w:t>本项目废气源强</w:t>
      </w:r>
    </w:p>
    <w:tbl>
      <w:tblPr>
        <w:tblStyle w:val="22"/>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5"/>
        <w:gridCol w:w="751"/>
        <w:gridCol w:w="662"/>
        <w:gridCol w:w="789"/>
        <w:gridCol w:w="646"/>
        <w:gridCol w:w="663"/>
        <w:gridCol w:w="975"/>
        <w:gridCol w:w="1074"/>
        <w:gridCol w:w="840"/>
        <w:gridCol w:w="773"/>
        <w:gridCol w:w="1280"/>
        <w:gridCol w:w="558"/>
        <w:gridCol w:w="663"/>
        <w:gridCol w:w="975"/>
        <w:gridCol w:w="1038"/>
        <w:gridCol w:w="1075"/>
        <w:gridCol w:w="8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202"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分类</w:t>
            </w:r>
          </w:p>
        </w:tc>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工序</w:t>
            </w:r>
            <w:r>
              <w:rPr>
                <w:rFonts w:hint="default" w:ascii="Calibri" w:hAnsi="Calibri" w:eastAsia="宋体" w:cs="Calibri"/>
                <w:b/>
                <w:bCs/>
                <w:i w:val="0"/>
                <w:iCs w:val="0"/>
                <w:color w:val="000000"/>
                <w:kern w:val="0"/>
                <w:sz w:val="21"/>
                <w:szCs w:val="21"/>
                <w:u w:val="none"/>
                <w:lang w:val="en-US" w:eastAsia="zh-CN" w:bidi="ar"/>
              </w:rPr>
              <w:t>/</w:t>
            </w:r>
            <w:r>
              <w:rPr>
                <w:rFonts w:hint="eastAsia" w:ascii="宋体" w:hAnsi="宋体" w:eastAsia="宋体" w:cs="宋体"/>
                <w:b/>
                <w:bCs/>
                <w:i w:val="0"/>
                <w:iCs w:val="0"/>
                <w:color w:val="000000"/>
                <w:kern w:val="0"/>
                <w:sz w:val="21"/>
                <w:szCs w:val="21"/>
                <w:u w:val="none"/>
                <w:lang w:val="en-US" w:eastAsia="zh-CN" w:bidi="ar"/>
              </w:rPr>
              <w:t>生产线</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装置</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污染源</w:t>
            </w:r>
          </w:p>
        </w:tc>
        <w:tc>
          <w:tcPr>
            <w:tcW w:w="2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污染物</w:t>
            </w:r>
          </w:p>
        </w:tc>
        <w:tc>
          <w:tcPr>
            <w:tcW w:w="152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rPr>
                <w:rFonts w:hint="default" w:ascii="Calibri" w:hAnsi="Calibri" w:eastAsia="宋体" w:cs="Calibri"/>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污染物产生</w:t>
            </w:r>
          </w:p>
        </w:tc>
        <w:tc>
          <w:tcPr>
            <w:tcW w:w="648" w:type="pct"/>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治理措施</w:t>
            </w:r>
          </w:p>
        </w:tc>
        <w:tc>
          <w:tcPr>
            <w:tcW w:w="1615" w:type="pct"/>
            <w:gridSpan w:val="5"/>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污染物排放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4" w:hRule="atLeast"/>
        </w:trPr>
        <w:tc>
          <w:tcPr>
            <w:tcW w:w="202"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rPr>
                <w:rFonts w:hint="eastAsia" w:ascii="宋体" w:hAnsi="宋体" w:eastAsia="宋体" w:cs="宋体"/>
                <w:b/>
                <w:bCs/>
                <w:i w:val="0"/>
                <w:iCs w:val="0"/>
                <w:color w:val="000000"/>
                <w:sz w:val="21"/>
                <w:szCs w:val="21"/>
                <w:u w:val="none"/>
              </w:rPr>
            </w:pP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rPr>
                <w:rFonts w:hint="eastAsia" w:ascii="宋体" w:hAnsi="宋体" w:eastAsia="宋体" w:cs="宋体"/>
                <w:b/>
                <w:bCs/>
                <w:i w:val="0"/>
                <w:iCs w:val="0"/>
                <w:color w:val="000000"/>
                <w:sz w:val="21"/>
                <w:szCs w:val="21"/>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rPr>
                <w:rFonts w:hint="eastAsia" w:ascii="宋体" w:hAnsi="宋体" w:eastAsia="宋体" w:cs="宋体"/>
                <w:b/>
                <w:bCs/>
                <w:i w:val="0"/>
                <w:iCs w:val="0"/>
                <w:color w:val="000000"/>
                <w:sz w:val="21"/>
                <w:szCs w:val="21"/>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rPr>
                <w:rFonts w:hint="eastAsia" w:ascii="宋体" w:hAnsi="宋体" w:eastAsia="宋体" w:cs="宋体"/>
                <w:b/>
                <w:bCs/>
                <w:i w:val="0"/>
                <w:iCs w:val="0"/>
                <w:color w:val="000000"/>
                <w:sz w:val="21"/>
                <w:szCs w:val="21"/>
                <w:u w:val="none"/>
              </w:rPr>
            </w:pPr>
          </w:p>
        </w:tc>
        <w:tc>
          <w:tcPr>
            <w:tcW w:w="2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rPr>
                <w:rFonts w:hint="eastAsia" w:ascii="宋体" w:hAnsi="宋体" w:eastAsia="宋体" w:cs="宋体"/>
                <w:b/>
                <w:bCs/>
                <w:i w:val="0"/>
                <w:iCs w:val="0"/>
                <w:color w:val="000000"/>
                <w:sz w:val="21"/>
                <w:szCs w:val="21"/>
                <w:u w:val="none"/>
              </w:rPr>
            </w:pPr>
          </w:p>
        </w:tc>
        <w:tc>
          <w:tcPr>
            <w:tcW w:w="234"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核算方法</w:t>
            </w:r>
          </w:p>
        </w:tc>
        <w:tc>
          <w:tcPr>
            <w:tcW w:w="344"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废气产生量</w:t>
            </w:r>
            <w:r>
              <w:rPr>
                <w:rFonts w:hint="default" w:ascii="Calibri" w:hAnsi="Calibri" w:eastAsia="宋体" w:cs="Calibri"/>
                <w:b/>
                <w:bCs/>
                <w:i w:val="0"/>
                <w:iCs w:val="0"/>
                <w:color w:val="000000"/>
                <w:kern w:val="0"/>
                <w:sz w:val="21"/>
                <w:szCs w:val="21"/>
                <w:u w:val="none"/>
                <w:lang w:val="en-US" w:eastAsia="zh-CN" w:bidi="ar"/>
              </w:rPr>
              <w:t>/(m</w:t>
            </w:r>
            <w:r>
              <w:rPr>
                <w:rStyle w:val="60"/>
                <w:rFonts w:eastAsia="宋体"/>
                <w:lang w:val="en-US" w:eastAsia="zh-CN" w:bidi="ar"/>
              </w:rPr>
              <w:t>3</w:t>
            </w:r>
            <w:r>
              <w:rPr>
                <w:rFonts w:hint="default" w:ascii="Calibri" w:hAnsi="Calibri" w:eastAsia="宋体" w:cs="Calibri"/>
                <w:b/>
                <w:bCs/>
                <w:i w:val="0"/>
                <w:iCs w:val="0"/>
                <w:color w:val="000000"/>
                <w:kern w:val="0"/>
                <w:sz w:val="21"/>
                <w:szCs w:val="21"/>
                <w:u w:val="none"/>
                <w:lang w:val="en-US" w:eastAsia="zh-CN" w:bidi="ar"/>
              </w:rPr>
              <w:t>/h)</w:t>
            </w:r>
          </w:p>
        </w:tc>
        <w:tc>
          <w:tcPr>
            <w:tcW w:w="379"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产生浓度</w:t>
            </w:r>
            <w:r>
              <w:rPr>
                <w:rFonts w:hint="default" w:ascii="Calibri" w:hAnsi="Calibri" w:eastAsia="宋体" w:cs="Calibri"/>
                <w:b/>
                <w:bCs/>
                <w:i w:val="0"/>
                <w:iCs w:val="0"/>
                <w:color w:val="000000"/>
                <w:kern w:val="0"/>
                <w:sz w:val="21"/>
                <w:szCs w:val="21"/>
                <w:u w:val="none"/>
                <w:lang w:val="en-US" w:eastAsia="zh-CN" w:bidi="ar"/>
              </w:rPr>
              <w:t>/(mg/m</w:t>
            </w:r>
            <w:r>
              <w:rPr>
                <w:rStyle w:val="60"/>
                <w:rFonts w:eastAsia="宋体"/>
                <w:lang w:val="en-US" w:eastAsia="zh-CN" w:bidi="ar"/>
              </w:rPr>
              <w:t>3</w:t>
            </w:r>
            <w:r>
              <w:rPr>
                <w:rFonts w:hint="default" w:ascii="Calibri" w:hAnsi="Calibri" w:eastAsia="宋体" w:cs="Calibri"/>
                <w:b/>
                <w:bCs/>
                <w:i w:val="0"/>
                <w:iCs w:val="0"/>
                <w:color w:val="000000"/>
                <w:kern w:val="0"/>
                <w:sz w:val="21"/>
                <w:szCs w:val="21"/>
                <w:u w:val="none"/>
                <w:lang w:val="en-US" w:eastAsia="zh-CN" w:bidi="ar"/>
              </w:rPr>
              <w:t>)</w:t>
            </w:r>
          </w:p>
        </w:tc>
        <w:tc>
          <w:tcPr>
            <w:tcW w:w="296"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产生速率</w:t>
            </w:r>
            <w:r>
              <w:rPr>
                <w:rFonts w:hint="default" w:ascii="Calibri" w:hAnsi="Calibri" w:eastAsia="宋体" w:cs="Calibri"/>
                <w:b/>
                <w:bCs/>
                <w:i w:val="0"/>
                <w:iCs w:val="0"/>
                <w:color w:val="000000"/>
                <w:kern w:val="0"/>
                <w:sz w:val="21"/>
                <w:szCs w:val="21"/>
                <w:u w:val="none"/>
                <w:lang w:val="en-US" w:eastAsia="zh-CN" w:bidi="ar"/>
              </w:rPr>
              <w:t>/(kg/h)</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产生量</w:t>
            </w:r>
            <w:r>
              <w:rPr>
                <w:rFonts w:hint="default" w:ascii="Calibri" w:hAnsi="Calibri" w:eastAsia="宋体" w:cs="Calibri"/>
                <w:b/>
                <w:bCs/>
                <w:i w:val="0"/>
                <w:iCs w:val="0"/>
                <w:color w:val="000000"/>
                <w:kern w:val="0"/>
                <w:sz w:val="21"/>
                <w:szCs w:val="21"/>
                <w:u w:val="none"/>
                <w:lang w:val="en-US" w:eastAsia="zh-CN" w:bidi="ar"/>
              </w:rPr>
              <w:t>/()</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工艺</w:t>
            </w:r>
          </w:p>
        </w:tc>
        <w:tc>
          <w:tcPr>
            <w:tcW w:w="196" w:type="pct"/>
            <w:tcBorders>
              <w:top w:val="nil"/>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效率</w:t>
            </w:r>
            <w:r>
              <w:rPr>
                <w:rFonts w:hint="default" w:ascii="Calibri" w:hAnsi="Calibri" w:eastAsia="宋体" w:cs="Calibri"/>
                <w:b/>
                <w:bCs/>
                <w:i w:val="0"/>
                <w:iCs w:val="0"/>
                <w:color w:val="000000"/>
                <w:kern w:val="0"/>
                <w:sz w:val="21"/>
                <w:szCs w:val="21"/>
                <w:u w:val="none"/>
                <w:lang w:val="en-US" w:eastAsia="zh-CN" w:bidi="ar"/>
              </w:rPr>
              <w:t>/%</w:t>
            </w:r>
          </w:p>
        </w:tc>
        <w:tc>
          <w:tcPr>
            <w:tcW w:w="234" w:type="pct"/>
            <w:tcBorders>
              <w:top w:val="nil"/>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核算方法</w:t>
            </w:r>
          </w:p>
        </w:tc>
        <w:tc>
          <w:tcPr>
            <w:tcW w:w="344"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废气排放量</w:t>
            </w:r>
            <w:r>
              <w:rPr>
                <w:rFonts w:hint="default" w:ascii="Calibri" w:hAnsi="Calibri" w:eastAsia="宋体" w:cs="Calibri"/>
                <w:b/>
                <w:bCs/>
                <w:i w:val="0"/>
                <w:iCs w:val="0"/>
                <w:color w:val="000000"/>
                <w:kern w:val="0"/>
                <w:sz w:val="21"/>
                <w:szCs w:val="21"/>
                <w:u w:val="none"/>
                <w:lang w:val="en-US" w:eastAsia="zh-CN" w:bidi="ar"/>
              </w:rPr>
              <w:t>/(m</w:t>
            </w:r>
            <w:r>
              <w:rPr>
                <w:rStyle w:val="60"/>
                <w:rFonts w:eastAsia="宋体"/>
                <w:lang w:val="en-US" w:eastAsia="zh-CN" w:bidi="ar"/>
              </w:rPr>
              <w:t>3</w:t>
            </w:r>
            <w:r>
              <w:rPr>
                <w:rFonts w:hint="default" w:ascii="Calibri" w:hAnsi="Calibri" w:eastAsia="宋体" w:cs="Calibri"/>
                <w:b/>
                <w:bCs/>
                <w:i w:val="0"/>
                <w:iCs w:val="0"/>
                <w:color w:val="000000"/>
                <w:kern w:val="0"/>
                <w:sz w:val="21"/>
                <w:szCs w:val="21"/>
                <w:u w:val="none"/>
                <w:lang w:val="en-US" w:eastAsia="zh-CN" w:bidi="ar"/>
              </w:rPr>
              <w:t>/h)</w:t>
            </w:r>
          </w:p>
        </w:tc>
        <w:tc>
          <w:tcPr>
            <w:tcW w:w="366"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排放浓度</w:t>
            </w:r>
            <w:r>
              <w:rPr>
                <w:rFonts w:hint="default" w:ascii="Calibri" w:hAnsi="Calibri" w:eastAsia="宋体" w:cs="Calibri"/>
                <w:b/>
                <w:bCs/>
                <w:i w:val="0"/>
                <w:iCs w:val="0"/>
                <w:color w:val="000000"/>
                <w:kern w:val="0"/>
                <w:sz w:val="21"/>
                <w:szCs w:val="21"/>
                <w:u w:val="none"/>
                <w:lang w:val="en-US" w:eastAsia="zh-CN" w:bidi="ar"/>
              </w:rPr>
              <w:t>/(mg/m</w:t>
            </w:r>
            <w:r>
              <w:rPr>
                <w:rStyle w:val="60"/>
                <w:rFonts w:eastAsia="宋体"/>
                <w:lang w:val="en-US" w:eastAsia="zh-CN" w:bidi="ar"/>
              </w:rPr>
              <w:t>3</w:t>
            </w:r>
            <w:r>
              <w:rPr>
                <w:rFonts w:hint="default" w:ascii="Calibri" w:hAnsi="Calibri" w:eastAsia="宋体" w:cs="Calibri"/>
                <w:b/>
                <w:bCs/>
                <w:i w:val="0"/>
                <w:iCs w:val="0"/>
                <w:color w:val="000000"/>
                <w:kern w:val="0"/>
                <w:sz w:val="21"/>
                <w:szCs w:val="21"/>
                <w:u w:val="none"/>
                <w:lang w:val="en-US" w:eastAsia="zh-CN" w:bidi="ar"/>
              </w:rPr>
              <w:t>)</w:t>
            </w:r>
          </w:p>
        </w:tc>
        <w:tc>
          <w:tcPr>
            <w:tcW w:w="379"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排放速率</w:t>
            </w:r>
            <w:r>
              <w:rPr>
                <w:rFonts w:hint="default" w:ascii="Calibri" w:hAnsi="Calibri" w:eastAsia="宋体" w:cs="Calibri"/>
                <w:b/>
                <w:bCs/>
                <w:i w:val="0"/>
                <w:iCs w:val="0"/>
                <w:color w:val="000000"/>
                <w:kern w:val="0"/>
                <w:sz w:val="21"/>
                <w:szCs w:val="21"/>
                <w:u w:val="none"/>
                <w:lang w:val="en-US" w:eastAsia="zh-CN" w:bidi="ar"/>
              </w:rPr>
              <w:t>/(kg/h)</w:t>
            </w:r>
          </w:p>
        </w:tc>
        <w:tc>
          <w:tcPr>
            <w:tcW w:w="291"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排放量</w:t>
            </w:r>
            <w:r>
              <w:rPr>
                <w:rFonts w:hint="default" w:ascii="Calibri" w:hAnsi="Calibri" w:eastAsia="宋体" w:cs="Calibri"/>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202"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有组织废气</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原料破碎</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破碎机</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DA001</w:t>
            </w:r>
            <w:r>
              <w:rPr>
                <w:rFonts w:hint="eastAsia" w:ascii="宋体" w:hAnsi="宋体" w:eastAsia="宋体" w:cs="宋体"/>
                <w:i w:val="0"/>
                <w:iCs w:val="0"/>
                <w:color w:val="000000"/>
                <w:kern w:val="0"/>
                <w:sz w:val="21"/>
                <w:szCs w:val="21"/>
                <w:u w:val="none"/>
                <w:lang w:val="en-US" w:eastAsia="zh-CN" w:bidi="ar"/>
              </w:rPr>
              <w:t>排气筒</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颗粒物</w:t>
            </w:r>
          </w:p>
        </w:tc>
        <w:tc>
          <w:tcPr>
            <w:tcW w:w="234"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类比法</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5.37×10</w:t>
            </w:r>
            <w:r>
              <w:rPr>
                <w:rStyle w:val="61"/>
                <w:rFonts w:eastAsia="宋体"/>
                <w:lang w:val="en-US" w:eastAsia="zh-CN" w:bidi="ar"/>
              </w:rPr>
              <w:t>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101</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0.577</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4.15</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集尘罩</w:t>
            </w:r>
            <w:r>
              <w:rPr>
                <w:rStyle w:val="62"/>
                <w:rFonts w:eastAsia="宋体"/>
                <w:lang w:val="en-US" w:eastAsia="zh-CN" w:bidi="ar"/>
              </w:rPr>
              <w:t>+</w:t>
            </w:r>
            <w:r>
              <w:rPr>
                <w:rFonts w:hint="eastAsia" w:ascii="宋体" w:hAnsi="宋体" w:eastAsia="宋体" w:cs="宋体"/>
                <w:i w:val="0"/>
                <w:iCs w:val="0"/>
                <w:color w:val="000000"/>
                <w:kern w:val="0"/>
                <w:sz w:val="21"/>
                <w:szCs w:val="21"/>
                <w:u w:val="none"/>
                <w:lang w:val="en-US" w:eastAsia="zh-CN" w:bidi="ar"/>
              </w:rPr>
              <w:t>布袋除尘器</w:t>
            </w:r>
            <w:r>
              <w:rPr>
                <w:rStyle w:val="62"/>
                <w:rFonts w:eastAsia="宋体"/>
                <w:lang w:val="en-US" w:eastAsia="zh-CN" w:bidi="ar"/>
              </w:rPr>
              <w:t>+15m</w:t>
            </w:r>
            <w:r>
              <w:rPr>
                <w:rFonts w:hint="eastAsia" w:ascii="宋体" w:hAnsi="宋体" w:eastAsia="宋体" w:cs="宋体"/>
                <w:i w:val="0"/>
                <w:iCs w:val="0"/>
                <w:color w:val="000000"/>
                <w:kern w:val="0"/>
                <w:sz w:val="21"/>
                <w:szCs w:val="21"/>
                <w:u w:val="none"/>
                <w:lang w:val="en-US" w:eastAsia="zh-CN" w:bidi="ar"/>
              </w:rPr>
              <w:t>排气筒</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99</w:t>
            </w:r>
          </w:p>
        </w:tc>
        <w:tc>
          <w:tcPr>
            <w:tcW w:w="234"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类比法</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5.37×10</w:t>
            </w:r>
            <w:r>
              <w:rPr>
                <w:rStyle w:val="61"/>
                <w:rFonts w:eastAsia="宋体"/>
                <w:lang w:val="en-US" w:eastAsia="zh-CN" w:bidi="ar"/>
              </w:rPr>
              <w:t>3</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0.00577</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0.0415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202"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食堂</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灶台</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油烟排放口</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油烟</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3.52×10</w:t>
            </w:r>
            <w:r>
              <w:rPr>
                <w:rStyle w:val="61"/>
                <w:rFonts w:eastAsia="宋体"/>
                <w:lang w:val="en-US" w:eastAsia="zh-CN" w:bidi="ar"/>
              </w:rPr>
              <w:t>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12.67</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油烟净化器</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85</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0.00352</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202"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无组织废气</w:t>
            </w:r>
          </w:p>
        </w:tc>
        <w:tc>
          <w:tcPr>
            <w:tcW w:w="26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白酒酿造</w:t>
            </w:r>
          </w:p>
        </w:tc>
        <w:tc>
          <w:tcPr>
            <w:tcW w:w="233"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蒸馏、发酵、出甑等</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厂界</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非甲烷总烃</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451"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车间封闭</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1.48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202"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233"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车间外</w:t>
            </w:r>
            <w:r>
              <w:rPr>
                <w:rStyle w:val="62"/>
                <w:rFonts w:eastAsia="宋体"/>
                <w:lang w:val="en-US" w:eastAsia="zh-CN" w:bidi="ar"/>
              </w:rPr>
              <w:t>1m</w:t>
            </w:r>
            <w:r>
              <w:rPr>
                <w:rFonts w:hint="eastAsia" w:ascii="宋体" w:hAnsi="宋体" w:eastAsia="宋体" w:cs="宋体"/>
                <w:i w:val="0"/>
                <w:iCs w:val="0"/>
                <w:color w:val="000000"/>
                <w:kern w:val="0"/>
                <w:sz w:val="21"/>
                <w:szCs w:val="21"/>
                <w:u w:val="none"/>
                <w:lang w:val="en-US" w:eastAsia="zh-CN" w:bidi="ar"/>
              </w:rPr>
              <w:t>处</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非甲烷总烃</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451"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1.88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 w:hRule="atLeast"/>
        </w:trPr>
        <w:tc>
          <w:tcPr>
            <w:tcW w:w="202"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原料破碎</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未收集粉尘</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厂界</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颗粒物</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451"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0.26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202"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酒糟暂存</w:t>
            </w:r>
          </w:p>
        </w:tc>
        <w:tc>
          <w:tcPr>
            <w:tcW w:w="233"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酒糟暂存</w:t>
            </w:r>
            <w:r>
              <w:rPr>
                <w:rFonts w:hint="eastAsia" w:ascii="宋体" w:hAnsi="宋体" w:cs="宋体"/>
                <w:i w:val="0"/>
                <w:iCs w:val="0"/>
                <w:color w:val="000000"/>
                <w:kern w:val="0"/>
                <w:sz w:val="21"/>
                <w:szCs w:val="21"/>
                <w:u w:val="none"/>
                <w:lang w:val="en-US" w:eastAsia="zh-CN" w:bidi="ar"/>
              </w:rPr>
              <w:t>处</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厂界</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氨</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451"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车间封闭、日产日清、喷洒除臭剂</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202"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233"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厂界</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硫化氢</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451"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3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未检出</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202"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233"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厂界</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臭气浓度</w:t>
            </w:r>
          </w:p>
        </w:tc>
        <w:tc>
          <w:tcPr>
            <w:tcW w:w="234"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451"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34"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&lt;10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tLeast"/>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w:t>
            </w:r>
          </w:p>
        </w:tc>
      </w:tr>
    </w:tbl>
    <w:p>
      <w:pPr>
        <w:ind w:firstLine="480"/>
        <w:rPr>
          <w:color w:val="auto"/>
          <w:highlight w:val="none"/>
        </w:rPr>
        <w:sectPr>
          <w:pgSz w:w="16838" w:h="11906" w:orient="landscape"/>
          <w:pgMar w:top="1417" w:right="1440" w:bottom="141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85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p>
        </w:tc>
        <w:tc>
          <w:tcPr>
            <w:tcW w:w="8559" w:type="dxa"/>
            <w:vAlign w:val="center"/>
          </w:tcPr>
          <w:p>
            <w:pPr>
              <w:pStyle w:val="6"/>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2</w:t>
            </w:r>
            <w:r>
              <w:rPr>
                <w:rFonts w:hint="default"/>
                <w:color w:val="auto"/>
                <w:szCs w:val="20"/>
                <w:highlight w:val="none"/>
              </w:rPr>
              <w:t>、废气处理措施可行性分析</w:t>
            </w:r>
          </w:p>
          <w:p>
            <w:pPr>
              <w:keepNext w:val="0"/>
              <w:keepLines w:val="0"/>
              <w:suppressLineNumbers w:val="0"/>
              <w:spacing w:before="0" w:beforeAutospacing="0" w:after="0" w:afterAutospacing="0"/>
              <w:ind w:left="0" w:right="0" w:firstLine="480"/>
              <w:rPr>
                <w:rFonts w:hint="eastAsia"/>
                <w:color w:val="auto"/>
                <w:szCs w:val="20"/>
                <w:highlight w:val="none"/>
                <w:lang w:eastAsia="zh-CN"/>
              </w:rPr>
            </w:pPr>
            <w:r>
              <w:rPr>
                <w:rFonts w:hint="eastAsia"/>
                <w:color w:val="auto"/>
                <w:szCs w:val="20"/>
                <w:highlight w:val="none"/>
                <w:lang w:eastAsia="zh-CN"/>
              </w:rPr>
              <w:t>（</w:t>
            </w:r>
            <w:r>
              <w:rPr>
                <w:rFonts w:hint="eastAsia"/>
                <w:color w:val="auto"/>
                <w:szCs w:val="20"/>
                <w:highlight w:val="none"/>
                <w:lang w:val="en-US" w:eastAsia="zh-CN"/>
              </w:rPr>
              <w:t>1</w:t>
            </w:r>
            <w:r>
              <w:rPr>
                <w:rFonts w:hint="eastAsia"/>
                <w:color w:val="auto"/>
                <w:szCs w:val="20"/>
                <w:highlight w:val="none"/>
                <w:lang w:eastAsia="zh-CN"/>
              </w:rPr>
              <w:t>）</w:t>
            </w:r>
            <w:r>
              <w:rPr>
                <w:rFonts w:hint="eastAsia"/>
                <w:color w:val="auto"/>
                <w:szCs w:val="20"/>
                <w:highlight w:val="none"/>
                <w:lang w:val="en-US" w:eastAsia="zh-CN"/>
              </w:rPr>
              <w:t>有组织</w:t>
            </w:r>
            <w:r>
              <w:rPr>
                <w:rFonts w:hint="eastAsia"/>
                <w:color w:val="auto"/>
                <w:szCs w:val="20"/>
                <w:highlight w:val="none"/>
                <w:lang w:eastAsia="zh-CN"/>
              </w:rPr>
              <w:t>废气处理措施的可行性分析</w:t>
            </w:r>
          </w:p>
          <w:p>
            <w:pPr>
              <w:keepNext w:val="0"/>
              <w:keepLines w:val="0"/>
              <w:suppressLineNumbers w:val="0"/>
              <w:spacing w:before="0" w:beforeAutospacing="0" w:after="0" w:afterAutospacing="0"/>
              <w:ind w:left="0" w:right="0" w:firstLine="480"/>
              <w:rPr>
                <w:rFonts w:hint="eastAsia"/>
                <w:color w:val="auto"/>
                <w:szCs w:val="20"/>
                <w:highlight w:val="none"/>
              </w:rPr>
            </w:pPr>
            <w:r>
              <w:rPr>
                <w:rFonts w:hint="eastAsia"/>
                <w:color w:val="auto"/>
                <w:szCs w:val="20"/>
                <w:highlight w:val="none"/>
              </w:rPr>
              <w:t>根据《排污许可证申请与核发技术规范 酒、饮料制造工业》（HJ 1028-2019），酒、饮料制造工业废气污染防治可行技术包括：除尘装置（旋风除尘、袋式除尘、湿式除尘等）。本项目原料破碎工序产生的颗粒物选用脉冲布袋除尘器进行处理，属于该技术规范明确的可行技术。</w:t>
            </w:r>
          </w:p>
          <w:p>
            <w:pPr>
              <w:keepNext w:val="0"/>
              <w:keepLines w:val="0"/>
              <w:suppressLineNumbers w:val="0"/>
              <w:spacing w:before="0" w:beforeAutospacing="0" w:after="0" w:afterAutospacing="0"/>
              <w:ind w:left="0" w:right="0" w:firstLine="480"/>
              <w:rPr>
                <w:rFonts w:hint="eastAsia"/>
                <w:color w:val="auto"/>
                <w:szCs w:val="20"/>
                <w:highlight w:val="none"/>
                <w:lang w:eastAsia="zh-CN"/>
              </w:rPr>
            </w:pPr>
            <w:r>
              <w:rPr>
                <w:rFonts w:hint="eastAsia"/>
                <w:color w:val="auto"/>
                <w:szCs w:val="20"/>
                <w:highlight w:val="none"/>
              </w:rPr>
              <w:t>白酒制造行业原料破碎工序采用布袋除尘器处理粉尘是普遍采用的成熟工艺。近年来多个白酒建设项目均采用类似治理措施。例如：山西金杏苑酒业年产1000吨白酒项目，卸粮坑废气经集气罩收集后进入布袋除尘器处理，处理后经15m排气筒排放。山西传统老酒坊酒业年产1000吨白酒项目，破碎机置于全封闭车间内，配套风管将破碎、提升机废气引入覆膜滤料布袋除尘器处理后通过15m高排气筒排放。山东福余酒业年产150吨白酒项目，筛分、粉碎粉尘经集气罩收集后经布袋除尘器处理，由不低于15m高排气筒排放</w:t>
            </w:r>
            <w:r>
              <w:rPr>
                <w:rFonts w:hint="eastAsia"/>
                <w:color w:val="auto"/>
                <w:szCs w:val="20"/>
                <w:highlight w:val="none"/>
                <w:lang w:eastAsia="zh-CN"/>
              </w:rPr>
              <w:t>。</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w:t>
            </w:r>
            <w:r>
              <w:rPr>
                <w:rFonts w:hint="eastAsia"/>
                <w:color w:val="auto"/>
                <w:szCs w:val="20"/>
                <w:highlight w:val="none"/>
                <w:lang w:val="en-US" w:eastAsia="zh-CN"/>
              </w:rPr>
              <w:t>2</w:t>
            </w:r>
            <w:r>
              <w:rPr>
                <w:rFonts w:hint="default"/>
                <w:color w:val="auto"/>
                <w:szCs w:val="20"/>
                <w:highlight w:val="none"/>
              </w:rPr>
              <w:t>）废气无组织管控措施</w:t>
            </w:r>
          </w:p>
          <w:p>
            <w:pPr>
              <w:keepNext w:val="0"/>
              <w:keepLines w:val="0"/>
              <w:suppressLineNumbers w:val="0"/>
              <w:spacing w:before="0" w:beforeAutospacing="0" w:after="0" w:afterAutospacing="0"/>
              <w:ind w:left="0" w:right="0" w:firstLine="480"/>
              <w:rPr>
                <w:rFonts w:hint="default"/>
                <w:color w:val="auto"/>
                <w:szCs w:val="20"/>
                <w:highlight w:val="none"/>
                <w:lang w:val="en-US" w:eastAsia="zh-CN"/>
              </w:rPr>
            </w:pPr>
            <w:r>
              <w:rPr>
                <w:rFonts w:hint="default"/>
                <w:color w:val="auto"/>
                <w:szCs w:val="20"/>
                <w:highlight w:val="none"/>
                <w:lang w:val="en-US" w:eastAsia="zh-CN"/>
              </w:rPr>
              <w:t>本项目无组织排放废气主要来源于三个方面：原料破碎工序未收集的粉尘、白酒酿造工序（蒸馏、发酵、出甑等）挥发产生的非甲烷总烃、酒糟暂存产生的恶臭气体（氨、硫化氢、臭气浓度）。为有效控制无组织废气的排放，采取了以下无组织管控措施。</w:t>
            </w:r>
          </w:p>
          <w:p>
            <w:pPr>
              <w:keepNext w:val="0"/>
              <w:keepLines w:val="0"/>
              <w:numPr>
                <w:ilvl w:val="0"/>
                <w:numId w:val="3"/>
              </w:numPr>
              <w:suppressLineNumbers w:val="0"/>
              <w:spacing w:before="0" w:beforeAutospacing="0" w:after="0" w:afterAutospacing="0"/>
              <w:ind w:left="0" w:leftChars="0" w:right="0" w:firstLine="567" w:firstLineChars="0"/>
              <w:rPr>
                <w:rFonts w:hint="default"/>
                <w:color w:val="auto"/>
                <w:szCs w:val="20"/>
                <w:highlight w:val="none"/>
                <w:lang w:val="en-US" w:eastAsia="zh-CN"/>
              </w:rPr>
            </w:pPr>
            <w:r>
              <w:rPr>
                <w:rFonts w:hint="default"/>
                <w:color w:val="auto"/>
                <w:szCs w:val="20"/>
                <w:highlight w:val="none"/>
                <w:lang w:val="en-US" w:eastAsia="zh-CN"/>
              </w:rPr>
              <w:t>颗粒物无组织排放控制</w:t>
            </w:r>
          </w:p>
          <w:p>
            <w:pPr>
              <w:keepNext w:val="0"/>
              <w:keepLines w:val="0"/>
              <w:suppressLineNumbers w:val="0"/>
              <w:spacing w:before="0" w:beforeAutospacing="0" w:after="0" w:afterAutospacing="0"/>
              <w:ind w:left="0" w:right="0" w:firstLine="480"/>
              <w:rPr>
                <w:rFonts w:hint="default"/>
                <w:color w:val="auto"/>
                <w:szCs w:val="20"/>
                <w:highlight w:val="none"/>
                <w:lang w:val="en-US" w:eastAsia="zh-CN"/>
              </w:rPr>
            </w:pPr>
            <w:r>
              <w:rPr>
                <w:rFonts w:hint="default"/>
                <w:color w:val="auto"/>
                <w:szCs w:val="20"/>
                <w:highlight w:val="none"/>
                <w:lang w:val="en-US" w:eastAsia="zh-CN"/>
              </w:rPr>
              <w:t>本项目原料破碎工序已设置“集尘罩+布袋除尘器”对破碎粉尘进行收集处理，未被集气罩捕集的少量含尘废气以无组织形式排放。为控制无组织粉尘排放，破碎车间采用全封闭结构，减少粉尘</w:t>
            </w:r>
            <w:r>
              <w:rPr>
                <w:rFonts w:hint="eastAsia"/>
                <w:color w:val="auto"/>
                <w:szCs w:val="20"/>
                <w:highlight w:val="none"/>
                <w:lang w:val="en-US" w:eastAsia="zh-CN"/>
              </w:rPr>
              <w:t>外溢</w:t>
            </w:r>
            <w:r>
              <w:rPr>
                <w:rFonts w:hint="default"/>
                <w:color w:val="auto"/>
                <w:szCs w:val="20"/>
                <w:highlight w:val="none"/>
                <w:lang w:val="en-US" w:eastAsia="zh-CN"/>
              </w:rPr>
              <w:t>；破碎机进料口和出料口设置局部密闭罩，提高粉尘捕集效率；同时在车间内采取定期清扫、洒水抑尘等措施，减少地面二次扬尘。</w:t>
            </w:r>
          </w:p>
          <w:p>
            <w:pPr>
              <w:keepNext w:val="0"/>
              <w:keepLines w:val="0"/>
              <w:numPr>
                <w:ilvl w:val="0"/>
                <w:numId w:val="3"/>
              </w:numPr>
              <w:suppressLineNumbers w:val="0"/>
              <w:spacing w:before="0" w:beforeAutospacing="0" w:after="0" w:afterAutospacing="0"/>
              <w:ind w:left="0" w:leftChars="0" w:right="0" w:firstLine="567" w:firstLineChars="0"/>
              <w:rPr>
                <w:rFonts w:hint="default" w:ascii="Times New Roman" w:hAnsi="Times New Roman" w:eastAsia="宋体" w:cs="Times New Roman"/>
                <w:color w:val="auto"/>
                <w:szCs w:val="20"/>
                <w:highlight w:val="none"/>
                <w:lang w:val="en-US" w:eastAsia="zh-CN"/>
              </w:rPr>
            </w:pPr>
            <w:r>
              <w:rPr>
                <w:rFonts w:hint="default" w:ascii="Times New Roman" w:hAnsi="Times New Roman" w:eastAsia="宋体" w:cs="Times New Roman"/>
                <w:color w:val="auto"/>
                <w:szCs w:val="20"/>
                <w:highlight w:val="none"/>
                <w:lang w:val="en-US" w:eastAsia="zh-CN"/>
              </w:rPr>
              <w:t>非甲烷总烃无组织排放控制</w:t>
            </w:r>
          </w:p>
          <w:p>
            <w:pPr>
              <w:keepNext w:val="0"/>
              <w:keepLines w:val="0"/>
              <w:suppressLineNumbers w:val="0"/>
              <w:spacing w:before="0" w:beforeAutospacing="0" w:after="0" w:afterAutospacing="0"/>
              <w:ind w:left="0" w:right="0" w:firstLine="480"/>
              <w:rPr>
                <w:rFonts w:hint="default"/>
                <w:color w:val="auto"/>
                <w:szCs w:val="20"/>
                <w:highlight w:val="none"/>
                <w:lang w:val="en-US" w:eastAsia="zh-CN"/>
              </w:rPr>
            </w:pPr>
            <w:r>
              <w:rPr>
                <w:rFonts w:hint="default"/>
                <w:color w:val="auto"/>
                <w:szCs w:val="20"/>
                <w:highlight w:val="none"/>
                <w:lang w:val="en-US" w:eastAsia="zh-CN"/>
              </w:rPr>
              <w:t>白酒酿造过程中，蒸馏、发酵、出甑等工序会挥发少量含乙醇、杂醇、酯类的有机废气（以非甲烷总烃计）。为控制VOCs无组织排放，本项目根据《挥发性有机物无组织排放控制标准》（GB 37822-2019）要求，采取了以下措施：</w:t>
            </w:r>
          </w:p>
          <w:p>
            <w:pPr>
              <w:keepNext w:val="0"/>
              <w:keepLines w:val="0"/>
              <w:suppressLineNumbers w:val="0"/>
              <w:spacing w:before="0" w:beforeAutospacing="0" w:after="0" w:afterAutospacing="0"/>
              <w:ind w:left="0" w:right="0" w:firstLine="480"/>
              <w:rPr>
                <w:rFonts w:hint="default"/>
                <w:color w:val="auto"/>
                <w:szCs w:val="20"/>
                <w:highlight w:val="none"/>
                <w:lang w:val="en-US" w:eastAsia="zh-CN"/>
              </w:rPr>
            </w:pPr>
            <w:r>
              <w:rPr>
                <w:rFonts w:hint="default"/>
                <w:color w:val="auto"/>
                <w:szCs w:val="20"/>
                <w:highlight w:val="none"/>
                <w:lang w:val="en-US" w:eastAsia="zh-CN"/>
              </w:rPr>
              <w:t>发酵车间密闭：发酵室和酿酒车间采用全封闭式结构，减少有机废气</w:t>
            </w:r>
            <w:r>
              <w:rPr>
                <w:rFonts w:hint="eastAsia"/>
                <w:color w:val="auto"/>
                <w:szCs w:val="20"/>
                <w:highlight w:val="none"/>
                <w:lang w:val="en-US" w:eastAsia="zh-CN"/>
              </w:rPr>
              <w:t>外溢，</w:t>
            </w:r>
            <w:r>
              <w:rPr>
                <w:rFonts w:hint="default"/>
                <w:color w:val="auto"/>
                <w:szCs w:val="20"/>
                <w:highlight w:val="none"/>
                <w:lang w:val="en-US" w:eastAsia="zh-CN"/>
              </w:rPr>
              <w:t>加强通风换气：车间设置机械通风系统，保持良好工作环境</w:t>
            </w:r>
            <w:r>
              <w:rPr>
                <w:rFonts w:hint="eastAsia"/>
                <w:color w:val="auto"/>
                <w:szCs w:val="20"/>
                <w:highlight w:val="none"/>
                <w:lang w:val="en-US" w:eastAsia="zh-CN"/>
              </w:rPr>
              <w:t>；</w:t>
            </w:r>
            <w:r>
              <w:rPr>
                <w:rFonts w:hint="default"/>
                <w:color w:val="auto"/>
                <w:szCs w:val="20"/>
                <w:highlight w:val="none"/>
                <w:lang w:val="en-US" w:eastAsia="zh-CN"/>
              </w:rPr>
              <w:t>蒸馏设备密闭：蒸馏器保持密闭运行，减少蒸馏过程中有机废气的挥发损失</w:t>
            </w:r>
            <w:r>
              <w:rPr>
                <w:rFonts w:hint="eastAsia"/>
                <w:color w:val="auto"/>
                <w:szCs w:val="20"/>
                <w:highlight w:val="none"/>
                <w:lang w:val="en-US" w:eastAsia="zh-CN"/>
              </w:rPr>
              <w:t>；</w:t>
            </w:r>
            <w:r>
              <w:rPr>
                <w:rFonts w:hint="default"/>
                <w:color w:val="auto"/>
                <w:szCs w:val="20"/>
                <w:highlight w:val="none"/>
                <w:lang w:val="en-US" w:eastAsia="zh-CN"/>
              </w:rPr>
              <w:t>储酒设施管理：白酒储罐采用不锈钢密封罐，定期检查储罐及管线的密闭性</w:t>
            </w:r>
            <w:r>
              <w:rPr>
                <w:rFonts w:hint="eastAsia"/>
                <w:color w:val="auto"/>
                <w:szCs w:val="20"/>
                <w:highlight w:val="none"/>
                <w:lang w:val="en-US" w:eastAsia="zh-CN"/>
              </w:rPr>
              <w:t>；</w:t>
            </w:r>
            <w:r>
              <w:rPr>
                <w:rFonts w:hint="default"/>
                <w:color w:val="auto"/>
                <w:szCs w:val="20"/>
                <w:highlight w:val="none"/>
                <w:lang w:val="en-US" w:eastAsia="zh-CN"/>
              </w:rPr>
              <w:t>灌装过程控制：瓶酒及桶装酒灌装后及时密封盖子，减少灌装过程中有机废气的挥发</w:t>
            </w:r>
            <w:r>
              <w:rPr>
                <w:rFonts w:hint="eastAsia"/>
                <w:color w:val="auto"/>
                <w:szCs w:val="20"/>
                <w:highlight w:val="none"/>
                <w:lang w:val="en-US" w:eastAsia="zh-CN"/>
              </w:rPr>
              <w:t>。</w:t>
            </w:r>
          </w:p>
          <w:p>
            <w:pPr>
              <w:keepNext w:val="0"/>
              <w:keepLines w:val="0"/>
              <w:numPr>
                <w:ilvl w:val="0"/>
                <w:numId w:val="3"/>
              </w:numPr>
              <w:suppressLineNumbers w:val="0"/>
              <w:spacing w:before="0" w:beforeAutospacing="0" w:after="0" w:afterAutospacing="0"/>
              <w:ind w:left="0" w:leftChars="0" w:right="0" w:firstLine="567" w:firstLineChars="0"/>
              <w:rPr>
                <w:rFonts w:hint="default" w:ascii="Times New Roman" w:hAnsi="Times New Roman" w:eastAsia="宋体" w:cs="Times New Roman"/>
                <w:color w:val="auto"/>
                <w:szCs w:val="20"/>
                <w:highlight w:val="none"/>
                <w:lang w:val="en-US" w:eastAsia="zh-CN"/>
              </w:rPr>
            </w:pPr>
            <w:r>
              <w:rPr>
                <w:rFonts w:hint="default" w:ascii="Times New Roman" w:hAnsi="Times New Roman" w:eastAsia="宋体" w:cs="Times New Roman"/>
                <w:color w:val="auto"/>
                <w:szCs w:val="20"/>
                <w:highlight w:val="none"/>
                <w:lang w:val="en-US" w:eastAsia="zh-CN"/>
              </w:rPr>
              <w:t>恶臭气体无组织排放控制</w:t>
            </w:r>
          </w:p>
          <w:p>
            <w:pPr>
              <w:keepNext w:val="0"/>
              <w:keepLines w:val="0"/>
              <w:suppressLineNumbers w:val="0"/>
              <w:spacing w:before="0" w:beforeAutospacing="0" w:after="0" w:afterAutospacing="0"/>
              <w:ind w:left="0" w:right="0" w:firstLine="480"/>
              <w:rPr>
                <w:rFonts w:hint="default"/>
                <w:color w:val="auto"/>
                <w:szCs w:val="20"/>
                <w:highlight w:val="none"/>
                <w:lang w:val="en-US" w:eastAsia="zh-CN"/>
              </w:rPr>
            </w:pPr>
            <w:r>
              <w:rPr>
                <w:rFonts w:hint="default"/>
                <w:color w:val="auto"/>
                <w:szCs w:val="20"/>
                <w:highlight w:val="none"/>
                <w:lang w:val="en-US" w:eastAsia="zh-CN"/>
              </w:rPr>
              <w:t>本项目恶臭气体主要来源于酒糟暂存过程产生的氨、硫化氢等。根据《排污许可证申请与核发技术规范 酒、饮料制造工业》（HJ 1028-2019），酒糟</w:t>
            </w:r>
            <w:r>
              <w:rPr>
                <w:rFonts w:hint="eastAsia"/>
                <w:color w:val="auto"/>
                <w:szCs w:val="20"/>
                <w:highlight w:val="none"/>
                <w:lang w:val="en-US" w:eastAsia="zh-CN"/>
              </w:rPr>
              <w:t>暂存处</w:t>
            </w:r>
            <w:r>
              <w:rPr>
                <w:rFonts w:hint="default"/>
                <w:color w:val="auto"/>
                <w:szCs w:val="20"/>
                <w:highlight w:val="none"/>
                <w:lang w:val="en-US" w:eastAsia="zh-CN"/>
              </w:rPr>
              <w:t>等无组织废气排放应落实以下污染防治控制要求：</w:t>
            </w:r>
          </w:p>
          <w:p>
            <w:pPr>
              <w:keepNext w:val="0"/>
              <w:keepLines w:val="0"/>
              <w:suppressLineNumbers w:val="0"/>
              <w:spacing w:before="0" w:beforeAutospacing="0" w:after="0" w:afterAutospacing="0"/>
              <w:ind w:left="0" w:right="0" w:firstLine="480"/>
              <w:rPr>
                <w:rFonts w:hint="default"/>
                <w:color w:val="auto"/>
                <w:szCs w:val="20"/>
                <w:highlight w:val="none"/>
                <w:lang w:val="en-US" w:eastAsia="zh-CN"/>
              </w:rPr>
            </w:pPr>
            <w:r>
              <w:rPr>
                <w:rFonts w:hint="default"/>
                <w:color w:val="auto"/>
                <w:szCs w:val="20"/>
                <w:highlight w:val="none"/>
                <w:lang w:val="en-US" w:eastAsia="zh-CN"/>
              </w:rPr>
              <w:t>酒糟日产日清：</w:t>
            </w:r>
            <w:r>
              <w:rPr>
                <w:rFonts w:hint="eastAsia"/>
                <w:color w:val="auto"/>
                <w:szCs w:val="20"/>
                <w:highlight w:val="none"/>
                <w:lang w:val="en-US" w:eastAsia="zh-CN"/>
              </w:rPr>
              <w:t>因</w:t>
            </w:r>
            <w:r>
              <w:rPr>
                <w:rFonts w:hint="default"/>
                <w:color w:val="auto"/>
                <w:szCs w:val="20"/>
                <w:highlight w:val="none"/>
                <w:lang w:val="en-US" w:eastAsia="zh-CN"/>
              </w:rPr>
              <w:t>酒糟</w:t>
            </w:r>
            <w:r>
              <w:rPr>
                <w:rFonts w:hint="eastAsia"/>
                <w:color w:val="auto"/>
                <w:szCs w:val="20"/>
                <w:highlight w:val="none"/>
                <w:lang w:val="en-US" w:eastAsia="zh-CN"/>
              </w:rPr>
              <w:t>是优良的饲料原料，供不应求，所以</w:t>
            </w:r>
            <w:r>
              <w:rPr>
                <w:rFonts w:hint="default"/>
                <w:color w:val="auto"/>
                <w:szCs w:val="20"/>
                <w:highlight w:val="none"/>
                <w:lang w:val="en-US" w:eastAsia="zh-CN"/>
              </w:rPr>
              <w:t>酒糟产生后</w:t>
            </w:r>
            <w:r>
              <w:rPr>
                <w:rFonts w:hint="eastAsia"/>
                <w:color w:val="auto"/>
                <w:szCs w:val="20"/>
                <w:highlight w:val="none"/>
                <w:lang w:val="en-US" w:eastAsia="zh-CN"/>
              </w:rPr>
              <w:t>可以</w:t>
            </w:r>
            <w:r>
              <w:rPr>
                <w:rFonts w:hint="default"/>
                <w:color w:val="auto"/>
                <w:szCs w:val="20"/>
                <w:highlight w:val="none"/>
                <w:lang w:val="en-US" w:eastAsia="zh-CN"/>
              </w:rPr>
              <w:t>及时清运，尽量减少在厂区的暂存时间</w:t>
            </w:r>
            <w:r>
              <w:rPr>
                <w:rFonts w:hint="eastAsia"/>
                <w:color w:val="auto"/>
                <w:szCs w:val="20"/>
                <w:highlight w:val="none"/>
                <w:lang w:val="en-US" w:eastAsia="zh-CN"/>
              </w:rPr>
              <w:t>。</w:t>
            </w:r>
            <w:r>
              <w:rPr>
                <w:rFonts w:hint="default"/>
                <w:color w:val="auto"/>
                <w:szCs w:val="20"/>
                <w:highlight w:val="none"/>
                <w:lang w:val="en-US" w:eastAsia="zh-CN"/>
              </w:rPr>
              <w:t>暂存设施封闭：酒糟暂存</w:t>
            </w:r>
            <w:r>
              <w:rPr>
                <w:rFonts w:hint="eastAsia"/>
                <w:color w:val="auto"/>
                <w:szCs w:val="20"/>
                <w:highlight w:val="none"/>
                <w:lang w:val="en-US" w:eastAsia="zh-CN"/>
              </w:rPr>
              <w:t>处</w:t>
            </w:r>
            <w:r>
              <w:rPr>
                <w:rFonts w:hint="default"/>
                <w:color w:val="auto"/>
                <w:szCs w:val="20"/>
                <w:highlight w:val="none"/>
                <w:lang w:val="en-US" w:eastAsia="zh-CN"/>
              </w:rPr>
              <w:t>采用封闭式结构，</w:t>
            </w:r>
            <w:r>
              <w:rPr>
                <w:rFonts w:hint="eastAsia"/>
                <w:color w:val="auto"/>
                <w:szCs w:val="20"/>
                <w:highlight w:val="none"/>
                <w:lang w:val="en-US" w:eastAsia="zh-CN"/>
              </w:rPr>
              <w:t>酒糟暂存处</w:t>
            </w:r>
            <w:r>
              <w:rPr>
                <w:rFonts w:hint="default"/>
                <w:color w:val="auto"/>
                <w:szCs w:val="20"/>
                <w:highlight w:val="none"/>
                <w:lang w:val="en-US" w:eastAsia="zh-CN"/>
              </w:rPr>
              <w:t>定期喷洒生物除臭剂，减少恶臭气体产生</w:t>
            </w:r>
            <w:r>
              <w:rPr>
                <w:rFonts w:hint="eastAsia"/>
                <w:color w:val="auto"/>
                <w:szCs w:val="20"/>
                <w:highlight w:val="none"/>
                <w:lang w:val="en-US" w:eastAsia="zh-CN"/>
              </w:rPr>
              <w:t>，</w:t>
            </w:r>
            <w:r>
              <w:rPr>
                <w:rFonts w:hint="default"/>
                <w:color w:val="auto"/>
                <w:szCs w:val="20"/>
                <w:highlight w:val="none"/>
                <w:lang w:val="en-US" w:eastAsia="zh-CN"/>
              </w:rPr>
              <w:t>及时清理暂存间及道路上抛洒的酒糟</w:t>
            </w:r>
            <w:r>
              <w:rPr>
                <w:rFonts w:hint="eastAsia"/>
                <w:color w:val="auto"/>
                <w:szCs w:val="20"/>
                <w:highlight w:val="none"/>
                <w:lang w:val="en-US" w:eastAsia="zh-CN"/>
              </w:rPr>
              <w:t>。</w:t>
            </w:r>
          </w:p>
          <w:p>
            <w:pPr>
              <w:pStyle w:val="6"/>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3、</w:t>
            </w:r>
            <w:r>
              <w:rPr>
                <w:rFonts w:hint="default"/>
                <w:color w:val="auto"/>
                <w:szCs w:val="20"/>
                <w:highlight w:val="none"/>
              </w:rPr>
              <w:t>非正常工况排放情况</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非正常排放是指生产设备在开、停车状态，检修状态或者环保设施未能完全运行的状态下污染物的排放情况。</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本项目非正常工况主要考虑废气处理设施（布袋除尘器）发生故障导致处理效率下降的情景。根据本项目工艺特点及污染治理设施配置情况，非正常工况设定如下：</w:t>
            </w:r>
          </w:p>
          <w:p>
            <w:pPr>
              <w:keepNext w:val="0"/>
              <w:keepLines w:val="0"/>
              <w:numPr>
                <w:ilvl w:val="0"/>
                <w:numId w:val="4"/>
              </w:numPr>
              <w:suppressLineNumbers w:val="0"/>
              <w:autoSpaceDE w:val="0"/>
              <w:autoSpaceDN w:val="0"/>
              <w:adjustRightInd w:val="0"/>
              <w:spacing w:before="0" w:beforeAutospacing="0" w:after="0" w:afterAutospacing="0" w:line="240" w:lineRule="auto"/>
              <w:ind w:left="0" w:leftChars="0" w:right="0" w:firstLine="0" w:firstLineChars="0"/>
              <w:jc w:val="center"/>
              <w:rPr>
                <w:rFonts w:hint="default"/>
                <w:b/>
                <w:bCs/>
                <w:color w:val="auto"/>
                <w:sz w:val="24"/>
                <w:szCs w:val="24"/>
                <w:highlight w:val="none"/>
              </w:rPr>
            </w:pPr>
            <w:r>
              <w:rPr>
                <w:rFonts w:hint="eastAsia"/>
                <w:b/>
                <w:bCs/>
                <w:color w:val="auto"/>
                <w:sz w:val="24"/>
                <w:szCs w:val="24"/>
                <w:highlight w:val="none"/>
              </w:rPr>
              <w:t>非正常工况废气排放情况</w:t>
            </w:r>
          </w:p>
          <w:tbl>
            <w:tblPr>
              <w:tblStyle w:val="23"/>
              <w:tblW w:w="83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924"/>
              <w:gridCol w:w="1790"/>
              <w:gridCol w:w="1286"/>
              <w:gridCol w:w="1500"/>
              <w:gridCol w:w="1117"/>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6" w:type="dxa"/>
                  <w:tcBorders>
                    <w:tl2br w:val="nil"/>
                    <w:tr2bl w:val="nil"/>
                  </w:tcBorders>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污染源</w:t>
                  </w:r>
                </w:p>
              </w:tc>
              <w:tc>
                <w:tcPr>
                  <w:tcW w:w="924" w:type="dxa"/>
                  <w:tcBorders>
                    <w:tl2br w:val="nil"/>
                    <w:tr2bl w:val="nil"/>
                  </w:tcBorders>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污染因子</w:t>
                  </w:r>
                </w:p>
              </w:tc>
              <w:tc>
                <w:tcPr>
                  <w:tcW w:w="1790" w:type="dxa"/>
                  <w:tcBorders>
                    <w:tl2br w:val="nil"/>
                    <w:tr2bl w:val="nil"/>
                  </w:tcBorders>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非正常排放原因</w:t>
                  </w:r>
                </w:p>
              </w:tc>
              <w:tc>
                <w:tcPr>
                  <w:tcW w:w="1286" w:type="dxa"/>
                  <w:tcBorders>
                    <w:tl2br w:val="nil"/>
                    <w:tr2bl w:val="nil"/>
                  </w:tcBorders>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非正常排放浓度mg/m</w:t>
                  </w:r>
                  <w:r>
                    <w:rPr>
                      <w:rFonts w:hint="eastAsia"/>
                      <w:color w:val="auto"/>
                      <w:szCs w:val="20"/>
                      <w:highlight w:val="none"/>
                      <w:vertAlign w:val="superscript"/>
                    </w:rPr>
                    <w:t>3</w:t>
                  </w:r>
                </w:p>
              </w:tc>
              <w:tc>
                <w:tcPr>
                  <w:tcW w:w="1500" w:type="dxa"/>
                  <w:tcBorders>
                    <w:tl2br w:val="nil"/>
                    <w:tr2bl w:val="nil"/>
                  </w:tcBorders>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非正常排放速率kg/h</w:t>
                  </w:r>
                </w:p>
              </w:tc>
              <w:tc>
                <w:tcPr>
                  <w:tcW w:w="1117" w:type="dxa"/>
                  <w:tcBorders>
                    <w:tl2br w:val="nil"/>
                    <w:tr2bl w:val="nil"/>
                  </w:tcBorders>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频次及持续时间</w:t>
                  </w:r>
                </w:p>
              </w:tc>
              <w:tc>
                <w:tcPr>
                  <w:tcW w:w="860" w:type="dxa"/>
                  <w:tcBorders>
                    <w:tl2br w:val="nil"/>
                    <w:tr2bl w:val="nil"/>
                  </w:tcBorders>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排放量kg/a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6" w:type="dxa"/>
                  <w:tcBorders>
                    <w:tl2br w:val="nil"/>
                    <w:tr2bl w:val="nil"/>
                  </w:tcBorders>
                  <w:vAlign w:val="center"/>
                </w:tcPr>
                <w:p>
                  <w:pPr>
                    <w:pStyle w:val="31"/>
                    <w:keepNext w:val="0"/>
                    <w:keepLines w:val="0"/>
                    <w:suppressLineNumbers w:val="0"/>
                    <w:spacing w:before="0" w:beforeAutospacing="0" w:after="0" w:afterAutospacing="0"/>
                    <w:ind w:left="0" w:right="0"/>
                    <w:rPr>
                      <w:rFonts w:hint="eastAsia" w:eastAsia="宋体"/>
                      <w:color w:val="auto"/>
                      <w:szCs w:val="20"/>
                      <w:highlight w:val="none"/>
                      <w:lang w:eastAsia="zh-CN"/>
                    </w:rPr>
                  </w:pPr>
                  <w:r>
                    <w:rPr>
                      <w:rFonts w:hint="eastAsia"/>
                      <w:color w:val="auto"/>
                      <w:szCs w:val="20"/>
                      <w:highlight w:val="none"/>
                    </w:rPr>
                    <w:t>DA00</w:t>
                  </w:r>
                  <w:r>
                    <w:rPr>
                      <w:rFonts w:hint="eastAsia"/>
                      <w:color w:val="auto"/>
                      <w:szCs w:val="20"/>
                      <w:highlight w:val="none"/>
                      <w:lang w:val="en-US" w:eastAsia="zh-CN"/>
                    </w:rPr>
                    <w:t>1</w:t>
                  </w:r>
                </w:p>
              </w:tc>
              <w:tc>
                <w:tcPr>
                  <w:tcW w:w="924" w:type="dxa"/>
                  <w:tcBorders>
                    <w:tl2br w:val="nil"/>
                    <w:tr2bl w:val="nil"/>
                  </w:tcBorders>
                  <w:vAlign w:val="center"/>
                </w:tcPr>
                <w:p>
                  <w:pPr>
                    <w:pStyle w:val="31"/>
                    <w:keepNext w:val="0"/>
                    <w:keepLines w:val="0"/>
                    <w:suppressLineNumbers w:val="0"/>
                    <w:spacing w:before="0" w:beforeAutospacing="0" w:after="0" w:afterAutospacing="0"/>
                    <w:ind w:left="0" w:right="0"/>
                    <w:rPr>
                      <w:rFonts w:hint="default" w:eastAsia="宋体"/>
                      <w:color w:val="auto"/>
                      <w:szCs w:val="20"/>
                      <w:highlight w:val="none"/>
                      <w:lang w:val="en-US" w:eastAsia="zh-CN"/>
                    </w:rPr>
                  </w:pPr>
                  <w:r>
                    <w:rPr>
                      <w:rFonts w:hint="eastAsia"/>
                      <w:color w:val="auto"/>
                      <w:szCs w:val="20"/>
                      <w:highlight w:val="none"/>
                      <w:lang w:val="en-US" w:eastAsia="zh-CN"/>
                    </w:rPr>
                    <w:t>颗粒物</w:t>
                  </w:r>
                </w:p>
              </w:tc>
              <w:tc>
                <w:tcPr>
                  <w:tcW w:w="1790" w:type="dxa"/>
                  <w:tcBorders>
                    <w:tl2br w:val="nil"/>
                    <w:tr2bl w:val="nil"/>
                  </w:tcBorders>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lang w:eastAsia="zh-CN"/>
                    </w:rPr>
                    <w:t>滤袋长期运行后磨损破裂</w:t>
                  </w:r>
                </w:p>
              </w:tc>
              <w:tc>
                <w:tcPr>
                  <w:tcW w:w="1286" w:type="dxa"/>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eastAsia="宋体"/>
                      <w:color w:val="auto"/>
                      <w:sz w:val="21"/>
                      <w:szCs w:val="20"/>
                      <w:highlight w:val="none"/>
                      <w:lang w:val="en-US" w:eastAsia="zh-CN"/>
                    </w:rPr>
                  </w:pPr>
                  <w:r>
                    <w:rPr>
                      <w:rFonts w:hint="eastAsia"/>
                      <w:color w:val="auto"/>
                      <w:sz w:val="21"/>
                      <w:szCs w:val="21"/>
                      <w:highlight w:val="none"/>
                      <w:lang w:val="en-US" w:eastAsia="zh-CN"/>
                    </w:rPr>
                    <w:t>101</w:t>
                  </w:r>
                </w:p>
              </w:tc>
              <w:tc>
                <w:tcPr>
                  <w:tcW w:w="1500" w:type="dxa"/>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eastAsia="宋体"/>
                      <w:color w:val="auto"/>
                      <w:sz w:val="21"/>
                      <w:szCs w:val="20"/>
                      <w:highlight w:val="none"/>
                      <w:lang w:val="en-US" w:eastAsia="zh-CN"/>
                    </w:rPr>
                  </w:pPr>
                  <w:r>
                    <w:rPr>
                      <w:rFonts w:hint="eastAsia"/>
                      <w:color w:val="auto"/>
                      <w:sz w:val="21"/>
                      <w:szCs w:val="21"/>
                      <w:highlight w:val="none"/>
                      <w:lang w:val="en-US" w:eastAsia="zh-CN"/>
                    </w:rPr>
                    <w:t>0.577</w:t>
                  </w:r>
                </w:p>
              </w:tc>
              <w:tc>
                <w:tcPr>
                  <w:tcW w:w="1117" w:type="dxa"/>
                  <w:tcBorders>
                    <w:tl2br w:val="nil"/>
                    <w:tr2bl w:val="nil"/>
                  </w:tcBorders>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1次/年</w:t>
                  </w:r>
                </w:p>
                <w:p>
                  <w:pPr>
                    <w:pStyle w:val="31"/>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1h/次</w:t>
                  </w:r>
                </w:p>
              </w:tc>
              <w:tc>
                <w:tcPr>
                  <w:tcW w:w="860" w:type="dxa"/>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eastAsia="宋体"/>
                      <w:color w:val="auto"/>
                      <w:sz w:val="21"/>
                      <w:szCs w:val="20"/>
                      <w:highlight w:val="none"/>
                      <w:lang w:val="en-US" w:eastAsia="zh-CN"/>
                    </w:rPr>
                  </w:pPr>
                  <w:r>
                    <w:rPr>
                      <w:rFonts w:hint="eastAsia"/>
                      <w:color w:val="auto"/>
                      <w:sz w:val="21"/>
                      <w:szCs w:val="21"/>
                      <w:highlight w:val="none"/>
                      <w:lang w:val="en-US" w:eastAsia="zh-CN"/>
                    </w:rPr>
                    <w:t>4150</w:t>
                  </w:r>
                </w:p>
              </w:tc>
            </w:tr>
          </w:tbl>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rPr>
              <w:t>为确保项目废气处理装置正常运行，建设方在日常运行过程中，拟采取如下措施：</w:t>
            </w:r>
          </w:p>
          <w:p>
            <w:pPr>
              <w:keepNext w:val="0"/>
              <w:keepLines w:val="0"/>
              <w:numPr>
                <w:ilvl w:val="0"/>
                <w:numId w:val="5"/>
              </w:numPr>
              <w:suppressLineNumbers w:val="0"/>
              <w:spacing w:before="0" w:beforeAutospacing="0" w:after="0" w:afterAutospacing="0"/>
              <w:ind w:left="0" w:leftChars="0" w:right="0" w:firstLine="480" w:firstLineChars="200"/>
              <w:rPr>
                <w:rFonts w:hint="eastAsia"/>
                <w:color w:val="auto"/>
                <w:szCs w:val="20"/>
                <w:highlight w:val="none"/>
              </w:rPr>
            </w:pPr>
            <w:r>
              <w:rPr>
                <w:rFonts w:hint="eastAsia"/>
                <w:color w:val="auto"/>
                <w:szCs w:val="20"/>
                <w:highlight w:val="none"/>
              </w:rPr>
              <w:t>建立布袋除尘器日常巡检制度，定期检查滤袋完好情况</w:t>
            </w:r>
          </w:p>
          <w:p>
            <w:pPr>
              <w:keepNext w:val="0"/>
              <w:keepLines w:val="0"/>
              <w:numPr>
                <w:ilvl w:val="0"/>
                <w:numId w:val="5"/>
              </w:numPr>
              <w:suppressLineNumbers w:val="0"/>
              <w:spacing w:before="0" w:beforeAutospacing="0" w:after="0" w:afterAutospacing="0"/>
              <w:ind w:left="0" w:leftChars="0" w:right="0" w:firstLine="480" w:firstLineChars="200"/>
              <w:rPr>
                <w:rFonts w:hint="eastAsia"/>
                <w:color w:val="auto"/>
                <w:szCs w:val="20"/>
                <w:highlight w:val="none"/>
              </w:rPr>
            </w:pPr>
            <w:r>
              <w:rPr>
                <w:rFonts w:hint="eastAsia"/>
                <w:color w:val="auto"/>
                <w:szCs w:val="20"/>
                <w:highlight w:val="none"/>
              </w:rPr>
              <w:t>储备备用滤袋，发现破损立即更换</w:t>
            </w:r>
          </w:p>
          <w:p>
            <w:pPr>
              <w:keepNext w:val="0"/>
              <w:keepLines w:val="0"/>
              <w:numPr>
                <w:ilvl w:val="0"/>
                <w:numId w:val="5"/>
              </w:numPr>
              <w:suppressLineNumbers w:val="0"/>
              <w:spacing w:before="0" w:beforeAutospacing="0" w:after="0" w:afterAutospacing="0"/>
              <w:ind w:left="0" w:leftChars="0" w:right="0" w:firstLine="480" w:firstLineChars="200"/>
              <w:rPr>
                <w:rFonts w:hint="eastAsia"/>
                <w:color w:val="auto"/>
                <w:szCs w:val="20"/>
                <w:highlight w:val="none"/>
              </w:rPr>
            </w:pPr>
            <w:r>
              <w:rPr>
                <w:rFonts w:hint="eastAsia"/>
                <w:color w:val="auto"/>
                <w:szCs w:val="20"/>
                <w:highlight w:val="none"/>
              </w:rPr>
              <w:t>定期清理除尘器灰斗，防止堵塞</w:t>
            </w:r>
          </w:p>
          <w:p>
            <w:pPr>
              <w:keepNext w:val="0"/>
              <w:keepLines w:val="0"/>
              <w:numPr>
                <w:ilvl w:val="0"/>
                <w:numId w:val="5"/>
              </w:numPr>
              <w:suppressLineNumbers w:val="0"/>
              <w:spacing w:before="0" w:beforeAutospacing="0" w:after="0" w:afterAutospacing="0"/>
              <w:ind w:left="0" w:leftChars="0" w:right="0" w:firstLine="480" w:firstLineChars="200"/>
              <w:rPr>
                <w:rFonts w:hint="eastAsia"/>
                <w:color w:val="auto"/>
                <w:szCs w:val="20"/>
                <w:highlight w:val="none"/>
              </w:rPr>
            </w:pPr>
            <w:r>
              <w:rPr>
                <w:rFonts w:hint="eastAsia"/>
                <w:color w:val="auto"/>
                <w:szCs w:val="20"/>
                <w:highlight w:val="none"/>
              </w:rPr>
              <w:t>建立环保设施运行台账，记录运行、维护、检修信息</w:t>
            </w:r>
          </w:p>
          <w:p>
            <w:pPr>
              <w:keepNext w:val="0"/>
              <w:keepLines w:val="0"/>
              <w:numPr>
                <w:ilvl w:val="0"/>
                <w:numId w:val="5"/>
              </w:numPr>
              <w:suppressLineNumbers w:val="0"/>
              <w:spacing w:before="0" w:beforeAutospacing="0" w:after="0" w:afterAutospacing="0"/>
              <w:ind w:left="0" w:leftChars="0" w:right="0" w:firstLine="480" w:firstLineChars="200"/>
              <w:rPr>
                <w:rFonts w:hint="default"/>
                <w:color w:val="auto"/>
                <w:szCs w:val="20"/>
                <w:highlight w:val="none"/>
              </w:rPr>
            </w:pPr>
            <w:r>
              <w:rPr>
                <w:rFonts w:hint="eastAsia"/>
                <w:color w:val="auto"/>
                <w:szCs w:val="20"/>
                <w:highlight w:val="none"/>
              </w:rPr>
              <w:t>企业委派专人负责每日巡检废气处理装置，做好巡检记录。</w:t>
            </w:r>
          </w:p>
          <w:p>
            <w:pPr>
              <w:keepNext w:val="0"/>
              <w:keepLines w:val="0"/>
              <w:numPr>
                <w:ilvl w:val="0"/>
                <w:numId w:val="5"/>
              </w:numPr>
              <w:suppressLineNumbers w:val="0"/>
              <w:spacing w:before="0" w:beforeAutospacing="0" w:after="0" w:afterAutospacing="0"/>
              <w:ind w:left="0" w:leftChars="0" w:right="0" w:firstLine="480" w:firstLineChars="200"/>
              <w:rPr>
                <w:rFonts w:hint="default"/>
                <w:color w:val="auto"/>
                <w:szCs w:val="20"/>
                <w:highlight w:val="none"/>
              </w:rPr>
            </w:pPr>
            <w:r>
              <w:rPr>
                <w:rFonts w:hint="eastAsia"/>
                <w:color w:val="auto"/>
                <w:szCs w:val="20"/>
                <w:highlight w:val="none"/>
              </w:rPr>
              <w:t>当发现废气处理设施故障并导致废气非正常排放时，应立即停止废气产生工序，待废气处理装置故障排除后并可正常运行时方可恢复相关生产。</w:t>
            </w:r>
          </w:p>
          <w:p>
            <w:pPr>
              <w:keepNext w:val="0"/>
              <w:keepLines w:val="0"/>
              <w:numPr>
                <w:ilvl w:val="0"/>
                <w:numId w:val="5"/>
              </w:numPr>
              <w:suppressLineNumbers w:val="0"/>
              <w:spacing w:before="0" w:beforeAutospacing="0" w:after="0" w:afterAutospacing="0"/>
              <w:ind w:left="0" w:leftChars="0" w:right="0" w:firstLine="480" w:firstLineChars="200"/>
              <w:rPr>
                <w:rFonts w:hint="default"/>
                <w:color w:val="auto"/>
                <w:szCs w:val="20"/>
                <w:highlight w:val="none"/>
              </w:rPr>
            </w:pPr>
            <w:r>
              <w:rPr>
                <w:rFonts w:hint="eastAsia"/>
                <w:color w:val="auto"/>
                <w:szCs w:val="20"/>
                <w:highlight w:val="none"/>
              </w:rPr>
              <w:t>按照环评要求定期对废气处理装置进行维护保养。</w:t>
            </w:r>
          </w:p>
          <w:p>
            <w:pPr>
              <w:keepNext w:val="0"/>
              <w:keepLines w:val="0"/>
              <w:numPr>
                <w:ilvl w:val="0"/>
                <w:numId w:val="5"/>
              </w:numPr>
              <w:suppressLineNumbers w:val="0"/>
              <w:spacing w:before="0" w:beforeAutospacing="0" w:after="0" w:afterAutospacing="0"/>
              <w:ind w:left="0" w:leftChars="0" w:right="0" w:firstLine="480" w:firstLineChars="200"/>
              <w:rPr>
                <w:rFonts w:hint="default"/>
                <w:color w:val="auto"/>
                <w:szCs w:val="20"/>
                <w:highlight w:val="none"/>
              </w:rPr>
            </w:pPr>
            <w:r>
              <w:rPr>
                <w:rFonts w:hint="eastAsia"/>
                <w:color w:val="auto"/>
                <w:szCs w:val="20"/>
                <w:highlight w:val="none"/>
              </w:rPr>
              <w:t>建立废气处理装置运行管理台账，由专人负责记录</w:t>
            </w:r>
            <w:r>
              <w:rPr>
                <w:rFonts w:hint="default"/>
                <w:color w:val="auto"/>
                <w:szCs w:val="20"/>
                <w:highlight w:val="none"/>
              </w:rPr>
              <w:t>。</w:t>
            </w:r>
          </w:p>
          <w:p>
            <w:pPr>
              <w:pStyle w:val="6"/>
              <w:suppressLineNumbers w:val="0"/>
              <w:spacing w:before="0" w:beforeAutospacing="0" w:after="0" w:afterAutospacing="0"/>
              <w:ind w:left="0" w:right="0"/>
              <w:rPr>
                <w:rFonts w:hint="default"/>
                <w:color w:val="auto"/>
                <w:szCs w:val="20"/>
                <w:highlight w:val="none"/>
              </w:rPr>
            </w:pPr>
            <w:r>
              <w:rPr>
                <w:rFonts w:hint="eastAsia"/>
                <w:color w:val="auto"/>
                <w:szCs w:val="20"/>
                <w:highlight w:val="none"/>
                <w:lang w:val="en-US" w:eastAsia="zh-CN"/>
              </w:rPr>
              <w:t>4</w:t>
            </w:r>
            <w:r>
              <w:rPr>
                <w:rFonts w:hint="eastAsia"/>
                <w:color w:val="auto"/>
                <w:szCs w:val="20"/>
                <w:highlight w:val="none"/>
              </w:rPr>
              <w:t>、</w:t>
            </w:r>
            <w:r>
              <w:rPr>
                <w:rFonts w:hint="default"/>
                <w:color w:val="auto"/>
                <w:szCs w:val="20"/>
                <w:highlight w:val="none"/>
              </w:rPr>
              <w:t>废气自行监测方案</w:t>
            </w:r>
          </w:p>
          <w:p>
            <w:pPr>
              <w:keepNext w:val="0"/>
              <w:keepLines w:val="0"/>
              <w:suppressLineNumbers w:val="0"/>
              <w:adjustRightInd w:val="0"/>
              <w:snapToGrid w:val="0"/>
              <w:spacing w:before="0" w:beforeAutospacing="0" w:after="0" w:afterAutospacing="0"/>
              <w:ind w:left="0" w:right="0" w:firstLine="480"/>
              <w:rPr>
                <w:rFonts w:hint="default"/>
                <w:color w:val="auto"/>
                <w:szCs w:val="24"/>
                <w:highlight w:val="none"/>
              </w:rPr>
            </w:pPr>
            <w:r>
              <w:rPr>
                <w:rFonts w:hint="eastAsia"/>
                <w:color w:val="auto"/>
                <w:szCs w:val="24"/>
                <w:highlight w:val="none"/>
              </w:rPr>
              <w:t>根据《排污单位自行监测技术指南 总则》，</w:t>
            </w:r>
            <w:r>
              <w:rPr>
                <w:rFonts w:hint="eastAsia"/>
                <w:color w:val="auto"/>
                <w:szCs w:val="20"/>
                <w:highlight w:val="none"/>
              </w:rPr>
              <w:t>根据《</w:t>
            </w:r>
            <w:r>
              <w:rPr>
                <w:rFonts w:hint="eastAsia"/>
                <w:color w:val="auto"/>
                <w:szCs w:val="20"/>
                <w:highlight w:val="none"/>
                <w:lang w:eastAsia="zh-CN"/>
              </w:rPr>
              <w:t>《排污单位自行监测技术指南 酒、饮料制造》（HJ 1085-2020）和《排污许可证申请与核发技术规范 酒、饮料制造工业》（HJ 1028-2019）</w:t>
            </w:r>
            <w:r>
              <w:rPr>
                <w:rFonts w:hint="eastAsia"/>
                <w:color w:val="auto"/>
                <w:szCs w:val="20"/>
                <w:highlight w:val="none"/>
              </w:rPr>
              <w:t>）</w:t>
            </w:r>
            <w:r>
              <w:rPr>
                <w:rFonts w:hint="default"/>
                <w:color w:val="auto"/>
                <w:szCs w:val="24"/>
                <w:highlight w:val="none"/>
              </w:rPr>
              <w:t>，本次评价制定自行监测计划见下。</w:t>
            </w:r>
          </w:p>
          <w:p>
            <w:pPr>
              <w:keepNext w:val="0"/>
              <w:keepLines w:val="0"/>
              <w:numPr>
                <w:ilvl w:val="0"/>
                <w:numId w:val="4"/>
              </w:numPr>
              <w:suppressLineNumbers w:val="0"/>
              <w:autoSpaceDE w:val="0"/>
              <w:autoSpaceDN w:val="0"/>
              <w:adjustRightInd w:val="0"/>
              <w:spacing w:before="0" w:beforeAutospacing="0" w:after="0" w:afterAutospacing="0" w:line="240" w:lineRule="auto"/>
              <w:ind w:left="0" w:leftChars="0" w:right="0" w:firstLine="0" w:firstLineChars="0"/>
              <w:jc w:val="center"/>
              <w:rPr>
                <w:rFonts w:hint="default"/>
                <w:b/>
                <w:bCs/>
                <w:color w:val="auto"/>
                <w:szCs w:val="24"/>
                <w:highlight w:val="none"/>
              </w:rPr>
            </w:pPr>
            <w:r>
              <w:rPr>
                <w:rFonts w:hint="default"/>
                <w:b/>
                <w:bCs/>
                <w:color w:val="auto"/>
                <w:szCs w:val="24"/>
                <w:highlight w:val="none"/>
              </w:rPr>
              <w:t>废气监测</w:t>
            </w:r>
            <w:r>
              <w:rPr>
                <w:rFonts w:hint="eastAsia"/>
                <w:b/>
                <w:bCs/>
                <w:color w:val="auto"/>
                <w:szCs w:val="24"/>
                <w:highlight w:val="none"/>
              </w:rPr>
              <w:t>计划</w:t>
            </w:r>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335"/>
              <w:gridCol w:w="3558"/>
              <w:gridCol w:w="19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jc w:val="center"/>
              </w:trPr>
              <w:tc>
                <w:tcPr>
                  <w:tcW w:w="233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监测点位</w:t>
                  </w:r>
                </w:p>
              </w:tc>
              <w:tc>
                <w:tcPr>
                  <w:tcW w:w="3558"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监测指标</w:t>
                  </w:r>
                </w:p>
              </w:tc>
              <w:tc>
                <w:tcPr>
                  <w:tcW w:w="1957"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监测频次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jc w:val="center"/>
              </w:trPr>
              <w:tc>
                <w:tcPr>
                  <w:tcW w:w="233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厂界</w:t>
                  </w:r>
                </w:p>
              </w:tc>
              <w:tc>
                <w:tcPr>
                  <w:tcW w:w="3558" w:type="dxa"/>
                  <w:vAlign w:val="center"/>
                </w:tcPr>
                <w:p>
                  <w:pPr>
                    <w:keepNext w:val="0"/>
                    <w:keepLines w:val="0"/>
                    <w:suppressLineNumbers w:val="0"/>
                    <w:spacing w:before="0" w:beforeAutospacing="0" w:after="0" w:afterAutospacing="0" w:line="240" w:lineRule="auto"/>
                    <w:ind w:left="0" w:right="0" w:firstLine="0" w:firstLineChars="0"/>
                    <w:jc w:val="center"/>
                    <w:rPr>
                      <w:rFonts w:hint="eastAsia"/>
                      <w:color w:val="auto"/>
                      <w:sz w:val="21"/>
                      <w:szCs w:val="21"/>
                      <w:highlight w:val="none"/>
                      <w:lang w:eastAsia="zh-CN"/>
                    </w:rPr>
                  </w:pPr>
                  <w:r>
                    <w:rPr>
                      <w:rFonts w:hint="eastAsia"/>
                      <w:color w:val="auto"/>
                      <w:sz w:val="21"/>
                      <w:szCs w:val="21"/>
                      <w:highlight w:val="none"/>
                    </w:rPr>
                    <w:t>颗粒物、非甲烷总烃</w:t>
                  </w:r>
                </w:p>
                <w:p>
                  <w:pPr>
                    <w:keepNext w:val="0"/>
                    <w:keepLines w:val="0"/>
                    <w:suppressLineNumbers w:val="0"/>
                    <w:spacing w:before="0" w:beforeAutospacing="0" w:after="0" w:afterAutospacing="0" w:line="240" w:lineRule="auto"/>
                    <w:ind w:left="0" w:right="0" w:firstLine="0" w:firstLineChars="0"/>
                    <w:jc w:val="center"/>
                    <w:rPr>
                      <w:rFonts w:hint="eastAsia" w:eastAsia="宋体"/>
                      <w:color w:val="auto"/>
                      <w:sz w:val="21"/>
                      <w:szCs w:val="21"/>
                      <w:highlight w:val="none"/>
                      <w:lang w:eastAsia="zh-CN"/>
                    </w:rPr>
                  </w:pPr>
                  <w:r>
                    <w:rPr>
                      <w:rFonts w:hint="eastAsia"/>
                      <w:color w:val="auto"/>
                      <w:sz w:val="21"/>
                      <w:szCs w:val="21"/>
                      <w:highlight w:val="none"/>
                      <w:lang w:eastAsia="zh-CN"/>
                    </w:rPr>
                    <w:t>氨、硫化氢、臭气浓度</w:t>
                  </w:r>
                </w:p>
              </w:tc>
              <w:tc>
                <w:tcPr>
                  <w:tcW w:w="1957"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1次/</w:t>
                  </w:r>
                  <w:r>
                    <w:rPr>
                      <w:rFonts w:hint="eastAsia"/>
                      <w:color w:val="auto"/>
                      <w:sz w:val="21"/>
                      <w:szCs w:val="21"/>
                      <w:highlight w:val="none"/>
                    </w:rPr>
                    <w:t>半</w:t>
                  </w:r>
                  <w:r>
                    <w:rPr>
                      <w:rFonts w:hint="default"/>
                      <w:color w:val="auto"/>
                      <w:sz w:val="21"/>
                      <w:szCs w:val="21"/>
                      <w:highlight w:val="none"/>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jc w:val="center"/>
              </w:trPr>
              <w:tc>
                <w:tcPr>
                  <w:tcW w:w="2335"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厂区体积浓度最高处</w:t>
                  </w:r>
                </w:p>
              </w:tc>
              <w:tc>
                <w:tcPr>
                  <w:tcW w:w="3558"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非甲烷总烃</w:t>
                  </w:r>
                </w:p>
              </w:tc>
              <w:tc>
                <w:tcPr>
                  <w:tcW w:w="1957"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1次/</w:t>
                  </w:r>
                  <w:r>
                    <w:rPr>
                      <w:rFonts w:hint="eastAsia"/>
                      <w:color w:val="auto"/>
                      <w:sz w:val="21"/>
                      <w:szCs w:val="21"/>
                      <w:highlight w:val="none"/>
                    </w:rPr>
                    <w:t>半</w:t>
                  </w:r>
                  <w:r>
                    <w:rPr>
                      <w:rFonts w:hint="default"/>
                      <w:color w:val="auto"/>
                      <w:sz w:val="21"/>
                      <w:szCs w:val="21"/>
                      <w:highlight w:val="none"/>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jc w:val="center"/>
              </w:trPr>
              <w:tc>
                <w:tcPr>
                  <w:tcW w:w="2335"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eastAsia" w:eastAsia="宋体"/>
                      <w:color w:val="auto"/>
                      <w:sz w:val="21"/>
                      <w:szCs w:val="21"/>
                      <w:highlight w:val="none"/>
                      <w:lang w:eastAsia="zh-CN"/>
                    </w:rPr>
                  </w:pPr>
                  <w:r>
                    <w:rPr>
                      <w:rFonts w:hint="eastAsia"/>
                      <w:color w:val="auto"/>
                      <w:sz w:val="21"/>
                      <w:szCs w:val="21"/>
                      <w:highlight w:val="none"/>
                    </w:rPr>
                    <w:t>DA00</w:t>
                  </w:r>
                  <w:r>
                    <w:rPr>
                      <w:rFonts w:hint="eastAsia"/>
                      <w:color w:val="auto"/>
                      <w:sz w:val="21"/>
                      <w:szCs w:val="21"/>
                      <w:highlight w:val="none"/>
                      <w:lang w:val="en-US" w:eastAsia="zh-CN"/>
                    </w:rPr>
                    <w:t>1</w:t>
                  </w:r>
                </w:p>
              </w:tc>
              <w:tc>
                <w:tcPr>
                  <w:tcW w:w="3558"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颗粒物</w:t>
                  </w:r>
                </w:p>
              </w:tc>
              <w:tc>
                <w:tcPr>
                  <w:tcW w:w="1957"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1次/</w:t>
                  </w:r>
                  <w:r>
                    <w:rPr>
                      <w:rFonts w:hint="eastAsia"/>
                      <w:color w:val="auto"/>
                      <w:sz w:val="21"/>
                      <w:szCs w:val="21"/>
                      <w:highlight w:val="none"/>
                    </w:rPr>
                    <w:t>半</w:t>
                  </w:r>
                  <w:r>
                    <w:rPr>
                      <w:rFonts w:hint="default"/>
                      <w:color w:val="auto"/>
                      <w:sz w:val="21"/>
                      <w:szCs w:val="21"/>
                      <w:highlight w:val="none"/>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jc w:val="center"/>
              </w:trPr>
              <w:tc>
                <w:tcPr>
                  <w:tcW w:w="2335"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油烟排放口</w:t>
                  </w:r>
                </w:p>
              </w:tc>
              <w:tc>
                <w:tcPr>
                  <w:tcW w:w="3558"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油烟</w:t>
                  </w:r>
                </w:p>
              </w:tc>
              <w:tc>
                <w:tcPr>
                  <w:tcW w:w="1957"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1次/年</w:t>
                  </w:r>
                </w:p>
              </w:tc>
            </w:tr>
          </w:tbl>
          <w:p>
            <w:pPr>
              <w:pStyle w:val="6"/>
              <w:suppressLineNumbers w:val="0"/>
              <w:spacing w:before="0" w:beforeAutospacing="0" w:after="0" w:afterAutospacing="0"/>
              <w:ind w:left="0" w:right="0"/>
              <w:rPr>
                <w:rFonts w:hint="default"/>
                <w:color w:val="auto"/>
                <w:szCs w:val="20"/>
                <w:highlight w:val="none"/>
              </w:rPr>
            </w:pPr>
            <w:r>
              <w:rPr>
                <w:rFonts w:hint="eastAsia"/>
                <w:color w:val="auto"/>
                <w:szCs w:val="20"/>
                <w:highlight w:val="none"/>
                <w:lang w:val="en-US" w:eastAsia="zh-CN"/>
              </w:rPr>
              <w:t>5</w:t>
            </w:r>
            <w:r>
              <w:rPr>
                <w:rFonts w:hint="eastAsia"/>
                <w:color w:val="auto"/>
                <w:szCs w:val="20"/>
                <w:highlight w:val="none"/>
              </w:rPr>
              <w:t>、</w:t>
            </w:r>
            <w:r>
              <w:rPr>
                <w:rFonts w:hint="eastAsia"/>
                <w:color w:val="auto"/>
                <w:szCs w:val="20"/>
                <w:highlight w:val="none"/>
                <w:lang w:val="en-US" w:eastAsia="zh-CN"/>
              </w:rPr>
              <w:t>环境</w:t>
            </w:r>
            <w:r>
              <w:rPr>
                <w:rFonts w:hint="eastAsia"/>
                <w:color w:val="auto"/>
                <w:szCs w:val="20"/>
                <w:highlight w:val="none"/>
              </w:rPr>
              <w:t>防护距离</w:t>
            </w:r>
          </w:p>
          <w:p>
            <w:pPr>
              <w:keepNext w:val="0"/>
              <w:keepLines w:val="0"/>
              <w:suppressLineNumbers w:val="0"/>
              <w:adjustRightInd w:val="0"/>
              <w:snapToGrid w:val="0"/>
              <w:spacing w:before="0" w:beforeAutospacing="0" w:after="0" w:afterAutospacing="0"/>
              <w:ind w:left="0" w:right="0" w:firstLine="480"/>
              <w:rPr>
                <w:rFonts w:hint="default"/>
                <w:color w:val="auto"/>
                <w:szCs w:val="24"/>
                <w:highlight w:val="none"/>
              </w:rPr>
            </w:pPr>
            <w:r>
              <w:rPr>
                <w:rFonts w:hint="default"/>
                <w:color w:val="auto"/>
                <w:szCs w:val="24"/>
                <w:highlight w:val="none"/>
              </w:rPr>
              <w:t>1）大气防护距离</w:t>
            </w:r>
          </w:p>
          <w:p>
            <w:pPr>
              <w:keepNext w:val="0"/>
              <w:keepLines w:val="0"/>
              <w:suppressLineNumbers w:val="0"/>
              <w:adjustRightInd w:val="0"/>
              <w:snapToGrid w:val="0"/>
              <w:spacing w:before="0" w:beforeAutospacing="0" w:after="0" w:afterAutospacing="0"/>
              <w:ind w:left="0" w:right="0" w:firstLine="480"/>
              <w:rPr>
                <w:rFonts w:hint="default"/>
                <w:color w:val="auto"/>
                <w:szCs w:val="24"/>
                <w:highlight w:val="none"/>
              </w:rPr>
            </w:pPr>
            <w:r>
              <w:rPr>
                <w:rFonts w:hint="eastAsia"/>
                <w:color w:val="auto"/>
                <w:szCs w:val="24"/>
                <w:highlight w:val="none"/>
                <w:lang w:eastAsia="zh-CN"/>
              </w:rPr>
              <w:t>根据</w:t>
            </w:r>
            <w:r>
              <w:rPr>
                <w:rFonts w:hint="default"/>
                <w:color w:val="auto"/>
                <w:szCs w:val="24"/>
                <w:highlight w:val="none"/>
              </w:rPr>
              <w:t>《环境影响评价技术导则 大气环境》（HJ2.2-2018）规定，对于项目厂界浓度满足大气污染物厂界浓度限值，但厂界外大气污染物短期贡献浓度超过环境质量浓度限值的，应设置大气环境防护距离。</w:t>
            </w:r>
          </w:p>
          <w:p>
            <w:pPr>
              <w:keepNext w:val="0"/>
              <w:keepLines w:val="0"/>
              <w:suppressLineNumbers w:val="0"/>
              <w:adjustRightInd w:val="0"/>
              <w:snapToGrid w:val="0"/>
              <w:spacing w:before="0" w:beforeAutospacing="0" w:after="0" w:afterAutospacing="0"/>
              <w:ind w:left="0" w:right="0" w:firstLine="480"/>
              <w:rPr>
                <w:rFonts w:hint="default"/>
                <w:color w:val="auto"/>
                <w:szCs w:val="24"/>
                <w:highlight w:val="none"/>
                <w:lang w:val="en-US" w:eastAsia="zh-CN"/>
              </w:rPr>
            </w:pPr>
            <w:r>
              <w:rPr>
                <w:rFonts w:hint="default"/>
                <w:color w:val="auto"/>
                <w:szCs w:val="24"/>
                <w:highlight w:val="none"/>
              </w:rPr>
              <w:t>本项目废气污染物均能达标排放。根据AERSCREEN估算模式预测结果，本项目各污染物厂界外短期贡献浓度未超过环境质量浓度限值，厂界浓度满足相应标准要求。</w:t>
            </w:r>
            <w:r>
              <w:rPr>
                <w:rFonts w:hint="default"/>
                <w:color w:val="auto"/>
                <w:szCs w:val="24"/>
                <w:highlight w:val="none"/>
                <w:lang w:val="en-US" w:eastAsia="zh-CN"/>
              </w:rPr>
              <w:t>因此，建设项目不设置大气环境防护区域。</w:t>
            </w:r>
          </w:p>
          <w:p>
            <w:pPr>
              <w:keepNext w:val="0"/>
              <w:keepLines w:val="0"/>
              <w:suppressLineNumbers w:val="0"/>
              <w:adjustRightInd w:val="0"/>
              <w:snapToGrid w:val="0"/>
              <w:spacing w:before="0" w:beforeAutospacing="0" w:after="0" w:afterAutospacing="0"/>
              <w:ind w:left="0" w:right="0" w:firstLine="480"/>
              <w:rPr>
                <w:rFonts w:hint="default"/>
                <w:color w:val="auto"/>
                <w:szCs w:val="24"/>
                <w:highlight w:val="none"/>
              </w:rPr>
            </w:pPr>
            <w:r>
              <w:rPr>
                <w:rFonts w:hint="default"/>
                <w:color w:val="auto"/>
                <w:szCs w:val="24"/>
                <w:highlight w:val="none"/>
              </w:rPr>
              <w:t>2）卫生防护距离</w:t>
            </w:r>
          </w:p>
          <w:p>
            <w:pPr>
              <w:keepNext w:val="0"/>
              <w:keepLines w:val="0"/>
              <w:suppressLineNumbers w:val="0"/>
              <w:adjustRightInd w:val="0"/>
              <w:snapToGrid w:val="0"/>
              <w:spacing w:before="0" w:beforeAutospacing="0" w:after="0" w:afterAutospacing="0"/>
              <w:ind w:left="0" w:right="0" w:firstLine="480"/>
              <w:rPr>
                <w:rFonts w:hint="default"/>
                <w:color w:val="auto"/>
                <w:szCs w:val="24"/>
                <w:highlight w:val="none"/>
              </w:rPr>
            </w:pPr>
            <w:r>
              <w:rPr>
                <w:rFonts w:hint="default"/>
                <w:color w:val="auto"/>
                <w:szCs w:val="24"/>
                <w:highlight w:val="none"/>
              </w:rPr>
              <w:t>根据《大气有害物质无组织排放卫生防护距离推导技术导则》（GB/T 39499-2020）计算，本项目无组织排放源（颗粒物、非甲烷总烃）卫生防护距离初值均小于50m，根据该标准第6.1.1条“卫生防护距离初值小于50m时，级差为50m。如计算初值小于50m，卫生防护距离终值取50m”的规定，确定本项目卫生防护距离为50m（以生产区边界为起算点）。</w:t>
            </w:r>
          </w:p>
          <w:p>
            <w:pPr>
              <w:keepNext w:val="0"/>
              <w:keepLines w:val="0"/>
              <w:suppressLineNumbers w:val="0"/>
              <w:adjustRightInd w:val="0"/>
              <w:snapToGrid w:val="0"/>
              <w:spacing w:before="0" w:beforeAutospacing="0" w:after="0" w:afterAutospacing="0"/>
              <w:ind w:left="0" w:right="0" w:firstLine="480"/>
              <w:rPr>
                <w:rFonts w:hint="default"/>
                <w:color w:val="auto"/>
                <w:szCs w:val="24"/>
                <w:highlight w:val="none"/>
              </w:rPr>
            </w:pPr>
            <w:r>
              <w:rPr>
                <w:rFonts w:hint="default"/>
                <w:color w:val="auto"/>
                <w:szCs w:val="24"/>
                <w:highlight w:val="none"/>
              </w:rPr>
              <w:t>经现场调查，本项目卫生防护距离范围内无居民点、学校、医院等环境敏感目标，满足卫生防护距离要求。建议当地规划部门在本项目卫生防护距离范围内不得规划新建居民住宅、学校、医院等环境敏感建筑。</w:t>
            </w:r>
          </w:p>
          <w:p>
            <w:pPr>
              <w:pStyle w:val="6"/>
              <w:suppressLineNumbers w:val="0"/>
              <w:spacing w:before="0" w:beforeAutospacing="0" w:after="0" w:afterAutospacing="0"/>
              <w:ind w:left="0" w:right="0"/>
              <w:rPr>
                <w:rFonts w:hint="default"/>
                <w:color w:val="auto"/>
                <w:szCs w:val="20"/>
                <w:highlight w:val="none"/>
              </w:rPr>
            </w:pPr>
            <w:r>
              <w:rPr>
                <w:rFonts w:hint="eastAsia"/>
                <w:color w:val="auto"/>
                <w:szCs w:val="20"/>
                <w:highlight w:val="none"/>
                <w:lang w:val="en-US" w:eastAsia="zh-CN"/>
              </w:rPr>
              <w:t>6、</w:t>
            </w:r>
            <w:r>
              <w:rPr>
                <w:rFonts w:hint="eastAsia"/>
                <w:color w:val="auto"/>
                <w:szCs w:val="20"/>
                <w:highlight w:val="none"/>
              </w:rPr>
              <w:t>大气环境影响结论</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rPr>
              <w:t>本项目运营期大气污染物主要为原料破碎工序产生的颗粒物（有组织）以及酿造工序、未收集粉尘、酒糟暂存等产生的无组织废气（颗粒物、非甲烷总烃、氨、硫化氢、臭气浓度）。本项目破碎工序颗粒物采用“集尘罩+布袋除尘器”处理，属于《排污许可证申请与核发技术规范 酒、饮料制造工业》（HJ 1028-2019）附录C推荐的废气治理可行技术，技术成熟可靠，处理效率≥99%，可确保污染物稳定达标排放。项目位于环境空气质量达标区，废气污染物均能实现达标排放，治理措施技术可行，无需设置大气环境防护距离，卫生防护距离满足要求。本项目大气环境影响可以接受，从大气环境角度项目建设可行。</w:t>
            </w:r>
          </w:p>
          <w:p>
            <w:pPr>
              <w:pStyle w:val="5"/>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二、水环境影响分析</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一、废水来源及水质</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本项目运营期废水主要包括生产废水和生活污水，年排水总量约</w:t>
            </w:r>
            <w:r>
              <w:rPr>
                <w:rFonts w:hint="eastAsia"/>
                <w:bCs/>
                <w:color w:val="auto"/>
                <w:szCs w:val="24"/>
                <w:highlight w:val="none"/>
                <w:lang w:val="en-US" w:eastAsia="zh-CN"/>
              </w:rPr>
              <w:t>3036</w:t>
            </w:r>
            <w:r>
              <w:rPr>
                <w:rFonts w:hint="default"/>
                <w:bCs/>
                <w:color w:val="auto"/>
                <w:szCs w:val="24"/>
                <w:highlight w:val="none"/>
              </w:rPr>
              <w:t>m³/a。</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（1）生产废水</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生产废水主要来源于蒸馏工序产生的锅底水和洗锅废水、设备及地面清洗废水、纯水制备产生的浓盐水</w:t>
            </w:r>
            <w:r>
              <w:rPr>
                <w:rFonts w:hint="eastAsia"/>
                <w:bCs/>
                <w:color w:val="auto"/>
                <w:szCs w:val="24"/>
                <w:highlight w:val="none"/>
                <w:lang w:eastAsia="zh-CN"/>
              </w:rPr>
              <w:t>，</w:t>
            </w:r>
            <w:r>
              <w:rPr>
                <w:rFonts w:hint="eastAsia"/>
                <w:bCs/>
                <w:color w:val="auto"/>
                <w:szCs w:val="24"/>
                <w:highlight w:val="none"/>
                <w:lang w:val="en-US" w:eastAsia="zh-CN"/>
              </w:rPr>
              <w:t>葡萄酒生产配料混合、灌装</w:t>
            </w:r>
            <w:r>
              <w:rPr>
                <w:rFonts w:hint="default"/>
                <w:bCs/>
                <w:color w:val="auto"/>
                <w:szCs w:val="24"/>
                <w:highlight w:val="none"/>
              </w:rPr>
              <w:t>等，</w:t>
            </w:r>
            <w:r>
              <w:rPr>
                <w:rFonts w:hint="eastAsia"/>
                <w:bCs/>
                <w:color w:val="auto"/>
                <w:szCs w:val="24"/>
                <w:highlight w:val="none"/>
                <w:lang w:val="en-US" w:eastAsia="zh-CN"/>
              </w:rPr>
              <w:t>废水</w:t>
            </w:r>
            <w:r>
              <w:rPr>
                <w:rFonts w:hint="default"/>
                <w:bCs/>
                <w:color w:val="auto"/>
                <w:szCs w:val="24"/>
                <w:highlight w:val="none"/>
              </w:rPr>
              <w:t>产生量约1500m³/a。主要污染物为COD、BOD₅、SS、氨氮、总氮、总磷、色度等。</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（2）生活污水</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本项目劳动定员80人，年工作300天，生活污水产生量约</w:t>
            </w:r>
            <w:r>
              <w:rPr>
                <w:rFonts w:hint="eastAsia"/>
                <w:bCs/>
                <w:color w:val="auto"/>
                <w:szCs w:val="24"/>
                <w:highlight w:val="none"/>
                <w:lang w:eastAsia="zh-CN"/>
              </w:rPr>
              <w:t>1536</w:t>
            </w:r>
            <w:r>
              <w:rPr>
                <w:rFonts w:hint="default"/>
                <w:bCs/>
                <w:color w:val="auto"/>
                <w:szCs w:val="24"/>
                <w:highlight w:val="none"/>
              </w:rPr>
              <w:t>m³/a。主要污染物为COD、SS、氨氮等。</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二、废水排放去向</w:t>
            </w:r>
          </w:p>
          <w:p>
            <w:pPr>
              <w:pStyle w:val="7"/>
              <w:keepNext w:val="0"/>
              <w:keepLines w:val="0"/>
              <w:suppressLineNumbers w:val="0"/>
              <w:bidi w:val="0"/>
              <w:spacing w:before="0" w:beforeAutospacing="0" w:after="0" w:afterAutospacing="0"/>
              <w:ind w:left="0" w:right="0"/>
              <w:rPr>
                <w:rFonts w:hint="eastAsia"/>
                <w:szCs w:val="20"/>
                <w:lang w:eastAsia="zh-CN"/>
              </w:rPr>
            </w:pPr>
            <w:r>
              <w:rPr>
                <w:rFonts w:hint="default"/>
                <w:szCs w:val="20"/>
              </w:rPr>
              <w:t>本项目废水污水先排到</w:t>
            </w:r>
            <w:r>
              <w:rPr>
                <w:rFonts w:hint="eastAsia"/>
                <w:szCs w:val="20"/>
                <w:lang w:val="en-US" w:eastAsia="zh-CN"/>
              </w:rPr>
              <w:t>厂区污水处理设施</w:t>
            </w:r>
            <w:r>
              <w:rPr>
                <w:rFonts w:hint="default"/>
                <w:szCs w:val="20"/>
              </w:rPr>
              <w:t>，</w:t>
            </w:r>
            <w:r>
              <w:rPr>
                <w:rFonts w:hint="eastAsia"/>
                <w:szCs w:val="20"/>
                <w:lang w:val="en-US" w:eastAsia="zh-CN"/>
              </w:rPr>
              <w:t>处理后</w:t>
            </w:r>
            <w:r>
              <w:rPr>
                <w:rFonts w:hint="default"/>
                <w:szCs w:val="20"/>
              </w:rPr>
              <w:t>排入市政管网</w:t>
            </w:r>
            <w:r>
              <w:rPr>
                <w:rFonts w:hint="eastAsia"/>
                <w:szCs w:val="20"/>
                <w:lang w:eastAsia="zh-CN"/>
              </w:rPr>
              <w:t>。</w:t>
            </w:r>
          </w:p>
          <w:p>
            <w:pPr>
              <w:pStyle w:val="7"/>
              <w:keepNext w:val="0"/>
              <w:keepLines w:val="0"/>
              <w:suppressLineNumbers w:val="0"/>
              <w:bidi w:val="0"/>
              <w:spacing w:before="0" w:beforeAutospacing="0" w:after="0" w:afterAutospacing="0"/>
              <w:ind w:left="0" w:right="0"/>
              <w:rPr>
                <w:rFonts w:hint="eastAsia"/>
                <w:szCs w:val="20"/>
                <w:lang w:val="en-US" w:eastAsia="zh-CN"/>
              </w:rPr>
            </w:pPr>
            <w:r>
              <w:rPr>
                <w:rFonts w:hint="eastAsia"/>
                <w:szCs w:val="20"/>
                <w:lang w:eastAsia="zh-CN"/>
              </w:rPr>
              <w:t>鉴于葡萄酒生产具有季节性极强的特点（每年9-11月为葡萄加工季），该时段废水产生量暴增，且废水中含有大量葡萄皮渣、果梗、籽粒、糖分等有机物，极易酸化发臭。为确保废水得到有效预处理，满足纳管标准，本项目针对葡萄酒生产废水设置独立的预处理系统，配置如</w:t>
            </w:r>
            <w:r>
              <w:rPr>
                <w:rFonts w:hint="eastAsia"/>
                <w:szCs w:val="20"/>
                <w:lang w:val="en-US" w:eastAsia="zh-CN"/>
              </w:rPr>
              <w:t>下：</w:t>
            </w:r>
          </w:p>
          <w:p>
            <w:pPr>
              <w:keepNext w:val="0"/>
              <w:keepLines w:val="0"/>
              <w:numPr>
                <w:ilvl w:val="0"/>
                <w:numId w:val="6"/>
              </w:numPr>
              <w:suppressLineNumbers w:val="0"/>
              <w:spacing w:before="0" w:beforeAutospacing="0" w:after="0" w:afterAutospacing="0"/>
              <w:ind w:left="0" w:leftChars="0" w:right="0" w:firstLine="425" w:firstLineChars="0"/>
              <w:rPr>
                <w:rFonts w:hint="default"/>
                <w:szCs w:val="20"/>
                <w:lang w:val="en-US" w:eastAsia="zh-CN"/>
              </w:rPr>
            </w:pPr>
            <w:r>
              <w:rPr>
                <w:rFonts w:hint="default"/>
                <w:szCs w:val="20"/>
                <w:lang w:val="en-US" w:eastAsia="zh-CN"/>
              </w:rPr>
              <w:t>处理工艺流程</w:t>
            </w:r>
          </w:p>
          <w:p>
            <w:pPr>
              <w:keepNext w:val="0"/>
              <w:keepLines w:val="0"/>
              <w:suppressLineNumbers w:val="0"/>
              <w:spacing w:before="0" w:beforeAutospacing="0" w:after="0" w:afterAutospacing="0"/>
              <w:ind w:left="0" w:right="0"/>
              <w:rPr>
                <w:rFonts w:hint="default"/>
                <w:szCs w:val="20"/>
                <w:lang w:val="en-US" w:eastAsia="zh-CN"/>
              </w:rPr>
            </w:pPr>
            <w:r>
              <w:rPr>
                <w:rFonts w:hint="default"/>
                <w:szCs w:val="20"/>
                <w:lang w:val="en-US" w:eastAsia="zh-CN"/>
              </w:rPr>
              <w:t>细格栅→浓废水收集池 → 调节池（带潜水曝气搅拌+pH在线监测）→ 沉淀池 → 标准化采样井 → 园区污水管网 → 乌苏市污水处理厂。</w:t>
            </w:r>
          </w:p>
          <w:p>
            <w:pPr>
              <w:keepNext w:val="0"/>
              <w:keepLines w:val="0"/>
              <w:numPr>
                <w:ilvl w:val="0"/>
                <w:numId w:val="6"/>
              </w:numPr>
              <w:suppressLineNumbers w:val="0"/>
              <w:spacing w:before="0" w:beforeAutospacing="0" w:after="0" w:afterAutospacing="0"/>
              <w:ind w:left="0" w:leftChars="0" w:right="0" w:firstLine="425" w:firstLineChars="0"/>
              <w:rPr>
                <w:rFonts w:hint="default" w:ascii="Times New Roman" w:hAnsi="Times New Roman" w:cs="Times New Roman"/>
                <w:szCs w:val="20"/>
                <w:lang w:val="en-US" w:eastAsia="zh-CN"/>
              </w:rPr>
            </w:pPr>
            <w:r>
              <w:rPr>
                <w:rFonts w:hint="default" w:ascii="Times New Roman" w:hAnsi="Times New Roman" w:cs="Times New Roman"/>
                <w:szCs w:val="20"/>
                <w:lang w:val="en-US" w:eastAsia="zh-CN"/>
              </w:rPr>
              <w:t>主要构筑物</w:t>
            </w:r>
          </w:p>
          <w:p>
            <w:pPr>
              <w:pStyle w:val="8"/>
              <w:keepNext w:val="0"/>
              <w:keepLines w:val="0"/>
              <w:suppressLineNumbers w:val="0"/>
              <w:spacing w:before="0" w:beforeAutospacing="0" w:after="0" w:afterAutospacing="0"/>
              <w:ind w:left="0" w:right="0"/>
              <w:jc w:val="center"/>
              <w:rPr>
                <w:rFonts w:hint="eastAsia" w:eastAsia="宋体"/>
                <w:szCs w:val="20"/>
                <w:lang w:eastAsia="zh-CN"/>
              </w:rPr>
            </w:pPr>
            <w:r>
              <w:rPr>
                <w:rFonts w:hint="default"/>
                <w:szCs w:val="20"/>
              </w:rPr>
              <w:t xml:space="preserve">表 </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4</w:t>
            </w:r>
            <w:r>
              <w:rPr>
                <w:rFonts w:hint="default"/>
                <w:szCs w:val="20"/>
              </w:rPr>
              <w:fldChar w:fldCharType="end"/>
            </w:r>
            <w:r>
              <w:rPr>
                <w:rFonts w:hint="eastAsia"/>
                <w:szCs w:val="20"/>
                <w:lang w:eastAsia="zh-CN"/>
              </w:rPr>
              <w:t>-</w:t>
            </w:r>
            <w:r>
              <w:rPr>
                <w:rFonts w:hint="eastAsia"/>
                <w:szCs w:val="20"/>
                <w:lang w:val="en-US" w:eastAsia="zh-CN"/>
              </w:rPr>
              <w:t>4</w:t>
            </w:r>
            <w:r>
              <w:rPr>
                <w:rFonts w:hint="eastAsia"/>
                <w:szCs w:val="20"/>
                <w:lang w:eastAsia="zh-CN"/>
              </w:rPr>
              <w:t>污水站主要构筑物</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7"/>
              <w:gridCol w:w="2778"/>
              <w:gridCol w:w="2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构筑物名称</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有效容积</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设计参数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浓废水收集池</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≥30 m³</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停留时间≥24h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调节池</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≥80 m³</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停留时间≥48h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沉淀池</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≥20 m³</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表面负荷≤1.0 m³/(m²·h)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事故应急池</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100 m³</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重点防渗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标准化采样井</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位于总排口前</w:t>
                  </w:r>
                </w:p>
              </w:tc>
              <w:tc>
                <w:tcPr>
                  <w:tcW w:w="2781" w:type="dxa"/>
                </w:tcPr>
                <w:p>
                  <w:pPr>
                    <w:pStyle w:val="28"/>
                    <w:keepNext w:val="0"/>
                    <w:keepLines w:val="0"/>
                    <w:suppressLineNumbers w:val="0"/>
                    <w:bidi w:val="0"/>
                    <w:spacing w:before="0" w:beforeAutospacing="0" w:after="0" w:afterAutospacing="0"/>
                    <w:ind w:left="0" w:right="0"/>
                    <w:rPr>
                      <w:rFonts w:hint="default"/>
                      <w:szCs w:val="20"/>
                      <w:lang w:val="en-US" w:eastAsia="zh-CN"/>
                    </w:rPr>
                  </w:pPr>
                  <w:r>
                    <w:rPr>
                      <w:rFonts w:hint="default"/>
                      <w:szCs w:val="20"/>
                      <w:lang w:val="en-US" w:eastAsia="zh-CN"/>
                    </w:rPr>
                    <w:t>符合HJ/T 91要求</w:t>
                  </w:r>
                </w:p>
              </w:tc>
            </w:tr>
          </w:tbl>
          <w:p>
            <w:pPr>
              <w:keepNext w:val="0"/>
              <w:keepLines w:val="0"/>
              <w:numPr>
                <w:ilvl w:val="0"/>
                <w:numId w:val="6"/>
              </w:numPr>
              <w:suppressLineNumbers w:val="0"/>
              <w:spacing w:before="0" w:beforeAutospacing="0" w:after="0" w:afterAutospacing="0"/>
              <w:ind w:left="0" w:leftChars="0" w:right="0" w:firstLine="425" w:firstLineChars="0"/>
              <w:rPr>
                <w:rFonts w:hint="default" w:ascii="Times New Roman" w:hAnsi="Times New Roman" w:cs="Times New Roman"/>
                <w:szCs w:val="20"/>
                <w:lang w:val="en-US" w:eastAsia="zh-CN"/>
              </w:rPr>
            </w:pPr>
            <w:r>
              <w:rPr>
                <w:rFonts w:hint="default" w:ascii="Times New Roman" w:hAnsi="Times New Roman" w:cs="Times New Roman"/>
                <w:szCs w:val="20"/>
                <w:lang w:val="en-US" w:eastAsia="zh-CN"/>
              </w:rPr>
              <w:t>主要设备</w:t>
            </w:r>
          </w:p>
          <w:p>
            <w:pPr>
              <w:pStyle w:val="8"/>
              <w:keepNext w:val="0"/>
              <w:keepLines w:val="0"/>
              <w:suppressLineNumbers w:val="0"/>
              <w:spacing w:before="0" w:beforeAutospacing="0" w:after="0" w:afterAutospacing="0"/>
              <w:ind w:left="0" w:right="0"/>
              <w:rPr>
                <w:rFonts w:hint="eastAsia" w:eastAsia="宋体"/>
                <w:szCs w:val="20"/>
                <w:lang w:eastAsia="zh-CN"/>
              </w:rPr>
            </w:pPr>
            <w:r>
              <w:rPr>
                <w:rFonts w:hint="default"/>
                <w:szCs w:val="20"/>
              </w:rPr>
              <w:t xml:space="preserve">表 </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4</w:t>
            </w:r>
            <w:r>
              <w:rPr>
                <w:rFonts w:hint="default"/>
                <w:szCs w:val="20"/>
              </w:rPr>
              <w:fldChar w:fldCharType="end"/>
            </w:r>
            <w:r>
              <w:rPr>
                <w:rFonts w:hint="eastAsia"/>
                <w:szCs w:val="20"/>
                <w:lang w:eastAsia="zh-CN"/>
              </w:rPr>
              <w:t>-</w:t>
            </w:r>
            <w:r>
              <w:rPr>
                <w:rFonts w:hint="eastAsia"/>
                <w:szCs w:val="20"/>
                <w:lang w:val="en-US" w:eastAsia="zh-CN"/>
              </w:rPr>
              <w:t>5</w:t>
            </w:r>
            <w:r>
              <w:rPr>
                <w:rFonts w:hint="eastAsia"/>
                <w:szCs w:val="20"/>
                <w:lang w:eastAsia="zh-CN"/>
              </w:rPr>
              <w:t>污水站主要设备</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7"/>
              <w:gridCol w:w="3138"/>
              <w:gridCol w:w="1451"/>
              <w:gridCol w:w="2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设备名称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规格要求</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功能说明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细格栅</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处理能力≥5 m3/h，过滤精度0.25～0.5mm</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1台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去除葡萄皮渣等大颗粒悬浮物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潜水曝气搅拌装置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功率≥2.2 kW</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2套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调节池均质，防止酸化发臭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pH在线监测仪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测量范围0-14，精度±0.1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1套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实时监控废水pH值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提升泵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流量≥5 m3/h，扬程≥15m</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2台（1用1备）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8"/>
                    <w:keepNext w:val="0"/>
                    <w:keepLines w:val="0"/>
                    <w:suppressLineNumbers w:val="0"/>
                    <w:bidi w:val="0"/>
                    <w:spacing w:before="0" w:beforeAutospacing="0" w:after="0" w:afterAutospacing="0"/>
                    <w:ind w:left="0" w:right="0"/>
                    <w:rPr>
                      <w:rFonts w:hint="default"/>
                      <w:szCs w:val="20"/>
                    </w:rPr>
                  </w:pPr>
                  <w:r>
                    <w:rPr>
                      <w:rFonts w:hint="default"/>
                      <w:szCs w:val="20"/>
                    </w:rPr>
                    <w:t>提升废水至后续单元</w:t>
                  </w:r>
                </w:p>
              </w:tc>
            </w:tr>
          </w:tbl>
          <w:p>
            <w:pPr>
              <w:pStyle w:val="2"/>
              <w:keepNext w:val="0"/>
              <w:keepLines w:val="0"/>
              <w:suppressLineNumbers w:val="0"/>
              <w:spacing w:before="0" w:beforeAutospacing="0" w:after="0" w:afterAutospacing="0"/>
              <w:ind w:left="0" w:leftChars="0" w:right="0" w:firstLine="0" w:firstLineChars="0"/>
              <w:rPr>
                <w:rFonts w:hint="default"/>
                <w:szCs w:val="20"/>
                <w:lang w:val="en-US" w:eastAsia="zh-CN"/>
              </w:rPr>
            </w:pPr>
          </w:p>
          <w:p>
            <w:pPr>
              <w:keepNext w:val="0"/>
              <w:keepLines w:val="0"/>
              <w:numPr>
                <w:ilvl w:val="0"/>
                <w:numId w:val="6"/>
              </w:numPr>
              <w:suppressLineNumbers w:val="0"/>
              <w:spacing w:before="0" w:beforeAutospacing="0" w:after="0" w:afterAutospacing="0"/>
              <w:ind w:left="0" w:leftChars="0" w:right="0" w:firstLine="425" w:firstLineChars="0"/>
              <w:rPr>
                <w:rFonts w:hint="default"/>
                <w:bCs/>
                <w:color w:val="auto"/>
                <w:szCs w:val="24"/>
                <w:highlight w:val="none"/>
              </w:rPr>
            </w:pPr>
            <w:r>
              <w:rPr>
                <w:rFonts w:hint="default" w:ascii="Times New Roman" w:hAnsi="Times New Roman" w:cs="Times New Roman"/>
                <w:szCs w:val="20"/>
                <w:lang w:val="en-US" w:eastAsia="zh-CN"/>
              </w:rPr>
              <w:t>废水排放去向</w:t>
            </w:r>
          </w:p>
          <w:p>
            <w:pPr>
              <w:pStyle w:val="7"/>
              <w:keepNext w:val="0"/>
              <w:keepLines w:val="0"/>
              <w:suppressLineNumbers w:val="0"/>
              <w:bidi w:val="0"/>
              <w:spacing w:before="0" w:beforeAutospacing="0" w:after="0" w:afterAutospacing="0"/>
              <w:ind w:left="0" w:right="0"/>
              <w:rPr>
                <w:rFonts w:hint="default"/>
                <w:bCs/>
                <w:color w:val="auto"/>
                <w:szCs w:val="24"/>
                <w:highlight w:val="none"/>
              </w:rPr>
            </w:pPr>
            <w:r>
              <w:rPr>
                <w:rFonts w:hint="default"/>
                <w:bCs/>
                <w:color w:val="auto"/>
                <w:szCs w:val="24"/>
                <w:highlight w:val="none"/>
              </w:rPr>
              <w:t>生产废水经上述预处理系统处理后，通过园区污水管网排入乌苏市污水处理厂进一步处理，不直接排入地表水体。葡萄酒生产废水经预处理后出水水质可满足《酒类制造业水污染物排放标准》（GB 19821-2025）间接排放限值要求。</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三、废水达标排放分析</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（1）执行标准</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本项目废水为间接排放，执行《酒类制造业水污染物排放标准》（GB 19821-2025）表1间接排放限值。</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（2）监测结果</w:t>
            </w:r>
          </w:p>
          <w:p>
            <w:pPr>
              <w:keepNext w:val="0"/>
              <w:keepLines w:val="0"/>
              <w:suppressLineNumbers w:val="0"/>
              <w:spacing w:before="0" w:beforeAutospacing="0" w:after="0" w:afterAutospacing="0"/>
              <w:ind w:left="0" w:right="0" w:firstLine="480"/>
              <w:rPr>
                <w:rFonts w:hint="default"/>
                <w:bCs/>
                <w:color w:val="auto"/>
                <w:szCs w:val="24"/>
                <w:highlight w:val="none"/>
              </w:rPr>
            </w:pPr>
            <w:r>
              <w:rPr>
                <w:rFonts w:hint="default"/>
                <w:bCs/>
                <w:color w:val="auto"/>
                <w:szCs w:val="24"/>
                <w:highlight w:val="none"/>
              </w:rPr>
              <w:t>根据本项目竣工环境保护验收监测报告（报告编号：DDXG2604013Y），废水总排口（DW001）监测结果如下：</w:t>
            </w:r>
          </w:p>
          <w:p>
            <w:pPr>
              <w:pStyle w:val="8"/>
              <w:keepNext w:val="0"/>
              <w:keepLines w:val="0"/>
              <w:suppressLineNumbers w:val="0"/>
              <w:spacing w:before="0" w:beforeAutospacing="0" w:after="0" w:afterAutospacing="0"/>
              <w:ind w:left="0" w:right="0"/>
              <w:rPr>
                <w:rFonts w:hint="eastAsia" w:eastAsia="宋体"/>
                <w:szCs w:val="20"/>
                <w:lang w:eastAsia="zh-CN"/>
              </w:rPr>
            </w:pPr>
            <w:r>
              <w:rPr>
                <w:rFonts w:hint="default"/>
                <w:szCs w:val="20"/>
              </w:rPr>
              <w:t xml:space="preserve">表 </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4</w:t>
            </w:r>
            <w:r>
              <w:rPr>
                <w:rFonts w:hint="default"/>
                <w:szCs w:val="20"/>
              </w:rPr>
              <w:fldChar w:fldCharType="end"/>
            </w:r>
            <w:r>
              <w:rPr>
                <w:rFonts w:hint="eastAsia"/>
                <w:szCs w:val="20"/>
                <w:lang w:eastAsia="zh-CN"/>
              </w:rPr>
              <w:t>-</w:t>
            </w:r>
            <w:r>
              <w:rPr>
                <w:rFonts w:hint="eastAsia"/>
                <w:szCs w:val="20"/>
                <w:lang w:val="en-US" w:eastAsia="zh-CN"/>
              </w:rPr>
              <w:t>6</w:t>
            </w:r>
            <w:r>
              <w:rPr>
                <w:rFonts w:hint="eastAsia"/>
                <w:szCs w:val="20"/>
                <w:lang w:eastAsia="zh-CN"/>
              </w:rPr>
              <w:t>废水监测结果</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5"/>
              <w:gridCol w:w="1072"/>
              <w:gridCol w:w="1628"/>
              <w:gridCol w:w="2010"/>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1"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监测因子</w:t>
                  </w:r>
                </w:p>
              </w:tc>
              <w:tc>
                <w:tcPr>
                  <w:tcW w:w="64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单位</w:t>
                  </w:r>
                </w:p>
              </w:tc>
              <w:tc>
                <w:tcPr>
                  <w:tcW w:w="9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2026.04.16监测结果</w:t>
                  </w:r>
                </w:p>
              </w:tc>
              <w:tc>
                <w:tcPr>
                  <w:tcW w:w="120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2026.04.17监测结果</w:t>
                  </w:r>
                </w:p>
              </w:tc>
              <w:tc>
                <w:tcPr>
                  <w:tcW w:w="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pH值</w:t>
                  </w:r>
                </w:p>
              </w:tc>
              <w:tc>
                <w:tcPr>
                  <w:tcW w:w="64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无量纲</w:t>
                  </w:r>
                </w:p>
              </w:tc>
              <w:tc>
                <w:tcPr>
                  <w:tcW w:w="9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7.8～8.2</w:t>
                  </w:r>
                </w:p>
              </w:tc>
              <w:tc>
                <w:tcPr>
                  <w:tcW w:w="120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8.1～8.2</w:t>
                  </w:r>
                </w:p>
              </w:tc>
              <w:tc>
                <w:tcPr>
                  <w:tcW w:w="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化学需氧量（COD）</w:t>
                  </w:r>
                </w:p>
              </w:tc>
              <w:tc>
                <w:tcPr>
                  <w:tcW w:w="64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mg/L</w:t>
                  </w:r>
                </w:p>
              </w:tc>
              <w:tc>
                <w:tcPr>
                  <w:tcW w:w="9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29.25</w:t>
                  </w:r>
                </w:p>
              </w:tc>
              <w:tc>
                <w:tcPr>
                  <w:tcW w:w="120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29.25</w:t>
                  </w:r>
                </w:p>
              </w:tc>
              <w:tc>
                <w:tcPr>
                  <w:tcW w:w="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Theme="minorEastAsia"/>
                      <w:b w:val="0"/>
                      <w:color w:val="000000"/>
                      <w:szCs w:val="20"/>
                      <w:lang w:val="en-US" w:eastAsia="zh-CN"/>
                    </w:rPr>
                  </w:pPr>
                  <w:r>
                    <w:rPr>
                      <w:rFonts w:hint="eastAsia"/>
                      <w:b w:val="0"/>
                      <w:color w:val="000000"/>
                      <w:szCs w:val="20"/>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悬浮物（SS）</w:t>
                  </w:r>
                </w:p>
              </w:tc>
              <w:tc>
                <w:tcPr>
                  <w:tcW w:w="64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mg/L</w:t>
                  </w:r>
                </w:p>
              </w:tc>
              <w:tc>
                <w:tcPr>
                  <w:tcW w:w="9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15.5</w:t>
                  </w:r>
                </w:p>
              </w:tc>
              <w:tc>
                <w:tcPr>
                  <w:tcW w:w="120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17.5</w:t>
                  </w:r>
                </w:p>
              </w:tc>
              <w:tc>
                <w:tcPr>
                  <w:tcW w:w="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Theme="minorEastAsia"/>
                      <w:b w:val="0"/>
                      <w:color w:val="000000"/>
                      <w:szCs w:val="20"/>
                      <w:lang w:val="en-US" w:eastAsia="zh-CN"/>
                    </w:rPr>
                  </w:pPr>
                  <w:r>
                    <w:rPr>
                      <w:rFonts w:hint="eastAsia"/>
                      <w:b w:val="0"/>
                      <w:color w:val="000000"/>
                      <w:szCs w:val="20"/>
                      <w:lang w:val="en-US" w:eastAsia="zh-CN"/>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五日生化需氧量（BOD</w:t>
                  </w:r>
                  <w:r>
                    <w:rPr>
                      <w:rFonts w:hint="default"/>
                      <w:b w:val="0"/>
                      <w:color w:val="000000"/>
                      <w:szCs w:val="20"/>
                      <w:vertAlign w:val="subscript"/>
                    </w:rPr>
                    <w:t>5</w:t>
                  </w:r>
                  <w:r>
                    <w:rPr>
                      <w:rFonts w:hint="default"/>
                      <w:b w:val="0"/>
                      <w:color w:val="000000"/>
                      <w:szCs w:val="20"/>
                    </w:rPr>
                    <w:t>）</w:t>
                  </w:r>
                </w:p>
              </w:tc>
              <w:tc>
                <w:tcPr>
                  <w:tcW w:w="64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mg/L</w:t>
                  </w:r>
                </w:p>
              </w:tc>
              <w:tc>
                <w:tcPr>
                  <w:tcW w:w="9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7.9</w:t>
                  </w:r>
                </w:p>
              </w:tc>
              <w:tc>
                <w:tcPr>
                  <w:tcW w:w="120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7.975</w:t>
                  </w:r>
                </w:p>
              </w:tc>
              <w:tc>
                <w:tcPr>
                  <w:tcW w:w="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Theme="minorEastAsia"/>
                      <w:b w:val="0"/>
                      <w:color w:val="000000"/>
                      <w:szCs w:val="20"/>
                      <w:lang w:val="en-US" w:eastAsia="zh-CN"/>
                    </w:rPr>
                  </w:pPr>
                  <w:r>
                    <w:rPr>
                      <w:rFonts w:hint="eastAsia"/>
                      <w:b w:val="0"/>
                      <w:color w:val="000000"/>
                      <w:szCs w:val="20"/>
                      <w:lang w:val="en-US" w:eastAsia="zh-CN"/>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氨氮（NH</w:t>
                  </w:r>
                  <w:r>
                    <w:rPr>
                      <w:rFonts w:hint="default"/>
                      <w:b w:val="0"/>
                      <w:color w:val="000000"/>
                      <w:szCs w:val="20"/>
                      <w:vertAlign w:val="subscript"/>
                    </w:rPr>
                    <w:t>3</w:t>
                  </w:r>
                  <w:r>
                    <w:rPr>
                      <w:rFonts w:hint="default"/>
                      <w:b w:val="0"/>
                      <w:color w:val="000000"/>
                      <w:szCs w:val="20"/>
                    </w:rPr>
                    <w:t>-N）</w:t>
                  </w:r>
                </w:p>
              </w:tc>
              <w:tc>
                <w:tcPr>
                  <w:tcW w:w="64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mg/L</w:t>
                  </w:r>
                </w:p>
              </w:tc>
              <w:tc>
                <w:tcPr>
                  <w:tcW w:w="9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0.427</w:t>
                  </w:r>
                </w:p>
              </w:tc>
              <w:tc>
                <w:tcPr>
                  <w:tcW w:w="120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0.451</w:t>
                  </w:r>
                </w:p>
              </w:tc>
              <w:tc>
                <w:tcPr>
                  <w:tcW w:w="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Theme="minorEastAsia"/>
                      <w:b w:val="0"/>
                      <w:color w:val="000000"/>
                      <w:szCs w:val="20"/>
                      <w:lang w:val="en-US" w:eastAsia="zh-CN"/>
                    </w:rPr>
                  </w:pPr>
                  <w:r>
                    <w:rPr>
                      <w:rFonts w:hint="eastAsia"/>
                      <w:b w:val="0"/>
                      <w:color w:val="000000"/>
                      <w:szCs w:val="20"/>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总磷（TP）</w:t>
                  </w:r>
                </w:p>
              </w:tc>
              <w:tc>
                <w:tcPr>
                  <w:tcW w:w="64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mg/L</w:t>
                  </w:r>
                </w:p>
              </w:tc>
              <w:tc>
                <w:tcPr>
                  <w:tcW w:w="9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0.13</w:t>
                  </w:r>
                </w:p>
              </w:tc>
              <w:tc>
                <w:tcPr>
                  <w:tcW w:w="120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0.12</w:t>
                  </w:r>
                </w:p>
              </w:tc>
              <w:tc>
                <w:tcPr>
                  <w:tcW w:w="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Theme="minorEastAsia"/>
                      <w:b w:val="0"/>
                      <w:color w:val="000000"/>
                      <w:szCs w:val="20"/>
                      <w:lang w:val="en-US" w:eastAsia="zh-CN"/>
                    </w:rPr>
                  </w:pPr>
                  <w:r>
                    <w:rPr>
                      <w:rFonts w:hint="eastAsia"/>
                      <w:b w:val="0"/>
                      <w:color w:val="000000"/>
                      <w:szCs w:val="20"/>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总氮（TN）</w:t>
                  </w:r>
                </w:p>
              </w:tc>
              <w:tc>
                <w:tcPr>
                  <w:tcW w:w="64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mg/L</w:t>
                  </w:r>
                </w:p>
              </w:tc>
              <w:tc>
                <w:tcPr>
                  <w:tcW w:w="9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2.04</w:t>
                  </w:r>
                </w:p>
              </w:tc>
              <w:tc>
                <w:tcPr>
                  <w:tcW w:w="120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2.06</w:t>
                  </w:r>
                </w:p>
              </w:tc>
              <w:tc>
                <w:tcPr>
                  <w:tcW w:w="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Theme="minorEastAsia"/>
                      <w:b w:val="0"/>
                      <w:color w:val="000000"/>
                      <w:szCs w:val="20"/>
                      <w:lang w:val="en-US" w:eastAsia="zh-CN"/>
                    </w:rPr>
                  </w:pPr>
                  <w:r>
                    <w:rPr>
                      <w:rFonts w:hint="eastAsia"/>
                      <w:b w:val="0"/>
                      <w:color w:val="000000"/>
                      <w:szCs w:val="20"/>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色度</w:t>
                  </w:r>
                </w:p>
              </w:tc>
              <w:tc>
                <w:tcPr>
                  <w:tcW w:w="64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倍</w:t>
                  </w:r>
                </w:p>
              </w:tc>
              <w:tc>
                <w:tcPr>
                  <w:tcW w:w="9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&lt;2</w:t>
                  </w:r>
                </w:p>
              </w:tc>
              <w:tc>
                <w:tcPr>
                  <w:tcW w:w="120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&lt;2</w:t>
                  </w:r>
                </w:p>
              </w:tc>
              <w:tc>
                <w:tcPr>
                  <w:tcW w:w="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Theme="minorEastAsia"/>
                      <w:b w:val="0"/>
                      <w:color w:val="000000"/>
                      <w:szCs w:val="20"/>
                      <w:lang w:val="en-US" w:eastAsia="zh-CN"/>
                    </w:rPr>
                  </w:pPr>
                  <w:r>
                    <w:rPr>
                      <w:rFonts w:hint="eastAsia"/>
                      <w:b w:val="0"/>
                      <w:color w:val="000000"/>
                      <w:szCs w:val="20"/>
                      <w:lang w:val="en-US" w:eastAsia="zh-CN"/>
                    </w:rPr>
                    <w:t>100</w:t>
                  </w:r>
                </w:p>
              </w:tc>
            </w:tr>
          </w:tbl>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eastAsia="zh-CN"/>
              </w:rPr>
            </w:pPr>
            <w:r>
              <w:rPr>
                <w:rFonts w:hint="default" w:ascii="Times New Roman" w:hAnsi="Times New Roman" w:eastAsia="宋体" w:cs="Times New Roman"/>
                <w:szCs w:val="20"/>
              </w:rPr>
              <w:t>各监测因子日均值均满足《酒类制造业水污染物排放标准》（GB 19821-2025）间接排放限值要求，废水可达标排放</w:t>
            </w:r>
            <w:r>
              <w:rPr>
                <w:rFonts w:hint="eastAsia" w:ascii="Times New Roman" w:hAnsi="Times New Roman" w:eastAsia="宋体" w:cs="Times New Roman"/>
                <w:szCs w:val="20"/>
                <w:lang w:eastAsia="zh-CN"/>
              </w:rPr>
              <w:t>。</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（3）单位产品基准排水量</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本项目排水量</w:t>
            </w:r>
            <w:r>
              <w:rPr>
                <w:rFonts w:hint="eastAsia" w:cs="Times New Roman"/>
                <w:szCs w:val="20"/>
                <w:lang w:val="en-US" w:eastAsia="zh-CN"/>
              </w:rPr>
              <w:t>1500</w:t>
            </w:r>
            <w:r>
              <w:rPr>
                <w:rFonts w:hint="eastAsia" w:ascii="Times New Roman" w:hAnsi="Times New Roman" w:eastAsia="宋体" w:cs="Times New Roman"/>
                <w:szCs w:val="20"/>
                <w:lang w:val="en-US" w:eastAsia="zh-CN"/>
              </w:rPr>
              <w:t>m³/a</w:t>
            </w:r>
            <w:r>
              <w:rPr>
                <w:rFonts w:hint="eastAsia" w:cs="Times New Roman"/>
                <w:szCs w:val="20"/>
                <w:lang w:val="en-US" w:eastAsia="zh-CN"/>
              </w:rPr>
              <w:t>。</w:t>
            </w:r>
            <w:r>
              <w:rPr>
                <w:rFonts w:hint="eastAsia" w:ascii="Times New Roman" w:hAnsi="Times New Roman" w:eastAsia="宋体" w:cs="Times New Roman"/>
                <w:szCs w:val="20"/>
                <w:lang w:val="en-US" w:eastAsia="zh-CN"/>
              </w:rPr>
              <w:t>白酒产量3000</w:t>
            </w:r>
            <w:r>
              <w:rPr>
                <w:rFonts w:hint="eastAsia" w:cs="Times New Roman"/>
                <w:szCs w:val="20"/>
                <w:lang w:val="en-US" w:eastAsia="zh-CN"/>
              </w:rPr>
              <w:t>吨，</w:t>
            </w:r>
            <w:r>
              <w:rPr>
                <w:rFonts w:hint="eastAsia" w:ascii="Times New Roman" w:hAnsi="Times New Roman" w:eastAsia="宋体" w:cs="Times New Roman"/>
                <w:kern w:val="2"/>
                <w:sz w:val="24"/>
                <w:szCs w:val="20"/>
                <w:lang w:val="en-US" w:eastAsia="zh-CN" w:bidi="ar-SA"/>
              </w:rPr>
              <w:t>排水量约</w:t>
            </w:r>
            <w:r>
              <w:rPr>
                <w:rFonts w:hint="eastAsia" w:cs="Times New Roman"/>
                <w:kern w:val="2"/>
                <w:sz w:val="24"/>
                <w:szCs w:val="20"/>
                <w:lang w:val="en-US" w:eastAsia="zh-CN" w:bidi="ar-SA"/>
              </w:rPr>
              <w:t>1470</w:t>
            </w:r>
            <w:r>
              <w:rPr>
                <w:rFonts w:hint="eastAsia" w:ascii="Times New Roman" w:hAnsi="Times New Roman" w:eastAsia="宋体" w:cs="Times New Roman"/>
                <w:kern w:val="2"/>
                <w:sz w:val="24"/>
                <w:szCs w:val="20"/>
                <w:lang w:val="en-US" w:eastAsia="zh-CN" w:bidi="ar-SA"/>
              </w:rPr>
              <w:t>m³/a，单位产品基准排水量约</w:t>
            </w:r>
            <w:r>
              <w:rPr>
                <w:rFonts w:hint="eastAsia" w:cs="Times New Roman"/>
                <w:kern w:val="2"/>
                <w:sz w:val="24"/>
                <w:szCs w:val="20"/>
                <w:lang w:val="en-US" w:eastAsia="zh-CN" w:bidi="ar-SA"/>
              </w:rPr>
              <w:t>0.49</w:t>
            </w:r>
            <w:r>
              <w:rPr>
                <w:rFonts w:hint="eastAsia" w:ascii="Times New Roman" w:hAnsi="Times New Roman" w:eastAsia="宋体" w:cs="Times New Roman"/>
                <w:kern w:val="2"/>
                <w:sz w:val="24"/>
                <w:szCs w:val="20"/>
                <w:lang w:val="en-US" w:eastAsia="zh-CN" w:bidi="ar-SA"/>
              </w:rPr>
              <w:t>m³/kL，满足GB 19821-2025中白酒制造限值（20m³/kL）要求；</w:t>
            </w:r>
            <w:r>
              <w:rPr>
                <w:rFonts w:hint="eastAsia" w:cs="Times New Roman"/>
                <w:szCs w:val="20"/>
                <w:lang w:val="en-US" w:eastAsia="zh-CN"/>
              </w:rPr>
              <w:t>葡萄酒500吨</w:t>
            </w:r>
            <w:r>
              <w:rPr>
                <w:rFonts w:hint="eastAsia" w:ascii="Times New Roman" w:hAnsi="Times New Roman" w:eastAsia="宋体" w:cs="Times New Roman"/>
                <w:szCs w:val="20"/>
                <w:lang w:val="en-US" w:eastAsia="zh-CN"/>
              </w:rPr>
              <w:t>，</w:t>
            </w:r>
            <w:r>
              <w:rPr>
                <w:rFonts w:hint="eastAsia" w:ascii="Times New Roman" w:hAnsi="Times New Roman" w:eastAsia="宋体" w:cs="Times New Roman"/>
                <w:kern w:val="2"/>
                <w:sz w:val="24"/>
                <w:szCs w:val="20"/>
                <w:lang w:val="en-US" w:eastAsia="zh-CN" w:bidi="ar-SA"/>
              </w:rPr>
              <w:t>排水量约</w:t>
            </w:r>
            <w:r>
              <w:rPr>
                <w:rFonts w:hint="eastAsia" w:cs="Times New Roman"/>
                <w:kern w:val="2"/>
                <w:sz w:val="24"/>
                <w:szCs w:val="20"/>
                <w:lang w:val="en-US" w:eastAsia="zh-CN" w:bidi="ar-SA"/>
              </w:rPr>
              <w:t>30</w:t>
            </w:r>
            <w:r>
              <w:rPr>
                <w:rFonts w:hint="eastAsia" w:ascii="Times New Roman" w:hAnsi="Times New Roman" w:eastAsia="宋体" w:cs="Times New Roman"/>
                <w:kern w:val="2"/>
                <w:sz w:val="24"/>
                <w:szCs w:val="20"/>
                <w:lang w:val="en-US" w:eastAsia="zh-CN" w:bidi="ar-SA"/>
              </w:rPr>
              <w:t>m³/a，单位产品基准排水量约</w:t>
            </w:r>
            <w:r>
              <w:rPr>
                <w:rFonts w:hint="eastAsia" w:cs="Times New Roman"/>
                <w:kern w:val="2"/>
                <w:sz w:val="24"/>
                <w:szCs w:val="20"/>
                <w:lang w:val="en-US" w:eastAsia="zh-CN" w:bidi="ar-SA"/>
              </w:rPr>
              <w:t>0.06</w:t>
            </w:r>
            <w:r>
              <w:rPr>
                <w:rFonts w:hint="eastAsia" w:ascii="Times New Roman" w:hAnsi="Times New Roman" w:eastAsia="宋体" w:cs="Times New Roman"/>
                <w:kern w:val="2"/>
                <w:sz w:val="24"/>
                <w:szCs w:val="20"/>
                <w:lang w:val="en-US" w:eastAsia="zh-CN" w:bidi="ar-SA"/>
              </w:rPr>
              <w:t>m³/kL，满足GB 19821-2025中葡萄酒制造限值（</w:t>
            </w:r>
            <w:r>
              <w:rPr>
                <w:rFonts w:hint="eastAsia" w:cs="Times New Roman"/>
                <w:kern w:val="2"/>
                <w:sz w:val="24"/>
                <w:szCs w:val="20"/>
                <w:lang w:val="en-US" w:eastAsia="zh-CN" w:bidi="ar-SA"/>
              </w:rPr>
              <w:t>5</w:t>
            </w:r>
            <w:r>
              <w:rPr>
                <w:rFonts w:hint="eastAsia" w:ascii="Times New Roman" w:hAnsi="Times New Roman" w:eastAsia="宋体" w:cs="Times New Roman"/>
                <w:kern w:val="2"/>
                <w:sz w:val="24"/>
                <w:szCs w:val="20"/>
                <w:lang w:val="en-US" w:eastAsia="zh-CN" w:bidi="ar-SA"/>
              </w:rPr>
              <w:t>m³/kL）要求</w:t>
            </w:r>
            <w:r>
              <w:rPr>
                <w:rFonts w:hint="eastAsia" w:ascii="Times New Roman" w:hAnsi="Times New Roman" w:eastAsia="宋体" w:cs="Times New Roman"/>
                <w:szCs w:val="20"/>
                <w:lang w:val="en-US" w:eastAsia="zh-CN"/>
              </w:rPr>
              <w:t>。</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四、依托乌苏市污水处理厂可行性分析</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（1）污水处理厂概况</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乌苏市净水源污水处理有限公司承担着全市生活污水的处理任务，每天处理能力为4.5万吨；目前平均每天处理水量为2万吨左右。污水处理采用“预处理+A²/O+深度处理”工艺，出水水质执行《城镇污水处理厂污染物排放标准》（GB 18918-2002）一级A标准。</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（2）收水范围</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本项目位于乌苏市物流园区内，属于乌苏市污水处理厂收水范围内，园区污水管网已铺设到位。</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（3）水量纳管可行性</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本项目废水排放量约</w:t>
            </w:r>
            <w:r>
              <w:rPr>
                <w:rFonts w:hint="eastAsia" w:cs="Times New Roman"/>
                <w:szCs w:val="20"/>
                <w:lang w:val="en-US" w:eastAsia="zh-CN"/>
              </w:rPr>
              <w:t>55</w:t>
            </w:r>
            <w:r>
              <w:rPr>
                <w:rFonts w:hint="eastAsia" w:ascii="Times New Roman" w:hAnsi="Times New Roman" w:eastAsia="宋体" w:cs="Times New Roman"/>
                <w:szCs w:val="20"/>
                <w:lang w:val="en-US" w:eastAsia="zh-CN"/>
              </w:rPr>
              <w:t>m³/d，占乌苏市污水处理厂处理能力（4.5万t/d）的0.12%，占比较小，不会对污水处理厂造成冲击。</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（4）水质纳管可行性</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本项目废水主要污染物为COD、BOD₅、SS、氨氮等，水质简单，可生化性好，经监测各污染物浓度均满足GB 19821-2025间接排放限值要求，满足污水处理厂纳管要求。</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（5）依托可行性结论</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综上所述，从收水范围、水量、水质三个方面分析，本项目废水依托乌苏市污水处理厂处理可行。</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五、废水监测要求</w:t>
            </w:r>
          </w:p>
          <w:p>
            <w:pPr>
              <w:keepNext w:val="0"/>
              <w:keepLines w:val="0"/>
              <w:suppressLineNumbers w:val="0"/>
              <w:spacing w:before="0" w:beforeAutospacing="0" w:after="0" w:afterAutospacing="0"/>
              <w:ind w:left="0" w:right="0"/>
              <w:rPr>
                <w:rFonts w:hint="default"/>
                <w:b/>
                <w:bCs/>
                <w:color w:val="auto"/>
                <w:szCs w:val="24"/>
                <w:highlight w:val="none"/>
              </w:rPr>
            </w:pPr>
            <w:r>
              <w:rPr>
                <w:rFonts w:hint="eastAsia" w:ascii="Times New Roman" w:hAnsi="Times New Roman" w:eastAsia="宋体" w:cs="Times New Roman"/>
                <w:szCs w:val="20"/>
                <w:lang w:val="en-US" w:eastAsia="zh-CN"/>
              </w:rPr>
              <w:t>根据《排污单位自行监测技术指南 酒、饮料制造》（HJ 1085-2020）及《酒类制造业水污染物排放标准》（GB 19821-2025），运营期废水监测计划如下：</w:t>
            </w:r>
          </w:p>
          <w:p>
            <w:pPr>
              <w:pStyle w:val="8"/>
              <w:keepNext w:val="0"/>
              <w:keepLines w:val="0"/>
              <w:suppressLineNumbers w:val="0"/>
              <w:spacing w:before="0" w:beforeAutospacing="0" w:after="0" w:afterAutospacing="0"/>
              <w:ind w:left="0" w:right="0"/>
              <w:rPr>
                <w:rFonts w:hint="eastAsia" w:eastAsia="宋体"/>
                <w:szCs w:val="20"/>
                <w:lang w:eastAsia="zh-CN"/>
              </w:rPr>
            </w:pPr>
            <w:r>
              <w:rPr>
                <w:rFonts w:hint="default"/>
                <w:szCs w:val="20"/>
              </w:rPr>
              <w:t xml:space="preserve">表 </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4</w:t>
            </w:r>
            <w:r>
              <w:rPr>
                <w:rFonts w:hint="default"/>
                <w:szCs w:val="20"/>
              </w:rPr>
              <w:fldChar w:fldCharType="end"/>
            </w:r>
            <w:r>
              <w:rPr>
                <w:rFonts w:hint="eastAsia"/>
                <w:szCs w:val="20"/>
                <w:lang w:eastAsia="zh-CN"/>
              </w:rPr>
              <w:t>-</w:t>
            </w:r>
            <w:r>
              <w:rPr>
                <w:rFonts w:hint="eastAsia"/>
                <w:szCs w:val="20"/>
                <w:lang w:val="en-US" w:eastAsia="zh-CN"/>
              </w:rPr>
              <w:t>7</w:t>
            </w:r>
            <w:r>
              <w:rPr>
                <w:rFonts w:hint="eastAsia"/>
                <w:szCs w:val="20"/>
                <w:lang w:eastAsia="zh-CN"/>
              </w:rPr>
              <w:t>废水监测计划</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3091"/>
              <w:gridCol w:w="712"/>
              <w:gridCol w:w="3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监测点位</w:t>
                  </w:r>
                </w:p>
              </w:tc>
              <w:tc>
                <w:tcPr>
                  <w:tcW w:w="185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监测因子</w:t>
                  </w:r>
                </w:p>
              </w:tc>
              <w:tc>
                <w:tcPr>
                  <w:tcW w:w="42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监测频次</w:t>
                  </w:r>
                </w:p>
              </w:tc>
              <w:tc>
                <w:tcPr>
                  <w:tcW w:w="186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pc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DW001废水总排口</w:t>
                  </w:r>
                </w:p>
              </w:tc>
              <w:tc>
                <w:tcPr>
                  <w:tcW w:w="1854" w:type="pc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流量、pH值、COD、NH</w:t>
                  </w:r>
                  <w:r>
                    <w:rPr>
                      <w:rFonts w:hint="default"/>
                      <w:b w:val="0"/>
                      <w:color w:val="000000"/>
                      <w:szCs w:val="20"/>
                      <w:vertAlign w:val="subscript"/>
                    </w:rPr>
                    <w:t>3</w:t>
                  </w:r>
                  <w:r>
                    <w:rPr>
                      <w:rFonts w:hint="default"/>
                      <w:b w:val="0"/>
                      <w:color w:val="000000"/>
                      <w:szCs w:val="20"/>
                    </w:rPr>
                    <w:t>-N</w:t>
                  </w:r>
                  <w:r>
                    <w:rPr>
                      <w:rFonts w:hint="eastAsia"/>
                      <w:b w:val="0"/>
                      <w:color w:val="000000"/>
                      <w:szCs w:val="20"/>
                      <w:lang w:eastAsia="zh-CN"/>
                    </w:rPr>
                    <w:t>、</w:t>
                  </w:r>
                  <w:r>
                    <w:rPr>
                      <w:rFonts w:hint="default"/>
                      <w:b w:val="0"/>
                      <w:color w:val="000000"/>
                      <w:szCs w:val="20"/>
                    </w:rPr>
                    <w:t>BOD</w:t>
                  </w:r>
                  <w:r>
                    <w:rPr>
                      <w:rFonts w:hint="default"/>
                      <w:b w:val="0"/>
                      <w:color w:val="000000"/>
                      <w:szCs w:val="20"/>
                      <w:vertAlign w:val="subscript"/>
                    </w:rPr>
                    <w:t>5</w:t>
                  </w:r>
                  <w:r>
                    <w:rPr>
                      <w:rFonts w:hint="default"/>
                      <w:b w:val="0"/>
                      <w:color w:val="000000"/>
                      <w:szCs w:val="20"/>
                    </w:rPr>
                    <w:t>、SS、总磷、总氮、色度</w:t>
                  </w:r>
                </w:p>
              </w:tc>
              <w:tc>
                <w:tcPr>
                  <w:tcW w:w="42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1次/半年</w:t>
                  </w:r>
                </w:p>
              </w:tc>
              <w:tc>
                <w:tcPr>
                  <w:tcW w:w="186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val="0"/>
                      <w:color w:val="000000"/>
                      <w:szCs w:val="20"/>
                    </w:rPr>
                  </w:pPr>
                  <w:r>
                    <w:rPr>
                      <w:rFonts w:hint="default"/>
                      <w:b w:val="0"/>
                      <w:color w:val="000000"/>
                      <w:szCs w:val="20"/>
                    </w:rPr>
                    <w:t>《酒类制造业水污染物排放标准》（GB 19821-2025）</w:t>
                  </w:r>
                </w:p>
              </w:tc>
            </w:tr>
          </w:tbl>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六、水环境影响结论</w:t>
            </w:r>
          </w:p>
          <w:p>
            <w:pPr>
              <w:keepNext w:val="0"/>
              <w:keepLines w:val="0"/>
              <w:suppressLineNumbers w:val="0"/>
              <w:spacing w:before="0" w:beforeAutospacing="0" w:after="0" w:afterAutospacing="0"/>
              <w:ind w:left="0" w:right="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本项目废水先排到</w:t>
            </w:r>
            <w:r>
              <w:rPr>
                <w:rFonts w:hint="eastAsia" w:cs="Times New Roman"/>
                <w:szCs w:val="20"/>
                <w:lang w:val="en-US" w:eastAsia="zh-CN"/>
              </w:rPr>
              <w:t>污水站</w:t>
            </w:r>
            <w:r>
              <w:rPr>
                <w:rFonts w:hint="eastAsia" w:ascii="Times New Roman" w:hAnsi="Times New Roman" w:eastAsia="宋体" w:cs="Times New Roman"/>
                <w:szCs w:val="20"/>
                <w:lang w:val="en-US" w:eastAsia="zh-CN"/>
              </w:rPr>
              <w:t>后，</w:t>
            </w:r>
            <w:r>
              <w:rPr>
                <w:rFonts w:hint="eastAsia" w:cs="Times New Roman"/>
                <w:szCs w:val="20"/>
                <w:lang w:val="en-US" w:eastAsia="zh-CN"/>
              </w:rPr>
              <w:t>处理后</w:t>
            </w:r>
            <w:r>
              <w:rPr>
                <w:rFonts w:hint="eastAsia" w:ascii="Times New Roman" w:hAnsi="Times New Roman" w:eastAsia="宋体" w:cs="Times New Roman"/>
                <w:szCs w:val="20"/>
                <w:lang w:val="en-US" w:eastAsia="zh-CN"/>
              </w:rPr>
              <w:t>排入市政管网</w:t>
            </w:r>
            <w:r>
              <w:rPr>
                <w:rFonts w:hint="eastAsia" w:cs="Times New Roman"/>
                <w:szCs w:val="20"/>
                <w:lang w:val="en-US" w:eastAsia="zh-CN"/>
              </w:rPr>
              <w:t>。经</w:t>
            </w:r>
            <w:r>
              <w:rPr>
                <w:rFonts w:hint="eastAsia" w:ascii="Times New Roman" w:hAnsi="Times New Roman" w:eastAsia="宋体" w:cs="Times New Roman"/>
                <w:szCs w:val="20"/>
                <w:lang w:val="en-US" w:eastAsia="zh-CN"/>
              </w:rPr>
              <w:t>园区污水管网排入乌苏市污水处理厂处理，不直接排入地表水体。验收监测结果表明，废水总排口各污染物浓度均满足《酒类制造业水污染物排放标准》（GB 19821-2025）间接排放限值要求，单位产品基准排水量满足标准限值要求。依托乌苏市污水处理厂处理从收水范围、水量、水质方面分析均可行。本项目对区域地表水环境影响较小，水环境影响可以接受。</w:t>
            </w:r>
          </w:p>
          <w:p>
            <w:pPr>
              <w:pStyle w:val="5"/>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三、声环境影响分析</w:t>
            </w:r>
          </w:p>
          <w:p>
            <w:pPr>
              <w:pStyle w:val="6"/>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1、噪声源强</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rPr>
              <w:t>本项目运营期噪声主要来源于破碎机、风机、泵类、灌装机、洗瓶机等生产设备运行噪声。根据《污染源源强核算技术指南 准则》（HJ 884-2018），本项目噪声源强采用类比法进行核算，类比同类行业设备噪声水平，各设备噪声源强为70～95dB(A。</w:t>
            </w:r>
            <w:r>
              <w:rPr>
                <w:rFonts w:hint="default"/>
                <w:color w:val="auto"/>
                <w:szCs w:val="20"/>
                <w:highlight w:val="none"/>
              </w:rPr>
              <w:t>本项目针对各噪声源采取下列降噪措施：</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rPr>
              <w:t>（1）选择低噪声设备：项目在满足工艺设计的前提下，尽量选用满足国际标准的低噪声、低振动型号的设备，降低噪声源强。</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rPr>
              <w:t>（2）合理布局：项目将高噪声设备尽量布置在厂区中部，通过距离衰减减轻噪声对外环境的影响。</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rPr>
              <w:t>（3）隔声、减振：建设单位根据噪声产生的性质可分为机械运动噪声，根据其产生的性质和机理不同分别采用了隔声、减振等方式进行了降噪处理。通过安装减振垫或者隔声门窗来达到降低噪声的目的。</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rPr>
              <w:t>（4）安装消声器：设置独立风机房，对风机安装消声器</w:t>
            </w:r>
            <w:r>
              <w:rPr>
                <w:rFonts w:hint="default"/>
                <w:color w:val="auto"/>
                <w:szCs w:val="20"/>
                <w:highlight w:val="none"/>
              </w:rPr>
              <w:t>。</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rPr>
              <w:t>（5）设置隔音罩：部分噪音设备配备隔音罩等。</w:t>
            </w:r>
          </w:p>
          <w:p>
            <w:pPr>
              <w:keepNext w:val="0"/>
              <w:keepLines w:val="0"/>
              <w:suppressLineNumbers w:val="0"/>
              <w:spacing w:before="0" w:beforeAutospacing="0" w:after="0" w:afterAutospacing="0"/>
              <w:ind w:left="0" w:leftChars="0" w:right="0" w:firstLine="0" w:firstLineChars="0"/>
              <w:rPr>
                <w:rFonts w:hint="default"/>
                <w:szCs w:val="20"/>
              </w:rPr>
            </w:pPr>
          </w:p>
        </w:tc>
      </w:tr>
    </w:tbl>
    <w:p>
      <w:pPr>
        <w:ind w:firstLine="480"/>
        <w:rPr>
          <w:color w:val="auto"/>
          <w:highlight w:val="none"/>
        </w:rPr>
        <w:sectPr>
          <w:pgSz w:w="11906" w:h="16838"/>
          <w:pgMar w:top="1440" w:right="1417" w:bottom="1440"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22"/>
        <w:tblW w:w="139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88" w:type="dxa"/>
            <w:vAlign w:val="center"/>
          </w:tcPr>
          <w:p>
            <w:pPr>
              <w:pStyle w:val="8"/>
              <w:keepNext w:val="0"/>
              <w:keepLines w:val="0"/>
              <w:suppressLineNumbers w:val="0"/>
              <w:spacing w:before="0" w:beforeAutospacing="0" w:after="0" w:afterAutospacing="0"/>
              <w:ind w:left="0" w:right="0"/>
              <w:rPr>
                <w:rFonts w:hint="default" w:eastAsia="宋体"/>
                <w:szCs w:val="20"/>
                <w:lang w:val="en-US" w:eastAsia="zh-CN"/>
              </w:rPr>
            </w:pPr>
            <w:r>
              <w:rPr>
                <w:rFonts w:hint="default"/>
                <w:szCs w:val="20"/>
              </w:rPr>
              <w:t xml:space="preserve">表 </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4</w:t>
            </w:r>
            <w:r>
              <w:rPr>
                <w:rFonts w:hint="default"/>
                <w:szCs w:val="20"/>
              </w:rPr>
              <w:fldChar w:fldCharType="end"/>
            </w:r>
            <w:r>
              <w:rPr>
                <w:rFonts w:hint="eastAsia"/>
                <w:szCs w:val="20"/>
                <w:lang w:eastAsia="zh-CN"/>
              </w:rPr>
              <w:t>-</w:t>
            </w:r>
            <w:r>
              <w:rPr>
                <w:rFonts w:hint="eastAsia"/>
                <w:szCs w:val="20"/>
                <w:lang w:val="en-US" w:eastAsia="zh-CN"/>
              </w:rPr>
              <w:t>8噪声治理情况</w:t>
            </w:r>
          </w:p>
          <w:p>
            <w:pPr>
              <w:keepNext w:val="0"/>
              <w:keepLines w:val="0"/>
              <w:suppressLineNumbers w:val="0"/>
              <w:spacing w:before="0" w:beforeAutospacing="0" w:after="0" w:afterAutospacing="0"/>
              <w:ind w:left="0" w:right="0" w:firstLine="480"/>
              <w:rPr>
                <w:rFonts w:hint="default"/>
                <w:color w:val="auto"/>
                <w:szCs w:val="20"/>
                <w:highlight w:val="none"/>
              </w:rPr>
            </w:pPr>
          </w:p>
          <w:tbl>
            <w:tblPr>
              <w:tblStyle w:val="22"/>
              <w:tblpPr w:leftFromText="180" w:rightFromText="180" w:vertAnchor="text" w:horzAnchor="page" w:tblpX="200" w:tblpY="300"/>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6"/>
              <w:gridCol w:w="1880"/>
              <w:gridCol w:w="816"/>
              <w:gridCol w:w="735"/>
              <w:gridCol w:w="1213"/>
              <w:gridCol w:w="3653"/>
              <w:gridCol w:w="2927"/>
              <w:gridCol w:w="17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噪声源</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数量（台）</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声源类型</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单台声级值</w:t>
                  </w:r>
                  <w:r>
                    <w:rPr>
                      <w:rFonts w:hint="default" w:ascii="Calibri" w:hAnsi="Calibri" w:eastAsia="宋体" w:cs="Calibri"/>
                      <w:b/>
                      <w:bCs/>
                      <w:i w:val="0"/>
                      <w:iCs w:val="0"/>
                      <w:color w:val="000000"/>
                      <w:kern w:val="0"/>
                      <w:sz w:val="21"/>
                      <w:szCs w:val="21"/>
                      <w:u w:val="none"/>
                      <w:lang w:val="en-US" w:eastAsia="zh-CN" w:bidi="ar"/>
                    </w:rPr>
                    <w:t>dB(A)</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治理措施</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降噪后声级值</w:t>
                  </w:r>
                  <w:r>
                    <w:rPr>
                      <w:rFonts w:hint="default" w:ascii="Calibri" w:hAnsi="Calibri" w:eastAsia="宋体" w:cs="Calibri"/>
                      <w:b/>
                      <w:bCs/>
                      <w:i w:val="0"/>
                      <w:iCs w:val="0"/>
                      <w:color w:val="000000"/>
                      <w:kern w:val="0"/>
                      <w:sz w:val="21"/>
                      <w:szCs w:val="21"/>
                      <w:u w:val="none"/>
                      <w:lang w:val="en-US" w:eastAsia="zh-CN" w:bidi="ar"/>
                    </w:rPr>
                    <w:t>dB(A)</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持续时间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原料、酒曲破碎机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频发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85~95</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基础减震、置于室内、厂房隔声</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65~75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频发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80~90</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基础减震、隔声罩</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60~70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泵类</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lang w:val="en-US"/>
                    </w:rPr>
                  </w:pPr>
                  <w:r>
                    <w:rPr>
                      <w:rFonts w:hint="eastAsia" w:ascii="Calibri" w:hAnsi="Calibri" w:cs="Calibri"/>
                      <w:i w:val="0"/>
                      <w:iCs w:val="0"/>
                      <w:color w:val="000000"/>
                      <w:kern w:val="0"/>
                      <w:sz w:val="21"/>
                      <w:szCs w:val="21"/>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频发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75~85</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基础减震、柔性接头</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55~65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晾糟机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频发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75~85</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基础减震、置于室内</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55~65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传送带</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4</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频发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70~80</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基础减震、置于室内</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50~60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斗式提升机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频发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70~80</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基础减震、置于室内</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50~60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行车</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频发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70~80</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基础减震、置于室内</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50~60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定量灌装机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频发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70~80</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基础减震、置于室内、厂房隔声</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50~60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自动冲洗瓶机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频发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70~80</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基础减震、置于室内、厂房隔声</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50~60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10</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搅拌设备</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cs="Calibri"/>
                      <w:i w:val="0"/>
                      <w:iCs w:val="0"/>
                      <w:color w:val="000000"/>
                      <w:kern w:val="0"/>
                      <w:sz w:val="21"/>
                      <w:szCs w:val="21"/>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频发</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70~80</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基础减震、置于室内、厂房隔声</w:t>
                  </w:r>
                </w:p>
              </w:tc>
              <w:tc>
                <w:tcPr>
                  <w:tcW w:w="29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50~60</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11</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过滤机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cs="Calibri"/>
                      <w:i w:val="0"/>
                      <w:iCs w:val="0"/>
                      <w:color w:val="000000"/>
                      <w:kern w:val="0"/>
                      <w:sz w:val="21"/>
                      <w:szCs w:val="21"/>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频发</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70~80</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基础减震、置于室内、厂房隔声</w:t>
                  </w:r>
                </w:p>
              </w:tc>
              <w:tc>
                <w:tcPr>
                  <w:tcW w:w="29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50~60</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cs="Calibri"/>
                      <w:i w:val="0"/>
                      <w:iCs w:val="0"/>
                      <w:color w:val="000000"/>
                      <w:kern w:val="0"/>
                      <w:sz w:val="21"/>
                      <w:szCs w:val="21"/>
                      <w:u w:val="none"/>
                      <w:lang w:val="en-US" w:eastAsia="zh-CN" w:bidi="ar"/>
                    </w:rPr>
                    <w:t>12</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灭菌设备</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cs="Calibri"/>
                      <w:i w:val="0"/>
                      <w:iCs w:val="0"/>
                      <w:color w:val="000000"/>
                      <w:kern w:val="0"/>
                      <w:sz w:val="21"/>
                      <w:szCs w:val="21"/>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频发</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70~80</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基础减震、置于室内、厂房隔声</w:t>
                  </w:r>
                </w:p>
              </w:tc>
              <w:tc>
                <w:tcPr>
                  <w:tcW w:w="29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50~60</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cs="Calibri"/>
                      <w:i w:val="0"/>
                      <w:iCs w:val="0"/>
                      <w:color w:val="000000"/>
                      <w:kern w:val="0"/>
                      <w:sz w:val="21"/>
                      <w:szCs w:val="21"/>
                      <w:u w:val="none"/>
                      <w:lang w:val="en-US" w:eastAsia="zh-CN" w:bidi="ar"/>
                    </w:rPr>
                    <w:t>13</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灌装机、洗瓶机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cs="Calibri"/>
                      <w:i w:val="0"/>
                      <w:iCs w:val="0"/>
                      <w:color w:val="000000"/>
                      <w:kern w:val="0"/>
                      <w:sz w:val="21"/>
                      <w:szCs w:val="21"/>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频发</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70~80</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基础减震、置于室内、厂房隔声</w:t>
                  </w:r>
                </w:p>
              </w:tc>
              <w:tc>
                <w:tcPr>
                  <w:tcW w:w="29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50~60</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r>
                    <w:rPr>
                      <w:rFonts w:hint="eastAsia" w:ascii="Calibri" w:hAnsi="Calibri" w:cs="Calibri"/>
                      <w:i w:val="0"/>
                      <w:iCs w:val="0"/>
                      <w:color w:val="000000"/>
                      <w:kern w:val="0"/>
                      <w:sz w:val="21"/>
                      <w:szCs w:val="21"/>
                      <w:u w:val="none"/>
                      <w:lang w:val="en-US" w:eastAsia="zh-CN" w:bidi="ar"/>
                    </w:rPr>
                    <w:t>4</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吹干机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频发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70~80</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基础减震、置于室内</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50~60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昼间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r>
                    <w:rPr>
                      <w:rFonts w:hint="eastAsia" w:ascii="Calibri" w:hAnsi="Calibri" w:cs="Calibri"/>
                      <w:i w:val="0"/>
                      <w:iCs w:val="0"/>
                      <w:color w:val="000000"/>
                      <w:kern w:val="0"/>
                      <w:sz w:val="21"/>
                      <w:szCs w:val="21"/>
                      <w:u w:val="none"/>
                      <w:lang w:val="en-US" w:eastAsia="zh-CN" w:bidi="ar"/>
                    </w:rPr>
                    <w:t>5</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反渗透纯水处理设备</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2</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频发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70~80</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基础减震、置于室内</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50~60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昼间</w:t>
                  </w:r>
                </w:p>
              </w:tc>
            </w:tr>
          </w:tbl>
          <w:p>
            <w:pPr>
              <w:pStyle w:val="10"/>
              <w:keepNext w:val="0"/>
              <w:keepLines w:val="0"/>
              <w:suppressLineNumbers w:val="0"/>
              <w:spacing w:beforeAutospacing="0" w:afterAutospacing="0"/>
              <w:ind w:left="0"/>
              <w:rPr>
                <w:rFonts w:hint="default"/>
                <w:color w:val="auto"/>
                <w:szCs w:val="20"/>
                <w:highlight w:val="none"/>
              </w:rPr>
            </w:pPr>
          </w:p>
        </w:tc>
      </w:tr>
    </w:tbl>
    <w:p>
      <w:pPr>
        <w:pStyle w:val="10"/>
        <w:rPr>
          <w:color w:val="auto"/>
          <w:highlight w:val="none"/>
        </w:rPr>
        <w:sectPr>
          <w:pgSz w:w="16838" w:h="11906" w:orient="landscape"/>
          <w:pgMar w:top="1417" w:right="1440" w:bottom="141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85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p>
        </w:tc>
        <w:tc>
          <w:tcPr>
            <w:tcW w:w="8549" w:type="dxa"/>
            <w:vAlign w:val="center"/>
          </w:tcPr>
          <w:p>
            <w:pPr>
              <w:pStyle w:val="6"/>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2、噪声影响及达标分析</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本评价采用噪声距离衰减、叠加模式计算厂界噪声值。按照《环境影响评价技术导则</w:t>
            </w:r>
            <w:r>
              <w:rPr>
                <w:rFonts w:hint="eastAsia"/>
                <w:color w:val="auto"/>
                <w:szCs w:val="20"/>
                <w:highlight w:val="none"/>
              </w:rPr>
              <w:t xml:space="preserve"> </w:t>
            </w:r>
            <w:r>
              <w:rPr>
                <w:rFonts w:hint="default"/>
                <w:color w:val="auto"/>
                <w:szCs w:val="20"/>
                <w:highlight w:val="none"/>
              </w:rPr>
              <w:t>声环境》</w:t>
            </w:r>
            <w:r>
              <w:rPr>
                <w:rFonts w:hint="eastAsia"/>
                <w:color w:val="auto"/>
                <w:szCs w:val="20"/>
                <w:highlight w:val="none"/>
              </w:rPr>
              <w:t>（</w:t>
            </w:r>
            <w:r>
              <w:rPr>
                <w:rFonts w:hint="default"/>
                <w:color w:val="auto"/>
                <w:szCs w:val="20"/>
                <w:highlight w:val="none"/>
              </w:rPr>
              <w:t>HJ2.4-20</w:t>
            </w:r>
            <w:r>
              <w:rPr>
                <w:rFonts w:hint="eastAsia"/>
                <w:color w:val="auto"/>
                <w:szCs w:val="20"/>
                <w:highlight w:val="none"/>
              </w:rPr>
              <w:t>21）</w:t>
            </w:r>
            <w:r>
              <w:rPr>
                <w:rFonts w:hint="default"/>
                <w:color w:val="auto"/>
                <w:szCs w:val="20"/>
                <w:highlight w:val="none"/>
              </w:rPr>
              <w:t>中评价方法要求，采用工业噪声模式对厂界的噪声影响值，预测模式如下：</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建设项目声源在预测点产生的等效声级贡献值（Leqg）计算公式：</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①计算某个室内声源在靠近围护结构处的倍频带声压级：</w:t>
            </w:r>
          </w:p>
          <w:p>
            <w:pPr>
              <w:keepNext w:val="0"/>
              <w:keepLines w:val="0"/>
              <w:suppressLineNumbers w:val="0"/>
              <w:spacing w:before="0" w:beforeAutospacing="0" w:after="0" w:afterAutospacing="0"/>
              <w:ind w:left="0" w:right="0" w:firstLine="480"/>
              <w:jc w:val="center"/>
              <w:rPr>
                <w:rFonts w:hint="default"/>
                <w:color w:val="auto"/>
                <w:szCs w:val="20"/>
                <w:highlight w:val="none"/>
              </w:rPr>
            </w:pPr>
            <w:r>
              <w:rPr>
                <w:rFonts w:hint="default"/>
                <w:color w:val="auto"/>
                <w:szCs w:val="20"/>
                <w:highlight w:val="none"/>
              </w:rPr>
              <w:drawing>
                <wp:inline distT="0" distB="0" distL="114300" distR="114300">
                  <wp:extent cx="2573655" cy="393065"/>
                  <wp:effectExtent l="0" t="0" r="17145" b="6985"/>
                  <wp:docPr id="9" name="图片 5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50"/>
                          <pic:cNvPicPr>
                            <a:picLocks noChangeAspect="true"/>
                          </pic:cNvPicPr>
                        </pic:nvPicPr>
                        <pic:blipFill>
                          <a:blip r:embed="rId11" cstate="print"/>
                          <a:srcRect t="8134" b="6508"/>
                          <a:stretch>
                            <a:fillRect/>
                          </a:stretch>
                        </pic:blipFill>
                        <pic:spPr>
                          <a:xfrm>
                            <a:off x="0" y="0"/>
                            <a:ext cx="2573655" cy="393065"/>
                          </a:xfrm>
                          <a:prstGeom prst="rect">
                            <a:avLst/>
                          </a:prstGeom>
                          <a:noFill/>
                          <a:ln>
                            <a:noFill/>
                          </a:ln>
                        </pic:spPr>
                      </pic:pic>
                    </a:graphicData>
                  </a:graphic>
                </wp:inline>
              </w:drawing>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rPr>
              <w:t>式中：</w:t>
            </w:r>
            <w:r>
              <w:rPr>
                <w:rFonts w:hint="default"/>
                <w:color w:val="auto"/>
                <w:szCs w:val="20"/>
                <w:highlight w:val="none"/>
              </w:rPr>
              <w:t>Loct,1</w:t>
            </w:r>
            <w:r>
              <w:rPr>
                <w:rFonts w:hint="eastAsia"/>
                <w:color w:val="auto"/>
                <w:szCs w:val="20"/>
                <w:highlight w:val="none"/>
              </w:rPr>
              <w:t>：某个室内声源在靠近围护结构处产生的倍频带声压级，</w:t>
            </w:r>
            <w:r>
              <w:rPr>
                <w:rFonts w:hint="default"/>
                <w:color w:val="auto"/>
                <w:szCs w:val="20"/>
                <w:highlight w:val="none"/>
              </w:rPr>
              <w:t>dB</w:t>
            </w:r>
            <w:r>
              <w:rPr>
                <w:rFonts w:hint="eastAsia"/>
                <w:color w:val="auto"/>
                <w:szCs w:val="20"/>
                <w:highlight w:val="none"/>
              </w:rPr>
              <w:t>；</w:t>
            </w:r>
          </w:p>
          <w:p>
            <w:pPr>
              <w:keepNext w:val="0"/>
              <w:keepLines w:val="0"/>
              <w:suppressLineNumbers w:val="0"/>
              <w:spacing w:before="0" w:beforeAutospacing="0" w:after="0" w:afterAutospacing="0"/>
              <w:ind w:left="0" w:right="0" w:firstLine="1200" w:firstLineChars="500"/>
              <w:rPr>
                <w:rFonts w:hint="default"/>
                <w:color w:val="auto"/>
                <w:szCs w:val="20"/>
                <w:highlight w:val="none"/>
              </w:rPr>
            </w:pPr>
            <w:r>
              <w:rPr>
                <w:rFonts w:hint="default"/>
                <w:color w:val="auto"/>
                <w:szCs w:val="20"/>
                <w:highlight w:val="none"/>
              </w:rPr>
              <w:t>Lw oct</w:t>
            </w:r>
            <w:r>
              <w:rPr>
                <w:rFonts w:hint="eastAsia"/>
                <w:color w:val="auto"/>
                <w:szCs w:val="20"/>
                <w:highlight w:val="none"/>
              </w:rPr>
              <w:t>：某个声源的倍频带声功率级，</w:t>
            </w:r>
            <w:r>
              <w:rPr>
                <w:rFonts w:hint="default"/>
                <w:color w:val="auto"/>
                <w:szCs w:val="20"/>
                <w:highlight w:val="none"/>
              </w:rPr>
              <w:t>dB</w:t>
            </w:r>
            <w:r>
              <w:rPr>
                <w:rFonts w:hint="eastAsia"/>
                <w:color w:val="auto"/>
                <w:szCs w:val="20"/>
                <w:highlight w:val="none"/>
              </w:rPr>
              <w:t>；</w:t>
            </w:r>
          </w:p>
          <w:p>
            <w:pPr>
              <w:keepNext w:val="0"/>
              <w:keepLines w:val="0"/>
              <w:suppressLineNumbers w:val="0"/>
              <w:spacing w:before="0" w:beforeAutospacing="0" w:after="0" w:afterAutospacing="0"/>
              <w:ind w:left="0" w:right="0" w:firstLine="1200" w:firstLineChars="500"/>
              <w:rPr>
                <w:rFonts w:hint="default"/>
                <w:color w:val="auto"/>
                <w:szCs w:val="20"/>
                <w:highlight w:val="none"/>
              </w:rPr>
            </w:pPr>
            <w:r>
              <w:rPr>
                <w:rFonts w:hint="default"/>
                <w:color w:val="auto"/>
                <w:szCs w:val="20"/>
                <w:highlight w:val="none"/>
              </w:rPr>
              <w:t>r1</w:t>
            </w:r>
            <w:r>
              <w:rPr>
                <w:rFonts w:hint="eastAsia"/>
                <w:color w:val="auto"/>
                <w:szCs w:val="20"/>
                <w:highlight w:val="none"/>
              </w:rPr>
              <w:t>：室内某个声源与靠近围护结构处的距离，</w:t>
            </w:r>
            <w:r>
              <w:rPr>
                <w:rFonts w:hint="default"/>
                <w:color w:val="auto"/>
                <w:szCs w:val="20"/>
                <w:highlight w:val="none"/>
              </w:rPr>
              <w:t>m</w:t>
            </w:r>
            <w:r>
              <w:rPr>
                <w:rFonts w:hint="eastAsia"/>
                <w:color w:val="auto"/>
                <w:szCs w:val="20"/>
                <w:highlight w:val="none"/>
              </w:rPr>
              <w:t>；</w:t>
            </w:r>
          </w:p>
          <w:p>
            <w:pPr>
              <w:keepNext w:val="0"/>
              <w:keepLines w:val="0"/>
              <w:suppressLineNumbers w:val="0"/>
              <w:spacing w:before="0" w:beforeAutospacing="0" w:after="0" w:afterAutospacing="0"/>
              <w:ind w:left="0" w:right="0" w:firstLine="1200" w:firstLineChars="500"/>
              <w:rPr>
                <w:rFonts w:hint="default"/>
                <w:color w:val="auto"/>
                <w:szCs w:val="20"/>
                <w:highlight w:val="none"/>
              </w:rPr>
            </w:pPr>
            <w:r>
              <w:rPr>
                <w:rFonts w:hint="default"/>
                <w:color w:val="auto"/>
                <w:szCs w:val="20"/>
                <w:highlight w:val="none"/>
              </w:rPr>
              <w:t>R</w:t>
            </w:r>
            <w:r>
              <w:rPr>
                <w:rFonts w:hint="eastAsia"/>
                <w:color w:val="auto"/>
                <w:szCs w:val="20"/>
                <w:highlight w:val="none"/>
              </w:rPr>
              <w:t>：房间常数；</w:t>
            </w:r>
          </w:p>
          <w:p>
            <w:pPr>
              <w:keepNext w:val="0"/>
              <w:keepLines w:val="0"/>
              <w:suppressLineNumbers w:val="0"/>
              <w:spacing w:before="0" w:beforeAutospacing="0" w:after="0" w:afterAutospacing="0"/>
              <w:ind w:left="0" w:right="0" w:firstLine="1200" w:firstLineChars="500"/>
              <w:rPr>
                <w:rFonts w:hint="default"/>
                <w:color w:val="auto"/>
                <w:szCs w:val="20"/>
                <w:highlight w:val="none"/>
              </w:rPr>
            </w:pPr>
            <w:r>
              <w:rPr>
                <w:rFonts w:hint="default"/>
                <w:color w:val="auto"/>
                <w:szCs w:val="20"/>
                <w:highlight w:val="none"/>
              </w:rPr>
              <w:t>Q</w:t>
            </w:r>
            <w:r>
              <w:rPr>
                <w:rFonts w:hint="eastAsia"/>
                <w:color w:val="auto"/>
                <w:szCs w:val="20"/>
                <w:highlight w:val="none"/>
              </w:rPr>
              <w:t>：方向性因子，无量纲值。</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②计算所有室内声源在靠近围护结构处产生的总倍频带声压级：</w:t>
            </w:r>
          </w:p>
          <w:p>
            <w:pPr>
              <w:keepNext w:val="0"/>
              <w:keepLines w:val="0"/>
              <w:suppressLineNumbers w:val="0"/>
              <w:spacing w:before="0" w:beforeAutospacing="0" w:after="0" w:afterAutospacing="0"/>
              <w:ind w:left="0" w:right="0" w:firstLine="0" w:firstLineChars="0"/>
              <w:jc w:val="center"/>
              <w:rPr>
                <w:rFonts w:hint="default"/>
                <w:color w:val="auto"/>
                <w:szCs w:val="20"/>
                <w:highlight w:val="none"/>
              </w:rPr>
            </w:pPr>
            <w:r>
              <w:rPr>
                <w:rFonts w:hint="default"/>
                <w:color w:val="auto"/>
                <w:szCs w:val="20"/>
                <w:highlight w:val="none"/>
              </w:rPr>
              <w:drawing>
                <wp:inline distT="0" distB="0" distL="114300" distR="114300">
                  <wp:extent cx="2552065" cy="342900"/>
                  <wp:effectExtent l="0" t="0" r="635" b="0"/>
                  <wp:docPr id="10" name="图片 5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51"/>
                          <pic:cNvPicPr>
                            <a:picLocks noChangeAspect="true"/>
                          </pic:cNvPicPr>
                        </pic:nvPicPr>
                        <pic:blipFill>
                          <a:blip r:embed="rId12" cstate="print"/>
                          <a:srcRect r="2638"/>
                          <a:stretch>
                            <a:fillRect/>
                          </a:stretch>
                        </pic:blipFill>
                        <pic:spPr>
                          <a:xfrm>
                            <a:off x="0" y="0"/>
                            <a:ext cx="2552065" cy="342900"/>
                          </a:xfrm>
                          <a:prstGeom prst="rect">
                            <a:avLst/>
                          </a:prstGeom>
                          <a:noFill/>
                          <a:ln>
                            <a:noFill/>
                          </a:ln>
                        </pic:spPr>
                      </pic:pic>
                    </a:graphicData>
                  </a:graphic>
                </wp:inline>
              </w:drawing>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③计算室外靠近围护结构处的声压级：</w:t>
            </w:r>
          </w:p>
          <w:p>
            <w:pPr>
              <w:keepNext w:val="0"/>
              <w:keepLines w:val="0"/>
              <w:suppressLineNumbers w:val="0"/>
              <w:spacing w:before="0" w:beforeAutospacing="0" w:after="0" w:afterAutospacing="0"/>
              <w:ind w:left="0" w:right="0" w:firstLine="0" w:firstLineChars="0"/>
              <w:jc w:val="center"/>
              <w:rPr>
                <w:rFonts w:hint="default"/>
                <w:color w:val="auto"/>
                <w:szCs w:val="20"/>
                <w:highlight w:val="none"/>
              </w:rPr>
            </w:pPr>
            <w:r>
              <w:rPr>
                <w:rFonts w:hint="default"/>
                <w:color w:val="auto"/>
                <w:szCs w:val="20"/>
                <w:highlight w:val="none"/>
              </w:rPr>
              <w:drawing>
                <wp:inline distT="0" distB="0" distL="114300" distR="114300">
                  <wp:extent cx="3050540" cy="286385"/>
                  <wp:effectExtent l="0" t="0" r="16510" b="18415"/>
                  <wp:docPr id="11" name="图片 5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52"/>
                          <pic:cNvPicPr>
                            <a:picLocks noChangeAspect="true"/>
                          </pic:cNvPicPr>
                        </pic:nvPicPr>
                        <pic:blipFill>
                          <a:blip r:embed="rId13" cstate="print"/>
                          <a:srcRect r="3543" b="9891"/>
                          <a:stretch>
                            <a:fillRect/>
                          </a:stretch>
                        </pic:blipFill>
                        <pic:spPr>
                          <a:xfrm>
                            <a:off x="0" y="0"/>
                            <a:ext cx="3050540" cy="286385"/>
                          </a:xfrm>
                          <a:prstGeom prst="rect">
                            <a:avLst/>
                          </a:prstGeom>
                          <a:noFill/>
                          <a:ln>
                            <a:noFill/>
                          </a:ln>
                        </pic:spPr>
                      </pic:pic>
                    </a:graphicData>
                  </a:graphic>
                </wp:inline>
              </w:drawing>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④将室外声级Loct,2</w:t>
            </w:r>
            <w:r>
              <w:rPr>
                <w:rFonts w:hint="eastAsia"/>
                <w:color w:val="auto"/>
                <w:szCs w:val="20"/>
                <w:highlight w:val="none"/>
              </w:rPr>
              <w:t>（</w:t>
            </w:r>
            <w:r>
              <w:rPr>
                <w:rFonts w:hint="default"/>
                <w:color w:val="auto"/>
                <w:szCs w:val="20"/>
                <w:highlight w:val="none"/>
              </w:rPr>
              <w:t>T</w:t>
            </w:r>
            <w:r>
              <w:rPr>
                <w:rFonts w:hint="eastAsia"/>
                <w:color w:val="auto"/>
                <w:szCs w:val="20"/>
                <w:highlight w:val="none"/>
              </w:rPr>
              <w:t>）</w:t>
            </w:r>
            <w:r>
              <w:rPr>
                <w:rFonts w:hint="default"/>
                <w:color w:val="auto"/>
                <w:szCs w:val="20"/>
                <w:highlight w:val="none"/>
              </w:rPr>
              <w:t>和透声面积换算成等效的室外声源，计算等效声源第i个倍频带的声功率级Lw oct：</w:t>
            </w:r>
          </w:p>
          <w:p>
            <w:pPr>
              <w:keepNext w:val="0"/>
              <w:keepLines w:val="0"/>
              <w:suppressLineNumbers w:val="0"/>
              <w:spacing w:before="0" w:beforeAutospacing="0" w:after="0" w:afterAutospacing="0"/>
              <w:ind w:left="0" w:right="0" w:firstLine="0" w:firstLineChars="0"/>
              <w:jc w:val="center"/>
              <w:rPr>
                <w:rFonts w:hint="default"/>
                <w:color w:val="auto"/>
                <w:szCs w:val="20"/>
                <w:highlight w:val="none"/>
              </w:rPr>
            </w:pPr>
            <w:r>
              <w:rPr>
                <w:rFonts w:hint="default"/>
                <w:color w:val="auto"/>
                <w:szCs w:val="20"/>
                <w:highlight w:val="none"/>
              </w:rPr>
              <w:drawing>
                <wp:inline distT="0" distB="0" distL="114300" distR="114300">
                  <wp:extent cx="2724785" cy="366395"/>
                  <wp:effectExtent l="0" t="0" r="18415" b="14605"/>
                  <wp:docPr id="12" name="图片 5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53"/>
                          <pic:cNvPicPr>
                            <a:picLocks noChangeAspect="true"/>
                          </pic:cNvPicPr>
                        </pic:nvPicPr>
                        <pic:blipFill>
                          <a:blip r:embed="rId14" cstate="print"/>
                          <a:srcRect r="11382" b="14453"/>
                          <a:stretch>
                            <a:fillRect/>
                          </a:stretch>
                        </pic:blipFill>
                        <pic:spPr>
                          <a:xfrm>
                            <a:off x="0" y="0"/>
                            <a:ext cx="2724785" cy="366395"/>
                          </a:xfrm>
                          <a:prstGeom prst="rect">
                            <a:avLst/>
                          </a:prstGeom>
                          <a:noFill/>
                          <a:ln>
                            <a:noFill/>
                          </a:ln>
                        </pic:spPr>
                      </pic:pic>
                    </a:graphicData>
                  </a:graphic>
                </wp:inline>
              </w:drawing>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式中：S—透声面积，m</w:t>
            </w:r>
            <w:r>
              <w:rPr>
                <w:rFonts w:hint="default"/>
                <w:color w:val="auto"/>
                <w:szCs w:val="20"/>
                <w:highlight w:val="none"/>
                <w:vertAlign w:val="superscript"/>
              </w:rPr>
              <w:t>2</w:t>
            </w:r>
            <w:r>
              <w:rPr>
                <w:rFonts w:hint="default"/>
                <w:color w:val="auto"/>
                <w:szCs w:val="20"/>
                <w:highlight w:val="none"/>
              </w:rPr>
              <w:t>。</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⑤等效室外声源的位置为围护结构的位置，其倍频带声功率级为Lwoct，由此按室外声源方法计算等效室外声源在预测点产生的声级。</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⑥计算某个室外声源在预测点产生的倍频带声压级：</w:t>
            </w:r>
          </w:p>
          <w:p>
            <w:pPr>
              <w:keepNext w:val="0"/>
              <w:keepLines w:val="0"/>
              <w:suppressLineNumbers w:val="0"/>
              <w:spacing w:before="0" w:beforeAutospacing="0" w:after="0" w:afterAutospacing="0"/>
              <w:ind w:left="0" w:right="0" w:firstLine="0" w:firstLineChars="0"/>
              <w:jc w:val="center"/>
              <w:rPr>
                <w:rFonts w:hint="default"/>
                <w:color w:val="auto"/>
                <w:szCs w:val="20"/>
                <w:highlight w:val="none"/>
              </w:rPr>
            </w:pPr>
            <w:r>
              <w:rPr>
                <w:rFonts w:hint="default"/>
                <w:color w:val="auto"/>
                <w:szCs w:val="20"/>
                <w:highlight w:val="none"/>
              </w:rPr>
              <w:drawing>
                <wp:inline distT="0" distB="0" distL="114300" distR="114300">
                  <wp:extent cx="3035935" cy="367665"/>
                  <wp:effectExtent l="0" t="0" r="12065" b="13335"/>
                  <wp:docPr id="13" name="图片 5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54"/>
                          <pic:cNvPicPr>
                            <a:picLocks noChangeAspect="true"/>
                          </pic:cNvPicPr>
                        </pic:nvPicPr>
                        <pic:blipFill>
                          <a:blip r:embed="rId15" cstate="print"/>
                          <a:srcRect t="9940" r="6743" b="9818"/>
                          <a:stretch>
                            <a:fillRect/>
                          </a:stretch>
                        </pic:blipFill>
                        <pic:spPr>
                          <a:xfrm>
                            <a:off x="0" y="0"/>
                            <a:ext cx="3035935" cy="367665"/>
                          </a:xfrm>
                          <a:prstGeom prst="rect">
                            <a:avLst/>
                          </a:prstGeom>
                          <a:noFill/>
                          <a:ln>
                            <a:noFill/>
                          </a:ln>
                        </pic:spPr>
                      </pic:pic>
                    </a:graphicData>
                  </a:graphic>
                </wp:inline>
              </w:drawing>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式中：Loct</w:t>
            </w:r>
            <w:r>
              <w:rPr>
                <w:rFonts w:hint="eastAsia"/>
                <w:color w:val="auto"/>
                <w:szCs w:val="20"/>
                <w:highlight w:val="none"/>
              </w:rPr>
              <w:t>（</w:t>
            </w:r>
            <w:r>
              <w:rPr>
                <w:rFonts w:hint="default"/>
                <w:color w:val="auto"/>
                <w:szCs w:val="20"/>
                <w:highlight w:val="none"/>
              </w:rPr>
              <w:t>r</w:t>
            </w:r>
            <w:r>
              <w:rPr>
                <w:rFonts w:hint="eastAsia"/>
                <w:color w:val="auto"/>
                <w:szCs w:val="20"/>
                <w:highlight w:val="none"/>
              </w:rPr>
              <w:t>）：</w:t>
            </w:r>
            <w:r>
              <w:rPr>
                <w:rFonts w:hint="default"/>
                <w:color w:val="auto"/>
                <w:szCs w:val="20"/>
                <w:highlight w:val="none"/>
              </w:rPr>
              <w:t>点声源在预测点产生的倍频带声压级，dB；</w:t>
            </w:r>
          </w:p>
          <w:p>
            <w:pPr>
              <w:keepNext w:val="0"/>
              <w:keepLines w:val="0"/>
              <w:suppressLineNumbers w:val="0"/>
              <w:spacing w:before="0" w:beforeAutospacing="0" w:after="0" w:afterAutospacing="0"/>
              <w:ind w:left="0" w:right="0" w:firstLine="1200" w:firstLineChars="500"/>
              <w:rPr>
                <w:rFonts w:hint="default"/>
                <w:color w:val="auto"/>
                <w:szCs w:val="20"/>
                <w:highlight w:val="none"/>
              </w:rPr>
            </w:pPr>
            <w:r>
              <w:rPr>
                <w:rFonts w:hint="default"/>
                <w:color w:val="auto"/>
                <w:szCs w:val="20"/>
                <w:highlight w:val="none"/>
              </w:rPr>
              <w:t>Loct</w:t>
            </w:r>
            <w:r>
              <w:rPr>
                <w:rFonts w:hint="eastAsia"/>
                <w:color w:val="auto"/>
                <w:szCs w:val="20"/>
                <w:highlight w:val="none"/>
              </w:rPr>
              <w:t>（</w:t>
            </w:r>
            <w:r>
              <w:rPr>
                <w:rFonts w:hint="default"/>
                <w:color w:val="auto"/>
                <w:szCs w:val="20"/>
                <w:highlight w:val="none"/>
              </w:rPr>
              <w:t>r0</w:t>
            </w:r>
            <w:r>
              <w:rPr>
                <w:rFonts w:hint="eastAsia"/>
                <w:color w:val="auto"/>
                <w:szCs w:val="20"/>
                <w:highlight w:val="none"/>
              </w:rPr>
              <w:t>）：</w:t>
            </w:r>
            <w:r>
              <w:rPr>
                <w:rFonts w:hint="default"/>
                <w:color w:val="auto"/>
                <w:szCs w:val="20"/>
                <w:highlight w:val="none"/>
              </w:rPr>
              <w:t>参考位置r0处的倍频带声压级，dB；</w:t>
            </w:r>
          </w:p>
          <w:p>
            <w:pPr>
              <w:keepNext w:val="0"/>
              <w:keepLines w:val="0"/>
              <w:suppressLineNumbers w:val="0"/>
              <w:spacing w:before="0" w:beforeAutospacing="0" w:after="0" w:afterAutospacing="0"/>
              <w:ind w:left="0" w:right="0" w:firstLine="1200" w:firstLineChars="500"/>
              <w:rPr>
                <w:rFonts w:hint="default"/>
                <w:color w:val="auto"/>
                <w:szCs w:val="20"/>
                <w:highlight w:val="none"/>
              </w:rPr>
            </w:pPr>
            <w:r>
              <w:rPr>
                <w:rFonts w:hint="default"/>
                <w:color w:val="auto"/>
                <w:szCs w:val="20"/>
                <w:highlight w:val="none"/>
              </w:rPr>
              <w:t>r</w:t>
            </w:r>
            <w:r>
              <w:rPr>
                <w:rFonts w:hint="eastAsia"/>
                <w:color w:val="auto"/>
                <w:szCs w:val="20"/>
                <w:highlight w:val="none"/>
              </w:rPr>
              <w:t>：</w:t>
            </w:r>
            <w:r>
              <w:rPr>
                <w:rFonts w:hint="default"/>
                <w:color w:val="auto"/>
                <w:szCs w:val="20"/>
                <w:highlight w:val="none"/>
              </w:rPr>
              <w:t>预测点距声源的距离，m；</w:t>
            </w:r>
          </w:p>
          <w:p>
            <w:pPr>
              <w:keepNext w:val="0"/>
              <w:keepLines w:val="0"/>
              <w:suppressLineNumbers w:val="0"/>
              <w:spacing w:before="0" w:beforeAutospacing="0" w:after="0" w:afterAutospacing="0"/>
              <w:ind w:left="0" w:right="0" w:firstLine="1200" w:firstLineChars="500"/>
              <w:rPr>
                <w:rFonts w:hint="default"/>
                <w:color w:val="auto"/>
                <w:szCs w:val="20"/>
                <w:highlight w:val="none"/>
              </w:rPr>
            </w:pPr>
            <w:r>
              <w:rPr>
                <w:rFonts w:hint="default"/>
                <w:color w:val="auto"/>
                <w:szCs w:val="20"/>
                <w:highlight w:val="none"/>
              </w:rPr>
              <w:t>r0</w:t>
            </w:r>
            <w:r>
              <w:rPr>
                <w:rFonts w:hint="eastAsia"/>
                <w:color w:val="auto"/>
                <w:szCs w:val="20"/>
                <w:highlight w:val="none"/>
              </w:rPr>
              <w:t>：</w:t>
            </w:r>
            <w:r>
              <w:rPr>
                <w:rFonts w:hint="default"/>
                <w:color w:val="auto"/>
                <w:szCs w:val="20"/>
                <w:highlight w:val="none"/>
              </w:rPr>
              <w:t>参考位置距声源的距离，m；</w:t>
            </w:r>
          </w:p>
          <w:p>
            <w:pPr>
              <w:keepNext w:val="0"/>
              <w:keepLines w:val="0"/>
              <w:suppressLineNumbers w:val="0"/>
              <w:spacing w:before="0" w:beforeAutospacing="0" w:after="0" w:afterAutospacing="0"/>
              <w:ind w:left="0" w:right="0" w:firstLine="1200" w:firstLineChars="500"/>
              <w:rPr>
                <w:rFonts w:hint="default"/>
                <w:color w:val="auto"/>
                <w:szCs w:val="20"/>
                <w:highlight w:val="none"/>
              </w:rPr>
            </w:pPr>
            <w:r>
              <w:rPr>
                <w:rFonts w:hint="default"/>
                <w:color w:val="auto"/>
                <w:szCs w:val="20"/>
                <w:highlight w:val="none"/>
              </w:rPr>
              <w:t>Loct</w:t>
            </w:r>
            <w:r>
              <w:rPr>
                <w:rFonts w:hint="eastAsia"/>
                <w:color w:val="auto"/>
                <w:szCs w:val="20"/>
                <w:highlight w:val="none"/>
              </w:rPr>
              <w:t>：</w:t>
            </w:r>
            <w:r>
              <w:rPr>
                <w:rFonts w:hint="default"/>
                <w:color w:val="auto"/>
                <w:szCs w:val="20"/>
                <w:highlight w:val="none"/>
              </w:rPr>
              <w:t>各种因素引起的衰减量</w:t>
            </w:r>
            <w:r>
              <w:rPr>
                <w:rFonts w:hint="eastAsia"/>
                <w:color w:val="auto"/>
                <w:szCs w:val="20"/>
                <w:highlight w:val="none"/>
              </w:rPr>
              <w:t>（</w:t>
            </w:r>
            <w:r>
              <w:rPr>
                <w:rFonts w:hint="default"/>
                <w:color w:val="auto"/>
                <w:szCs w:val="20"/>
                <w:highlight w:val="none"/>
              </w:rPr>
              <w:t>包括声屏障、遮挡物、空气吸收、地面效应引起的衰减量，计算方法详见导则</w:t>
            </w:r>
            <w:r>
              <w:rPr>
                <w:rFonts w:hint="eastAsia"/>
                <w:color w:val="auto"/>
                <w:szCs w:val="20"/>
                <w:highlight w:val="none"/>
              </w:rPr>
              <w:t>）</w:t>
            </w:r>
            <w:r>
              <w:rPr>
                <w:rFonts w:hint="default"/>
                <w:color w:val="auto"/>
                <w:szCs w:val="20"/>
                <w:highlight w:val="none"/>
              </w:rPr>
              <w:t>。</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⑦由各倍频带声压级合成计算该声源产生的A声级Leq</w:t>
            </w:r>
            <w:r>
              <w:rPr>
                <w:rFonts w:hint="eastAsia"/>
                <w:color w:val="auto"/>
                <w:szCs w:val="20"/>
                <w:highlight w:val="none"/>
              </w:rPr>
              <w:t>（</w:t>
            </w:r>
            <w:r>
              <w:rPr>
                <w:rFonts w:hint="default"/>
                <w:color w:val="auto"/>
                <w:szCs w:val="20"/>
                <w:highlight w:val="none"/>
              </w:rPr>
              <w:t>A</w:t>
            </w:r>
            <w:r>
              <w:rPr>
                <w:rFonts w:hint="eastAsia"/>
                <w:color w:val="auto"/>
                <w:szCs w:val="20"/>
                <w:highlight w:val="none"/>
              </w:rPr>
              <w:t>）</w:t>
            </w:r>
            <w:r>
              <w:rPr>
                <w:rFonts w:hint="default"/>
                <w:color w:val="auto"/>
                <w:szCs w:val="20"/>
                <w:highlight w:val="none"/>
              </w:rPr>
              <w:t>。</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⑧计算总声压级设第i个室外声源在预测点产生的A声级为LA in,i，在T时间内该声源工作时间为tin,i；第j个等效室外声源在预测点产生的A声级为LAout,j，在T时间内该声源工作时间为tout,j，则预测点的总等效声级为：</w:t>
            </w:r>
          </w:p>
          <w:p>
            <w:pPr>
              <w:keepNext w:val="0"/>
              <w:keepLines w:val="0"/>
              <w:suppressLineNumbers w:val="0"/>
              <w:spacing w:before="0" w:beforeAutospacing="0" w:after="0" w:afterAutospacing="0"/>
              <w:ind w:left="0" w:right="0" w:firstLine="0" w:firstLineChars="0"/>
              <w:jc w:val="center"/>
              <w:rPr>
                <w:rFonts w:hint="default"/>
                <w:color w:val="auto"/>
                <w:szCs w:val="20"/>
                <w:highlight w:val="none"/>
              </w:rPr>
            </w:pPr>
            <w:r>
              <w:rPr>
                <w:rFonts w:hint="default"/>
                <w:color w:val="auto"/>
                <w:szCs w:val="20"/>
                <w:highlight w:val="none"/>
              </w:rPr>
              <w:drawing>
                <wp:inline distT="0" distB="0" distL="114300" distR="114300">
                  <wp:extent cx="3970020" cy="441960"/>
                  <wp:effectExtent l="0" t="0" r="11430" b="15240"/>
                  <wp:docPr id="14" name="图片 8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87"/>
                          <pic:cNvPicPr>
                            <a:picLocks noChangeAspect="true"/>
                          </pic:cNvPicPr>
                        </pic:nvPicPr>
                        <pic:blipFill>
                          <a:blip r:embed="rId16" cstate="print"/>
                          <a:srcRect l="6604" t="13501" r="1442"/>
                          <a:stretch>
                            <a:fillRect/>
                          </a:stretch>
                        </pic:blipFill>
                        <pic:spPr>
                          <a:xfrm>
                            <a:off x="0" y="0"/>
                            <a:ext cx="3970020" cy="441960"/>
                          </a:xfrm>
                          <a:prstGeom prst="rect">
                            <a:avLst/>
                          </a:prstGeom>
                          <a:noFill/>
                          <a:ln>
                            <a:noFill/>
                          </a:ln>
                        </pic:spPr>
                      </pic:pic>
                    </a:graphicData>
                  </a:graphic>
                </wp:inline>
              </w:drawing>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式中：T—计算等效声级的时间，h；</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N—室外声源个数，M为等效室外声源个数。</w:t>
            </w:r>
          </w:p>
          <w:p>
            <w:pPr>
              <w:keepNext w:val="0"/>
              <w:keepLines w:val="0"/>
              <w:suppressLineNumbers w:val="0"/>
              <w:spacing w:before="0" w:beforeAutospacing="0" w:after="0" w:afterAutospacing="0"/>
              <w:ind w:left="0" w:right="0" w:firstLine="480"/>
              <w:rPr>
                <w:rFonts w:hint="default"/>
                <w:color w:val="auto"/>
                <w:szCs w:val="20"/>
                <w:highlight w:val="none"/>
                <w:lang w:val="en-US" w:eastAsia="zh-CN"/>
              </w:rPr>
            </w:pPr>
            <w:r>
              <w:rPr>
                <w:rFonts w:hint="eastAsia"/>
                <w:color w:val="auto"/>
                <w:szCs w:val="20"/>
                <w:highlight w:val="none"/>
                <w:lang w:val="en-US" w:eastAsia="zh-CN"/>
              </w:rPr>
              <w:t>本次全厂噪声影响，用厂界预测值评价超标或达标情况，预测结果如下</w:t>
            </w:r>
            <w:r>
              <w:rPr>
                <w:rFonts w:hint="eastAsia" w:ascii="Times New Roman" w:eastAsia="宋体"/>
                <w:color w:val="auto"/>
                <w:szCs w:val="20"/>
                <w:highlight w:val="none"/>
                <w:lang w:val="en-US" w:eastAsia="zh-CN"/>
              </w:rPr>
              <w:t>：</w:t>
            </w:r>
          </w:p>
          <w:p>
            <w:pPr>
              <w:pStyle w:val="8"/>
              <w:keepNext w:val="0"/>
              <w:keepLines w:val="0"/>
              <w:suppressLineNumbers w:val="0"/>
              <w:spacing w:before="0" w:beforeAutospacing="0" w:after="0" w:afterAutospacing="0"/>
              <w:ind w:left="0" w:right="0"/>
              <w:rPr>
                <w:rFonts w:hint="eastAsia" w:eastAsia="宋体"/>
                <w:szCs w:val="20"/>
                <w:lang w:eastAsia="zh-CN"/>
              </w:rPr>
            </w:pPr>
            <w:r>
              <w:rPr>
                <w:rFonts w:hint="default"/>
                <w:szCs w:val="20"/>
              </w:rPr>
              <w:t xml:space="preserve">表 </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4</w:t>
            </w:r>
            <w:r>
              <w:rPr>
                <w:rFonts w:hint="default"/>
                <w:szCs w:val="20"/>
              </w:rPr>
              <w:fldChar w:fldCharType="end"/>
            </w:r>
            <w:r>
              <w:rPr>
                <w:rFonts w:hint="eastAsia"/>
                <w:szCs w:val="20"/>
                <w:lang w:eastAsia="zh-CN"/>
              </w:rPr>
              <w:t>-</w:t>
            </w:r>
            <w:r>
              <w:rPr>
                <w:rFonts w:hint="eastAsia"/>
                <w:szCs w:val="20"/>
                <w:lang w:val="en-US" w:eastAsia="zh-CN"/>
              </w:rPr>
              <w:t>9</w:t>
            </w:r>
            <w:r>
              <w:rPr>
                <w:rFonts w:hint="eastAsia"/>
                <w:szCs w:val="20"/>
                <w:lang w:eastAsia="zh-CN"/>
              </w:rPr>
              <w:t>企业全厂厂界噪声预测结果  单位：dB（A）</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09"/>
              <w:gridCol w:w="1207"/>
              <w:gridCol w:w="1202"/>
              <w:gridCol w:w="1202"/>
              <w:gridCol w:w="1196"/>
              <w:gridCol w:w="1196"/>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3" w:hRule="atLeast"/>
                <w:jc w:val="center"/>
              </w:trPr>
              <w:tc>
                <w:tcPr>
                  <w:tcW w:w="666" w:type="pct"/>
                  <w:vMerge w:val="restart"/>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方位</w:t>
                  </w:r>
                </w:p>
              </w:tc>
              <w:tc>
                <w:tcPr>
                  <w:tcW w:w="725" w:type="pct"/>
                  <w:vMerge w:val="restart"/>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昼间贡献值</w:t>
                  </w:r>
                </w:p>
              </w:tc>
              <w:tc>
                <w:tcPr>
                  <w:tcW w:w="722" w:type="pct"/>
                  <w:vMerge w:val="restart"/>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夜间贡献值</w:t>
                  </w:r>
                </w:p>
              </w:tc>
              <w:tc>
                <w:tcPr>
                  <w:tcW w:w="722" w:type="pct"/>
                  <w:vMerge w:val="restart"/>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昼间标准值</w:t>
                  </w:r>
                </w:p>
              </w:tc>
              <w:tc>
                <w:tcPr>
                  <w:tcW w:w="718" w:type="pct"/>
                  <w:vMerge w:val="restart"/>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夜间标准值</w:t>
                  </w:r>
                </w:p>
              </w:tc>
              <w:tc>
                <w:tcPr>
                  <w:tcW w:w="1443" w:type="pct"/>
                  <w:gridSpan w:val="2"/>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3" w:hRule="atLeast"/>
                <w:jc w:val="center"/>
              </w:trPr>
              <w:tc>
                <w:tcPr>
                  <w:tcW w:w="666" w:type="pct"/>
                  <w:vMerge w:val="continue"/>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p>
              </w:tc>
              <w:tc>
                <w:tcPr>
                  <w:tcW w:w="725" w:type="pct"/>
                  <w:vMerge w:val="continue"/>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p>
              </w:tc>
              <w:tc>
                <w:tcPr>
                  <w:tcW w:w="722" w:type="pct"/>
                  <w:vMerge w:val="continue"/>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p>
              </w:tc>
              <w:tc>
                <w:tcPr>
                  <w:tcW w:w="722" w:type="pct"/>
                  <w:vMerge w:val="continue"/>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p>
              </w:tc>
              <w:tc>
                <w:tcPr>
                  <w:tcW w:w="718" w:type="pct"/>
                  <w:vMerge w:val="continue"/>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p>
              </w:tc>
              <w:tc>
                <w:tcPr>
                  <w:tcW w:w="718" w:type="pct"/>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昼间</w:t>
                  </w:r>
                </w:p>
              </w:tc>
              <w:tc>
                <w:tcPr>
                  <w:tcW w:w="724" w:type="pct"/>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6" w:type="pct"/>
                  <w:shd w:val="clear" w:color="auto" w:fill="auto"/>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东</w:t>
                  </w:r>
                  <w:r>
                    <w:rPr>
                      <w:rFonts w:hint="default"/>
                      <w:color w:val="auto"/>
                      <w:szCs w:val="20"/>
                      <w:highlight w:val="none"/>
                    </w:rPr>
                    <w:t>厂界</w:t>
                  </w:r>
                </w:p>
              </w:tc>
              <w:tc>
                <w:tcPr>
                  <w:tcW w:w="1207" w:type="dxa"/>
                  <w:shd w:val="clear" w:color="auto" w:fill="auto"/>
                  <w:vAlign w:val="center"/>
                </w:tcPr>
                <w:p>
                  <w:pPr>
                    <w:pStyle w:val="31"/>
                    <w:keepNext w:val="0"/>
                    <w:keepLines w:val="0"/>
                    <w:suppressLineNumbers w:val="0"/>
                    <w:spacing w:before="0" w:beforeAutospacing="0" w:after="0" w:afterAutospacing="0"/>
                    <w:ind w:left="0" w:right="0"/>
                    <w:rPr>
                      <w:rFonts w:hint="default"/>
                      <w:color w:val="auto"/>
                      <w:szCs w:val="20"/>
                      <w:highlight w:val="none"/>
                      <w:lang w:val="en-US" w:eastAsia="zh-CN"/>
                    </w:rPr>
                  </w:pPr>
                  <w:r>
                    <w:rPr>
                      <w:rFonts w:hint="eastAsia"/>
                      <w:color w:val="auto"/>
                      <w:szCs w:val="20"/>
                      <w:highlight w:val="none"/>
                      <w:lang w:val="en-US" w:eastAsia="zh-CN"/>
                    </w:rPr>
                    <w:t>46.2</w:t>
                  </w:r>
                </w:p>
              </w:tc>
              <w:tc>
                <w:tcPr>
                  <w:tcW w:w="1202" w:type="dxa"/>
                  <w:shd w:val="clear" w:color="auto" w:fill="auto"/>
                  <w:vAlign w:val="center"/>
                </w:tcPr>
                <w:p>
                  <w:pPr>
                    <w:pStyle w:val="31"/>
                    <w:keepNext w:val="0"/>
                    <w:keepLines w:val="0"/>
                    <w:suppressLineNumbers w:val="0"/>
                    <w:spacing w:before="0" w:beforeAutospacing="0" w:after="0" w:afterAutospacing="0"/>
                    <w:ind w:left="0" w:leftChars="0" w:right="0" w:rightChars="0" w:firstLine="0" w:firstLineChars="0"/>
                    <w:rPr>
                      <w:rFonts w:hint="default"/>
                      <w:color w:val="auto"/>
                      <w:szCs w:val="20"/>
                      <w:highlight w:val="none"/>
                      <w:lang w:val="en-US" w:eastAsia="zh-CN"/>
                    </w:rPr>
                  </w:pPr>
                  <w:r>
                    <w:rPr>
                      <w:rFonts w:hint="eastAsia" w:ascii="Times New Roman" w:hAnsi="Times New Roman" w:eastAsia="宋体" w:cs="Times New Roman"/>
                      <w:color w:val="auto"/>
                      <w:szCs w:val="20"/>
                      <w:highlight w:val="none"/>
                      <w:lang w:val="en-US" w:eastAsia="zh-CN"/>
                    </w:rPr>
                    <w:t>不生产</w:t>
                  </w:r>
                </w:p>
              </w:tc>
              <w:tc>
                <w:tcPr>
                  <w:tcW w:w="722" w:type="pct"/>
                  <w:vMerge w:val="restart"/>
                  <w:vAlign w:val="center"/>
                </w:tcPr>
                <w:p>
                  <w:pPr>
                    <w:pStyle w:val="31"/>
                    <w:keepNext w:val="0"/>
                    <w:keepLines w:val="0"/>
                    <w:suppressLineNumbers w:val="0"/>
                    <w:spacing w:before="0" w:beforeAutospacing="0" w:after="0" w:afterAutospacing="0"/>
                    <w:ind w:left="0" w:right="0"/>
                    <w:rPr>
                      <w:rFonts w:hint="eastAsia" w:eastAsia="宋体"/>
                      <w:color w:val="auto"/>
                      <w:szCs w:val="20"/>
                      <w:highlight w:val="none"/>
                      <w:lang w:eastAsia="zh-CN"/>
                    </w:rPr>
                  </w:pPr>
                  <w:r>
                    <w:rPr>
                      <w:rFonts w:hint="default"/>
                      <w:color w:val="auto"/>
                      <w:szCs w:val="20"/>
                      <w:highlight w:val="none"/>
                    </w:rPr>
                    <w:t>6</w:t>
                  </w:r>
                  <w:r>
                    <w:rPr>
                      <w:rFonts w:hint="eastAsia"/>
                      <w:color w:val="auto"/>
                      <w:szCs w:val="20"/>
                      <w:highlight w:val="none"/>
                      <w:lang w:val="en-US" w:eastAsia="zh-CN"/>
                    </w:rPr>
                    <w:t>5</w:t>
                  </w:r>
                </w:p>
              </w:tc>
              <w:tc>
                <w:tcPr>
                  <w:tcW w:w="718" w:type="pct"/>
                  <w:vMerge w:val="restart"/>
                  <w:vAlign w:val="center"/>
                </w:tcPr>
                <w:p>
                  <w:pPr>
                    <w:pStyle w:val="31"/>
                    <w:keepNext w:val="0"/>
                    <w:keepLines w:val="0"/>
                    <w:suppressLineNumbers w:val="0"/>
                    <w:spacing w:before="0" w:beforeAutospacing="0" w:after="0" w:afterAutospacing="0"/>
                    <w:ind w:left="0" w:right="0"/>
                    <w:rPr>
                      <w:rFonts w:hint="eastAsia" w:eastAsia="宋体"/>
                      <w:color w:val="auto"/>
                      <w:szCs w:val="20"/>
                      <w:highlight w:val="none"/>
                      <w:lang w:eastAsia="zh-CN"/>
                    </w:rPr>
                  </w:pPr>
                  <w:r>
                    <w:rPr>
                      <w:rFonts w:hint="eastAsia"/>
                      <w:color w:val="auto"/>
                      <w:szCs w:val="20"/>
                      <w:highlight w:val="none"/>
                    </w:rPr>
                    <w:t>5</w:t>
                  </w:r>
                  <w:r>
                    <w:rPr>
                      <w:rFonts w:hint="eastAsia"/>
                      <w:color w:val="auto"/>
                      <w:szCs w:val="20"/>
                      <w:highlight w:val="none"/>
                      <w:lang w:val="en-US" w:eastAsia="zh-CN"/>
                    </w:rPr>
                    <w:t>5</w:t>
                  </w:r>
                </w:p>
              </w:tc>
              <w:tc>
                <w:tcPr>
                  <w:tcW w:w="718" w:type="pct"/>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达标</w:t>
                  </w:r>
                </w:p>
              </w:tc>
              <w:tc>
                <w:tcPr>
                  <w:tcW w:w="724" w:type="pct"/>
                  <w:shd w:val="clear" w:color="auto" w:fill="auto"/>
                  <w:vAlign w:val="center"/>
                </w:tcPr>
                <w:p>
                  <w:pPr>
                    <w:pStyle w:val="31"/>
                    <w:keepNext w:val="0"/>
                    <w:keepLines w:val="0"/>
                    <w:suppressLineNumbers w:val="0"/>
                    <w:spacing w:before="0" w:beforeAutospacing="0" w:after="0" w:afterAutospacing="0"/>
                    <w:ind w:left="0" w:right="0"/>
                    <w:rPr>
                      <w:rFonts w:hint="default" w:ascii="Times New Roman" w:hAnsi="Times New Roman" w:eastAsia="宋体" w:cs="Times New Roman"/>
                      <w:color w:val="auto"/>
                      <w:szCs w:val="20"/>
                      <w:highlight w:val="none"/>
                      <w:lang w:val="en-US" w:eastAsia="zh-CN"/>
                    </w:rPr>
                  </w:pPr>
                  <w:r>
                    <w:rPr>
                      <w:rFonts w:hint="eastAsia" w:ascii="Times New Roman" w:hAnsi="Times New Roman" w:eastAsia="宋体" w:cs="Times New Roman"/>
                      <w:color w:val="auto"/>
                      <w:szCs w:val="20"/>
                      <w:highlight w:val="none"/>
                      <w:lang w:val="en-US" w:eastAsia="zh-CN"/>
                    </w:rPr>
                    <w:t>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6" w:type="pct"/>
                  <w:shd w:val="clear" w:color="auto" w:fill="auto"/>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南厂界</w:t>
                  </w:r>
                </w:p>
              </w:tc>
              <w:tc>
                <w:tcPr>
                  <w:tcW w:w="1207" w:type="dxa"/>
                  <w:shd w:val="clear" w:color="auto" w:fill="auto"/>
                  <w:vAlign w:val="center"/>
                </w:tcPr>
                <w:p>
                  <w:pPr>
                    <w:pStyle w:val="31"/>
                    <w:keepNext w:val="0"/>
                    <w:keepLines w:val="0"/>
                    <w:suppressLineNumbers w:val="0"/>
                    <w:spacing w:before="0" w:beforeAutospacing="0" w:after="0" w:afterAutospacing="0"/>
                    <w:ind w:left="0" w:right="0"/>
                    <w:rPr>
                      <w:rFonts w:hint="default"/>
                      <w:color w:val="auto"/>
                      <w:szCs w:val="20"/>
                      <w:highlight w:val="none"/>
                      <w:lang w:val="en-US"/>
                    </w:rPr>
                  </w:pPr>
                  <w:r>
                    <w:rPr>
                      <w:rFonts w:hint="eastAsia"/>
                      <w:color w:val="auto"/>
                      <w:szCs w:val="20"/>
                      <w:highlight w:val="none"/>
                      <w:lang w:val="en-US" w:eastAsia="zh-CN"/>
                    </w:rPr>
                    <w:t>44.8</w:t>
                  </w:r>
                </w:p>
              </w:tc>
              <w:tc>
                <w:tcPr>
                  <w:tcW w:w="1202" w:type="dxa"/>
                  <w:shd w:val="clear" w:color="auto" w:fill="auto"/>
                  <w:vAlign w:val="center"/>
                </w:tcPr>
                <w:p>
                  <w:pPr>
                    <w:pStyle w:val="31"/>
                    <w:keepNext w:val="0"/>
                    <w:keepLines w:val="0"/>
                    <w:suppressLineNumbers w:val="0"/>
                    <w:spacing w:before="0" w:beforeAutospacing="0" w:after="0" w:afterAutospacing="0"/>
                    <w:ind w:left="0" w:leftChars="0" w:right="0" w:rightChars="0" w:firstLine="0" w:firstLineChars="0"/>
                    <w:rPr>
                      <w:rFonts w:hint="default"/>
                      <w:color w:val="auto"/>
                      <w:szCs w:val="20"/>
                      <w:highlight w:val="none"/>
                    </w:rPr>
                  </w:pPr>
                  <w:r>
                    <w:rPr>
                      <w:rFonts w:hint="eastAsia" w:ascii="Times New Roman" w:hAnsi="Times New Roman" w:eastAsia="宋体" w:cs="Times New Roman"/>
                      <w:color w:val="auto"/>
                      <w:szCs w:val="20"/>
                      <w:highlight w:val="none"/>
                      <w:lang w:val="en-US" w:eastAsia="zh-CN"/>
                    </w:rPr>
                    <w:t>不生产</w:t>
                  </w:r>
                </w:p>
              </w:tc>
              <w:tc>
                <w:tcPr>
                  <w:tcW w:w="722" w:type="pct"/>
                  <w:vMerge w:val="continue"/>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p>
              </w:tc>
              <w:tc>
                <w:tcPr>
                  <w:tcW w:w="718" w:type="pct"/>
                  <w:vMerge w:val="continue"/>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p>
              </w:tc>
              <w:tc>
                <w:tcPr>
                  <w:tcW w:w="718" w:type="pct"/>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达标</w:t>
                  </w:r>
                </w:p>
              </w:tc>
              <w:tc>
                <w:tcPr>
                  <w:tcW w:w="724" w:type="pct"/>
                  <w:shd w:val="clear" w:color="auto" w:fill="auto"/>
                  <w:vAlign w:val="center"/>
                </w:tcPr>
                <w:p>
                  <w:pPr>
                    <w:pStyle w:val="31"/>
                    <w:keepNext w:val="0"/>
                    <w:keepLines w:val="0"/>
                    <w:suppressLineNumbers w:val="0"/>
                    <w:spacing w:before="0" w:beforeAutospacing="0" w:after="0" w:afterAutospacing="0"/>
                    <w:ind w:left="0" w:right="0"/>
                    <w:rPr>
                      <w:rFonts w:hint="default" w:ascii="Times New Roman" w:hAnsi="Times New Roman" w:eastAsia="宋体" w:cs="Times New Roman"/>
                      <w:color w:val="auto"/>
                      <w:szCs w:val="20"/>
                      <w:highlight w:val="none"/>
                      <w:lang w:val="en-US" w:eastAsia="zh-CN"/>
                    </w:rPr>
                  </w:pPr>
                  <w:r>
                    <w:rPr>
                      <w:rFonts w:hint="eastAsia" w:ascii="Times New Roman" w:hAnsi="Times New Roman" w:eastAsia="宋体" w:cs="Times New Roman"/>
                      <w:color w:val="auto"/>
                      <w:szCs w:val="20"/>
                      <w:highlight w:val="none"/>
                      <w:lang w:val="en-US" w:eastAsia="zh-CN"/>
                    </w:rPr>
                    <w:t>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6" w:type="pct"/>
                  <w:shd w:val="clear" w:color="auto" w:fill="auto"/>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西厂界</w:t>
                  </w:r>
                </w:p>
              </w:tc>
              <w:tc>
                <w:tcPr>
                  <w:tcW w:w="1207" w:type="dxa"/>
                  <w:shd w:val="clear" w:color="auto" w:fill="auto"/>
                  <w:vAlign w:val="center"/>
                </w:tcPr>
                <w:p>
                  <w:pPr>
                    <w:pStyle w:val="31"/>
                    <w:keepNext w:val="0"/>
                    <w:keepLines w:val="0"/>
                    <w:suppressLineNumbers w:val="0"/>
                    <w:spacing w:before="0" w:beforeAutospacing="0" w:after="0" w:afterAutospacing="0"/>
                    <w:ind w:left="0" w:right="0"/>
                    <w:rPr>
                      <w:rFonts w:hint="default"/>
                      <w:color w:val="auto"/>
                      <w:szCs w:val="20"/>
                      <w:highlight w:val="none"/>
                      <w:lang w:val="en-US" w:eastAsia="zh-CN"/>
                    </w:rPr>
                  </w:pPr>
                  <w:r>
                    <w:rPr>
                      <w:rFonts w:hint="eastAsia"/>
                      <w:color w:val="auto"/>
                      <w:szCs w:val="20"/>
                      <w:highlight w:val="none"/>
                      <w:lang w:val="en-US" w:eastAsia="zh-CN"/>
                    </w:rPr>
                    <w:t>49.5</w:t>
                  </w:r>
                </w:p>
              </w:tc>
              <w:tc>
                <w:tcPr>
                  <w:tcW w:w="1202" w:type="dxa"/>
                  <w:shd w:val="clear" w:color="auto" w:fill="auto"/>
                  <w:vAlign w:val="center"/>
                </w:tcPr>
                <w:p>
                  <w:pPr>
                    <w:pStyle w:val="31"/>
                    <w:keepNext w:val="0"/>
                    <w:keepLines w:val="0"/>
                    <w:suppressLineNumbers w:val="0"/>
                    <w:spacing w:before="0" w:beforeAutospacing="0" w:after="0" w:afterAutospacing="0"/>
                    <w:ind w:left="0" w:leftChars="0" w:right="0" w:rightChars="0" w:firstLine="0" w:firstLineChars="0"/>
                    <w:rPr>
                      <w:rFonts w:hint="default"/>
                      <w:color w:val="auto"/>
                      <w:szCs w:val="20"/>
                      <w:highlight w:val="none"/>
                      <w:lang w:val="en-US" w:eastAsia="zh-CN"/>
                    </w:rPr>
                  </w:pPr>
                  <w:r>
                    <w:rPr>
                      <w:rFonts w:hint="eastAsia" w:ascii="Times New Roman" w:hAnsi="Times New Roman" w:eastAsia="宋体" w:cs="Times New Roman"/>
                      <w:color w:val="auto"/>
                      <w:szCs w:val="20"/>
                      <w:highlight w:val="none"/>
                      <w:lang w:val="en-US" w:eastAsia="zh-CN"/>
                    </w:rPr>
                    <w:t>不生产</w:t>
                  </w:r>
                </w:p>
              </w:tc>
              <w:tc>
                <w:tcPr>
                  <w:tcW w:w="722" w:type="pct"/>
                  <w:vMerge w:val="continue"/>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p>
              </w:tc>
              <w:tc>
                <w:tcPr>
                  <w:tcW w:w="718" w:type="pct"/>
                  <w:vMerge w:val="continue"/>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p>
              </w:tc>
              <w:tc>
                <w:tcPr>
                  <w:tcW w:w="718" w:type="pct"/>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达标</w:t>
                  </w:r>
                </w:p>
              </w:tc>
              <w:tc>
                <w:tcPr>
                  <w:tcW w:w="724" w:type="pct"/>
                  <w:shd w:val="clear" w:color="auto" w:fill="auto"/>
                  <w:vAlign w:val="center"/>
                </w:tcPr>
                <w:p>
                  <w:pPr>
                    <w:pStyle w:val="31"/>
                    <w:keepNext w:val="0"/>
                    <w:keepLines w:val="0"/>
                    <w:suppressLineNumbers w:val="0"/>
                    <w:spacing w:before="0" w:beforeAutospacing="0" w:after="0" w:afterAutospacing="0"/>
                    <w:ind w:left="0" w:right="0"/>
                    <w:rPr>
                      <w:rFonts w:hint="default" w:ascii="Times New Roman" w:hAnsi="Times New Roman" w:eastAsia="宋体" w:cs="Times New Roman"/>
                      <w:color w:val="auto"/>
                      <w:szCs w:val="20"/>
                      <w:highlight w:val="none"/>
                      <w:lang w:val="en-US" w:eastAsia="zh-CN"/>
                    </w:rPr>
                  </w:pPr>
                  <w:r>
                    <w:rPr>
                      <w:rFonts w:hint="eastAsia" w:ascii="Times New Roman" w:hAnsi="Times New Roman" w:eastAsia="宋体" w:cs="Times New Roman"/>
                      <w:color w:val="auto"/>
                      <w:szCs w:val="20"/>
                      <w:highlight w:val="none"/>
                      <w:lang w:val="en-US" w:eastAsia="zh-CN"/>
                    </w:rPr>
                    <w:t>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6" w:type="pct"/>
                  <w:shd w:val="clear" w:color="auto" w:fill="auto"/>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eastAsia"/>
                      <w:color w:val="auto"/>
                      <w:szCs w:val="20"/>
                      <w:highlight w:val="none"/>
                    </w:rPr>
                    <w:t>北</w:t>
                  </w:r>
                  <w:r>
                    <w:rPr>
                      <w:rFonts w:hint="default"/>
                      <w:color w:val="auto"/>
                      <w:szCs w:val="20"/>
                      <w:highlight w:val="none"/>
                    </w:rPr>
                    <w:t>厂界</w:t>
                  </w:r>
                </w:p>
              </w:tc>
              <w:tc>
                <w:tcPr>
                  <w:tcW w:w="1207" w:type="dxa"/>
                  <w:shd w:val="clear" w:color="auto" w:fill="auto"/>
                  <w:vAlign w:val="center"/>
                </w:tcPr>
                <w:p>
                  <w:pPr>
                    <w:pStyle w:val="31"/>
                    <w:keepNext w:val="0"/>
                    <w:keepLines w:val="0"/>
                    <w:suppressLineNumbers w:val="0"/>
                    <w:spacing w:before="0" w:beforeAutospacing="0" w:after="0" w:afterAutospacing="0"/>
                    <w:ind w:left="0" w:right="0"/>
                    <w:rPr>
                      <w:rFonts w:hint="default"/>
                      <w:color w:val="auto"/>
                      <w:szCs w:val="20"/>
                      <w:highlight w:val="none"/>
                      <w:lang w:val="en-US" w:eastAsia="zh-CN"/>
                    </w:rPr>
                  </w:pPr>
                  <w:r>
                    <w:rPr>
                      <w:rFonts w:hint="eastAsia"/>
                      <w:color w:val="auto"/>
                      <w:szCs w:val="20"/>
                      <w:highlight w:val="none"/>
                      <w:lang w:val="en-US" w:eastAsia="zh-CN"/>
                    </w:rPr>
                    <w:t>47.6</w:t>
                  </w:r>
                </w:p>
              </w:tc>
              <w:tc>
                <w:tcPr>
                  <w:tcW w:w="1202" w:type="dxa"/>
                  <w:shd w:val="clear" w:color="auto" w:fill="auto"/>
                  <w:vAlign w:val="center"/>
                </w:tcPr>
                <w:p>
                  <w:pPr>
                    <w:pStyle w:val="31"/>
                    <w:keepNext w:val="0"/>
                    <w:keepLines w:val="0"/>
                    <w:suppressLineNumbers w:val="0"/>
                    <w:spacing w:before="0" w:beforeAutospacing="0" w:after="0" w:afterAutospacing="0"/>
                    <w:ind w:left="0" w:leftChars="0" w:right="0" w:rightChars="0" w:firstLine="0" w:firstLineChars="0"/>
                    <w:rPr>
                      <w:rFonts w:hint="default"/>
                      <w:color w:val="auto"/>
                      <w:szCs w:val="20"/>
                      <w:highlight w:val="none"/>
                      <w:lang w:val="en-US" w:eastAsia="zh-CN"/>
                    </w:rPr>
                  </w:pPr>
                  <w:r>
                    <w:rPr>
                      <w:rFonts w:hint="eastAsia" w:ascii="Times New Roman" w:hAnsi="Times New Roman" w:eastAsia="宋体" w:cs="Times New Roman"/>
                      <w:color w:val="auto"/>
                      <w:szCs w:val="20"/>
                      <w:highlight w:val="none"/>
                      <w:lang w:val="en-US" w:eastAsia="zh-CN"/>
                    </w:rPr>
                    <w:t>不生产</w:t>
                  </w:r>
                </w:p>
              </w:tc>
              <w:tc>
                <w:tcPr>
                  <w:tcW w:w="722" w:type="pct"/>
                  <w:vMerge w:val="continue"/>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p>
              </w:tc>
              <w:tc>
                <w:tcPr>
                  <w:tcW w:w="718" w:type="pct"/>
                  <w:vMerge w:val="continue"/>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p>
              </w:tc>
              <w:tc>
                <w:tcPr>
                  <w:tcW w:w="718" w:type="pct"/>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达标</w:t>
                  </w:r>
                </w:p>
              </w:tc>
              <w:tc>
                <w:tcPr>
                  <w:tcW w:w="724" w:type="pct"/>
                  <w:shd w:val="clear" w:color="auto" w:fill="auto"/>
                  <w:vAlign w:val="center"/>
                </w:tcPr>
                <w:p>
                  <w:pPr>
                    <w:pStyle w:val="31"/>
                    <w:keepNext w:val="0"/>
                    <w:keepLines w:val="0"/>
                    <w:suppressLineNumbers w:val="0"/>
                    <w:spacing w:before="0" w:beforeAutospacing="0" w:after="0" w:afterAutospacing="0"/>
                    <w:ind w:left="0" w:right="0"/>
                    <w:rPr>
                      <w:rFonts w:hint="default" w:ascii="Times New Roman" w:hAnsi="Times New Roman" w:eastAsia="宋体" w:cs="Times New Roman"/>
                      <w:color w:val="auto"/>
                      <w:szCs w:val="20"/>
                      <w:highlight w:val="none"/>
                      <w:lang w:val="en-US" w:eastAsia="zh-CN"/>
                    </w:rPr>
                  </w:pPr>
                  <w:r>
                    <w:rPr>
                      <w:rFonts w:hint="eastAsia" w:ascii="Times New Roman" w:hAnsi="Times New Roman" w:eastAsia="宋体" w:cs="Times New Roman"/>
                      <w:color w:val="auto"/>
                      <w:szCs w:val="20"/>
                      <w:highlight w:val="none"/>
                      <w:lang w:val="en-US" w:eastAsia="zh-CN"/>
                    </w:rPr>
                    <w:t>不生产</w:t>
                  </w:r>
                </w:p>
              </w:tc>
            </w:tr>
          </w:tbl>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由上表可</w:t>
            </w:r>
            <w:r>
              <w:rPr>
                <w:rFonts w:hint="eastAsia"/>
                <w:color w:val="auto"/>
                <w:szCs w:val="20"/>
                <w:highlight w:val="none"/>
              </w:rPr>
              <w:t>知</w:t>
            </w:r>
            <w:r>
              <w:rPr>
                <w:rFonts w:hint="default"/>
                <w:color w:val="auto"/>
                <w:szCs w:val="20"/>
                <w:highlight w:val="none"/>
              </w:rPr>
              <w:t>，建设项目运营后，项目设备运行产生的噪声在厂界</w:t>
            </w:r>
            <w:r>
              <w:rPr>
                <w:rFonts w:hint="eastAsia"/>
                <w:color w:val="auto"/>
                <w:szCs w:val="20"/>
                <w:highlight w:val="none"/>
              </w:rPr>
              <w:t>的</w:t>
            </w:r>
            <w:r>
              <w:rPr>
                <w:rFonts w:hint="default"/>
                <w:color w:val="auto"/>
                <w:szCs w:val="20"/>
                <w:highlight w:val="none"/>
              </w:rPr>
              <w:t>贡献值能满足《工业企业厂界环境噪声排放标准》（GB12348-2008）中</w:t>
            </w:r>
            <w:r>
              <w:rPr>
                <w:rFonts w:hint="eastAsia"/>
                <w:color w:val="auto"/>
                <w:szCs w:val="20"/>
                <w:highlight w:val="none"/>
                <w:lang w:val="en-US" w:eastAsia="zh-CN"/>
              </w:rPr>
              <w:t>3</w:t>
            </w:r>
            <w:r>
              <w:rPr>
                <w:rFonts w:hint="default"/>
                <w:color w:val="auto"/>
                <w:szCs w:val="20"/>
                <w:highlight w:val="none"/>
              </w:rPr>
              <w:t>类标准限值。根据现场踏勘，本项目厂界外50m范围内无声环境保护目标。项目周边均为工业企业和物流仓储设施，最近的声环境敏感点距离厂界超过200m。本项目噪声经距离衰减后，对周边声环境保护目标的影响很小。</w:t>
            </w:r>
          </w:p>
          <w:p>
            <w:pPr>
              <w:pStyle w:val="6"/>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3、噪声监测计划</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依照</w:t>
            </w:r>
            <w:r>
              <w:rPr>
                <w:rFonts w:hint="eastAsia"/>
                <w:color w:val="auto"/>
                <w:szCs w:val="20"/>
                <w:highlight w:val="none"/>
              </w:rPr>
              <w:t>《排污单位自行监测技术指南 总则》（HJ 819-2017）和《</w:t>
            </w:r>
            <w:r>
              <w:rPr>
                <w:rFonts w:hint="eastAsia"/>
                <w:color w:val="auto"/>
                <w:szCs w:val="20"/>
                <w:highlight w:val="none"/>
                <w:lang w:eastAsia="zh-CN"/>
              </w:rPr>
              <w:t>《排污单位自行监测技术指南 酒、饮料制造》（HJ 1085-2020） 和 《排污许可证申请与核发技术规范 酒、饮料制造工业》（HJ 1028-2019）</w:t>
            </w:r>
            <w:r>
              <w:rPr>
                <w:rFonts w:hint="eastAsia"/>
                <w:color w:val="auto"/>
                <w:szCs w:val="20"/>
                <w:highlight w:val="none"/>
              </w:rPr>
              <w:t>）</w:t>
            </w:r>
            <w:r>
              <w:rPr>
                <w:rFonts w:hint="default"/>
                <w:color w:val="auto"/>
                <w:szCs w:val="20"/>
                <w:highlight w:val="none"/>
              </w:rPr>
              <w:t>，本项目建成后应执行噪声监测计划。</w:t>
            </w:r>
          </w:p>
          <w:p>
            <w:pPr>
              <w:keepNext w:val="0"/>
              <w:keepLines w:val="0"/>
              <w:numPr>
                <w:ilvl w:val="0"/>
                <w:numId w:val="4"/>
              </w:numPr>
              <w:suppressLineNumbers w:val="0"/>
              <w:autoSpaceDE w:val="0"/>
              <w:autoSpaceDN w:val="0"/>
              <w:adjustRightInd w:val="0"/>
              <w:spacing w:before="0" w:beforeAutospacing="0" w:after="0" w:afterAutospacing="0" w:line="240" w:lineRule="auto"/>
              <w:ind w:left="0" w:leftChars="0" w:right="0" w:firstLine="0" w:firstLineChars="0"/>
              <w:jc w:val="center"/>
              <w:rPr>
                <w:rFonts w:hint="default"/>
                <w:b/>
                <w:bCs/>
                <w:color w:val="auto"/>
                <w:sz w:val="24"/>
                <w:szCs w:val="24"/>
                <w:highlight w:val="none"/>
              </w:rPr>
            </w:pPr>
            <w:r>
              <w:rPr>
                <w:rFonts w:hint="default"/>
                <w:b/>
                <w:bCs/>
                <w:color w:val="auto"/>
                <w:sz w:val="24"/>
                <w:szCs w:val="24"/>
                <w:highlight w:val="none"/>
              </w:rPr>
              <w:t>噪声监测计划一览表</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630"/>
              <w:gridCol w:w="1425"/>
              <w:gridCol w:w="1835"/>
              <w:gridCol w:w="3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979" w:type="pct"/>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监测点位</w:t>
                  </w:r>
                </w:p>
              </w:tc>
              <w:tc>
                <w:tcPr>
                  <w:tcW w:w="856" w:type="pct"/>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监测项目</w:t>
                  </w:r>
                </w:p>
              </w:tc>
              <w:tc>
                <w:tcPr>
                  <w:tcW w:w="1102" w:type="pct"/>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监测频率</w:t>
                  </w:r>
                </w:p>
              </w:tc>
              <w:tc>
                <w:tcPr>
                  <w:tcW w:w="2061" w:type="pct"/>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979" w:type="pct"/>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厂界</w:t>
                  </w:r>
                </w:p>
              </w:tc>
              <w:tc>
                <w:tcPr>
                  <w:tcW w:w="856" w:type="pct"/>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等效</w:t>
                  </w:r>
                  <w:r>
                    <w:rPr>
                      <w:rFonts w:hint="eastAsia"/>
                      <w:color w:val="auto"/>
                      <w:szCs w:val="20"/>
                      <w:highlight w:val="none"/>
                    </w:rPr>
                    <w:t>连续</w:t>
                  </w:r>
                  <w:r>
                    <w:rPr>
                      <w:rFonts w:hint="default"/>
                      <w:color w:val="auto"/>
                      <w:szCs w:val="20"/>
                      <w:highlight w:val="none"/>
                    </w:rPr>
                    <w:t>A声级</w:t>
                  </w:r>
                  <w:r>
                    <w:rPr>
                      <w:rFonts w:hint="eastAsia"/>
                      <w:color w:val="auto"/>
                      <w:szCs w:val="20"/>
                      <w:highlight w:val="none"/>
                    </w:rPr>
                    <w:t>（Leq）</w:t>
                  </w:r>
                </w:p>
              </w:tc>
              <w:tc>
                <w:tcPr>
                  <w:tcW w:w="1102" w:type="pct"/>
                  <w:vAlign w:val="center"/>
                </w:tcPr>
                <w:p>
                  <w:pPr>
                    <w:pStyle w:val="31"/>
                    <w:keepNext w:val="0"/>
                    <w:keepLines w:val="0"/>
                    <w:suppressLineNumbers w:val="0"/>
                    <w:spacing w:before="0" w:beforeAutospacing="0" w:after="0" w:afterAutospacing="0"/>
                    <w:ind w:left="0" w:right="0"/>
                    <w:rPr>
                      <w:rFonts w:hint="default"/>
                      <w:color w:val="auto"/>
                      <w:szCs w:val="20"/>
                      <w:highlight w:val="none"/>
                      <w:lang w:eastAsia="zh-TW"/>
                    </w:rPr>
                  </w:pPr>
                  <w:r>
                    <w:rPr>
                      <w:rFonts w:hint="default"/>
                      <w:color w:val="auto"/>
                      <w:szCs w:val="20"/>
                      <w:highlight w:val="none"/>
                    </w:rPr>
                    <w:t>每季度</w:t>
                  </w:r>
                  <w:r>
                    <w:rPr>
                      <w:rFonts w:hint="default"/>
                      <w:color w:val="auto"/>
                      <w:szCs w:val="20"/>
                      <w:highlight w:val="none"/>
                      <w:lang w:eastAsia="zh-TW"/>
                    </w:rPr>
                    <w:t>昼</w:t>
                  </w:r>
                  <w:r>
                    <w:rPr>
                      <w:rFonts w:hint="eastAsia"/>
                      <w:color w:val="auto"/>
                      <w:szCs w:val="20"/>
                      <w:highlight w:val="none"/>
                    </w:rPr>
                    <w:t>间</w:t>
                  </w:r>
                  <w:r>
                    <w:rPr>
                      <w:rFonts w:hint="default"/>
                      <w:color w:val="auto"/>
                      <w:szCs w:val="20"/>
                      <w:highlight w:val="none"/>
                      <w:lang w:eastAsia="zh-TW"/>
                    </w:rPr>
                    <w:t>一次</w:t>
                  </w:r>
                </w:p>
                <w:p>
                  <w:pPr>
                    <w:pStyle w:val="31"/>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lang w:eastAsia="zh-TW"/>
                    </w:rPr>
                    <w:t>夜间不生产</w:t>
                  </w:r>
                </w:p>
              </w:tc>
              <w:tc>
                <w:tcPr>
                  <w:tcW w:w="2061" w:type="pct"/>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《工业企业厂界环境噪声排放标准》（GB12348-2008）中</w:t>
                  </w:r>
                  <w:r>
                    <w:rPr>
                      <w:rFonts w:hint="eastAsia"/>
                      <w:color w:val="auto"/>
                      <w:szCs w:val="20"/>
                      <w:highlight w:val="none"/>
                      <w:lang w:val="en-US" w:eastAsia="zh-CN"/>
                    </w:rPr>
                    <w:t>3</w:t>
                  </w:r>
                  <w:r>
                    <w:rPr>
                      <w:rFonts w:hint="default"/>
                      <w:color w:val="auto"/>
                      <w:szCs w:val="20"/>
                      <w:highlight w:val="none"/>
                    </w:rPr>
                    <w:t>类标准</w:t>
                  </w:r>
                </w:p>
              </w:tc>
            </w:tr>
          </w:tbl>
          <w:p>
            <w:pPr>
              <w:pStyle w:val="6"/>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4、噪声影响结论</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综上，项目采用环评提出的相关噪声防治措施后，项目设备运行产生的噪声在厂界</w:t>
            </w:r>
            <w:r>
              <w:rPr>
                <w:rFonts w:hint="eastAsia"/>
                <w:color w:val="auto"/>
                <w:szCs w:val="20"/>
                <w:highlight w:val="none"/>
              </w:rPr>
              <w:t>的</w:t>
            </w:r>
            <w:r>
              <w:rPr>
                <w:rFonts w:hint="default"/>
                <w:color w:val="auto"/>
                <w:szCs w:val="20"/>
                <w:highlight w:val="none"/>
              </w:rPr>
              <w:t>贡献值能满足《工业企业厂界环境噪声排放标准》（GB12348-2008）中</w:t>
            </w:r>
            <w:r>
              <w:rPr>
                <w:rFonts w:hint="eastAsia"/>
                <w:color w:val="auto"/>
                <w:szCs w:val="20"/>
                <w:highlight w:val="none"/>
                <w:lang w:val="en-US" w:eastAsia="zh-CN"/>
              </w:rPr>
              <w:t>3</w:t>
            </w:r>
            <w:r>
              <w:rPr>
                <w:rFonts w:hint="default"/>
                <w:color w:val="auto"/>
                <w:szCs w:val="20"/>
                <w:highlight w:val="none"/>
              </w:rPr>
              <w:t>类标准限值</w:t>
            </w:r>
            <w:r>
              <w:rPr>
                <w:rFonts w:hint="eastAsia"/>
                <w:color w:val="auto"/>
                <w:szCs w:val="20"/>
                <w:highlight w:val="none"/>
              </w:rPr>
              <w:t>，</w:t>
            </w:r>
            <w:r>
              <w:rPr>
                <w:rFonts w:hint="default"/>
                <w:color w:val="auto"/>
                <w:szCs w:val="20"/>
                <w:highlight w:val="none"/>
              </w:rPr>
              <w:t>对周边声环境的不利影响较小。</w:t>
            </w:r>
          </w:p>
          <w:p>
            <w:pPr>
              <w:pStyle w:val="5"/>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四、固体废物环境影响分析</w:t>
            </w:r>
          </w:p>
          <w:p>
            <w:pPr>
              <w:pStyle w:val="6"/>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1、固废源强核算</w:t>
            </w:r>
          </w:p>
          <w:p>
            <w:pPr>
              <w:keepNext w:val="0"/>
              <w:keepLines w:val="0"/>
              <w:suppressLineNumbers w:val="0"/>
              <w:spacing w:before="0" w:beforeAutospacing="0" w:after="0" w:afterAutospacing="0"/>
              <w:ind w:left="0" w:right="0" w:firstLine="480"/>
              <w:rPr>
                <w:rFonts w:hint="eastAsia"/>
                <w:color w:val="auto"/>
                <w:szCs w:val="20"/>
                <w:highlight w:val="none"/>
              </w:rPr>
            </w:pPr>
            <w:r>
              <w:rPr>
                <w:rFonts w:hint="eastAsia"/>
                <w:color w:val="auto"/>
                <w:szCs w:val="20"/>
                <w:highlight w:val="none"/>
              </w:rPr>
              <w:t>本项目产生的固体废物主要有一般工业固废、危险废物及生活垃圾。</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rPr>
              <w:t>白酒生产工艺一般固废包括：破碎收尘灰、</w:t>
            </w:r>
            <w:r>
              <w:rPr>
                <w:rFonts w:hint="eastAsia"/>
                <w:color w:val="auto"/>
                <w:szCs w:val="20"/>
                <w:highlight w:val="none"/>
                <w:lang w:eastAsia="zh-CN"/>
              </w:rPr>
              <w:t>酒糟</w:t>
            </w:r>
            <w:r>
              <w:rPr>
                <w:rFonts w:hint="eastAsia"/>
                <w:color w:val="auto"/>
                <w:szCs w:val="20"/>
                <w:highlight w:val="none"/>
              </w:rPr>
              <w:t>、白酒灌装废包装材料、废酒瓶等；危险废物包括：化验室废液、化验室化学品废弃包装、废矿物油及废矿物油桶。</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bookmarkStart w:id="14" w:name="_Hlk117775068"/>
            <w:r>
              <w:rPr>
                <w:rFonts w:hint="eastAsia"/>
                <w:color w:val="auto"/>
                <w:szCs w:val="20"/>
                <w:highlight w:val="none"/>
                <w:lang w:eastAsia="zh-CN"/>
              </w:rPr>
              <w:t>酒糟</w:t>
            </w:r>
            <w:r>
              <w:rPr>
                <w:rFonts w:hint="default"/>
                <w:color w:val="auto"/>
                <w:szCs w:val="20"/>
                <w:highlight w:val="none"/>
              </w:rPr>
              <w:t>：白酒行业固态法酿造过程中，每生产1吨白酒约产生3～4吨新鲜酒糟。本项目年产白酒3000吨，按吨酒产糟2.0吨（本项目实际产糟率）计算，</w:t>
            </w:r>
            <w:r>
              <w:rPr>
                <w:rFonts w:hint="eastAsia"/>
                <w:color w:val="auto"/>
                <w:szCs w:val="20"/>
                <w:highlight w:val="none"/>
                <w:lang w:eastAsia="zh-CN"/>
              </w:rPr>
              <w:t>酒糟</w:t>
            </w:r>
            <w:r>
              <w:rPr>
                <w:rFonts w:hint="default"/>
                <w:color w:val="auto"/>
                <w:szCs w:val="20"/>
                <w:highlight w:val="none"/>
              </w:rPr>
              <w:t>产生量约6000。</w:t>
            </w:r>
            <w:r>
              <w:rPr>
                <w:rFonts w:hint="eastAsia"/>
                <w:color w:val="auto"/>
                <w:szCs w:val="20"/>
                <w:highlight w:val="none"/>
                <w:lang w:eastAsia="zh-CN"/>
              </w:rPr>
              <w:t>酒糟</w:t>
            </w:r>
            <w:r>
              <w:rPr>
                <w:rFonts w:hint="default"/>
                <w:color w:val="auto"/>
                <w:szCs w:val="20"/>
                <w:highlight w:val="none"/>
              </w:rPr>
              <w:t>暂存于废渣收集间，日产日清，作为饲料外售给养殖企业。</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r>
              <w:rPr>
                <w:rFonts w:hint="default"/>
                <w:color w:val="auto"/>
                <w:szCs w:val="20"/>
                <w:highlight w:val="none"/>
              </w:rPr>
              <w:t>收尘灰：原料破碎工序布袋除尘器收集的粉尘，主要成分为粮食粉末，产生量约1.0，全部回收于破碎工艺，不外排。</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r>
              <w:rPr>
                <w:rFonts w:hint="default"/>
                <w:color w:val="auto"/>
                <w:szCs w:val="20"/>
                <w:highlight w:val="none"/>
              </w:rPr>
              <w:t>废包装材料及废酒瓶：灌装包装工序产生的废包装材料（纸箱、塑料等）约0.1，废酒瓶约0.1。废包装材料出售给废品收购站，废酒瓶返回玻璃瓶厂家作为原料使用。</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r>
              <w:rPr>
                <w:rFonts w:hint="default"/>
                <w:color w:val="auto"/>
                <w:szCs w:val="20"/>
                <w:highlight w:val="none"/>
              </w:rPr>
              <w:t>不合格原辅料：原料验收工序产生，主要为不符合质量标准的酒基、果汁或食品添加剂，产生量极少（约0.01 t/a），作为不合格品处理，交供应商回收或按相关规定处置。</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r>
              <w:rPr>
                <w:rFonts w:hint="default"/>
                <w:color w:val="auto"/>
                <w:szCs w:val="20"/>
                <w:highlight w:val="none"/>
              </w:rPr>
              <w:t>废弃原辅料包装物：配料混合工序产生，主要为塑料包装袋、纸箱、塑料桶等，产生量约0.05 t/a，属于一般工业固体废物（SW17，900-003-S17），外售综合利用。</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r>
              <w:rPr>
                <w:rFonts w:hint="default"/>
                <w:color w:val="auto"/>
                <w:szCs w:val="20"/>
                <w:highlight w:val="none"/>
              </w:rPr>
              <w:t>滤渣、废硅藻土：过滤/精滤工序产生，产生量约0.3 t/a，属于一般工业固体废物（SW59，900-099-S59），交环卫部门处置。</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r>
              <w:rPr>
                <w:rFonts w:hint="default"/>
                <w:color w:val="auto"/>
                <w:szCs w:val="20"/>
                <w:highlight w:val="none"/>
              </w:rPr>
              <w:t>废包装材料：灌装/包装工序产生，主要为标签纸、纸箱、封箱胶带等，产生量约0.05 t/a，属于一般工业固体废物（SW17，900-003-S17），外售综合利用。</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r>
              <w:rPr>
                <w:rFonts w:hint="default"/>
                <w:color w:val="auto"/>
                <w:szCs w:val="20"/>
                <w:highlight w:val="none"/>
              </w:rPr>
              <w:t>化验室废液：成品检验工序产生，主要为理化指标检测产生的废酸液、废有机溶剂等，产生量约0.01 t/a，属于危险废物（HW49，900-047-49），委托有资质单位处置。</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r>
              <w:rPr>
                <w:rFonts w:hint="default"/>
                <w:color w:val="auto"/>
                <w:szCs w:val="20"/>
                <w:highlight w:val="none"/>
              </w:rPr>
              <w:t>化学品废弃包装：成品检验工序产生，主要为残留化学品的试剂瓶、包装物等，产生量约0.01 t/a，属于危险废物（HW49，900-041-49），委托有资质单位处置。</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r>
              <w:rPr>
                <w:rFonts w:hint="default"/>
                <w:color w:val="auto"/>
                <w:szCs w:val="20"/>
                <w:highlight w:val="none"/>
              </w:rPr>
              <w:t>废活性炭、废反渗透膜：纯水制备过程中产生的废活性炭和废反渗透膜，本项目纯水制备系统产生的废活性炭（SW59，900-008-S59）约每2年更换一次，单次更换量约5t；废反渗透膜（SW59，900-099-S59）约每5年更换一次，单次更换量约3t。废活性炭和废反渗透膜更换后由厂家回收处理，不在厂区长期贮存，对环境无不利影响。</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r>
              <w:rPr>
                <w:rFonts w:hint="default"/>
                <w:color w:val="auto"/>
                <w:szCs w:val="20"/>
                <w:highlight w:val="none"/>
              </w:rPr>
              <w:t>危险废物：本项目危险废物包括化学品废弃包装（HW49，900-041-49）、化验室废液（HW49，900-047-49）、废矿物油（HW08，900-214-08）及废矿物油桶（HW08，900-249-08），合计产生量约0.25。危险废物分类收集后暂存于危废暂存间，定期委托有资质的单位进行处置。</w:t>
            </w:r>
          </w:p>
          <w:p>
            <w:pPr>
              <w:keepNext w:val="0"/>
              <w:keepLines w:val="0"/>
              <w:numPr>
                <w:ilvl w:val="0"/>
                <w:numId w:val="7"/>
              </w:numPr>
              <w:suppressLineNumbers w:val="0"/>
              <w:spacing w:before="0" w:beforeAutospacing="0" w:after="0" w:afterAutospacing="0"/>
              <w:ind w:left="0" w:leftChars="0" w:right="0" w:firstLine="482" w:firstLineChars="0"/>
              <w:rPr>
                <w:rFonts w:hint="default"/>
                <w:color w:val="auto"/>
                <w:szCs w:val="20"/>
                <w:highlight w:val="none"/>
              </w:rPr>
            </w:pPr>
            <w:r>
              <w:rPr>
                <w:rFonts w:hint="default"/>
                <w:color w:val="auto"/>
                <w:szCs w:val="20"/>
                <w:highlight w:val="none"/>
              </w:rPr>
              <w:t>生活垃圾：本项目劳动定员80人，年工作300天，生活垃圾产生量按0.5kg/人·d计，年产生量约12。结合本项目验收报告实际统计数据，生活垃圾实际产生量约5，本次评价按实际产生量取值。生活垃圾经厂区垃圾桶分类收集后，交由当地环卫部门统一清运处置。</w:t>
            </w:r>
          </w:p>
          <w:p>
            <w:pPr>
              <w:pStyle w:val="2"/>
              <w:keepNext w:val="0"/>
              <w:keepLines w:val="0"/>
              <w:suppressLineNumbers w:val="0"/>
              <w:spacing w:before="0" w:beforeAutospacing="0" w:after="0" w:afterAutospacing="0"/>
              <w:ind w:left="0" w:right="0"/>
              <w:rPr>
                <w:rFonts w:hint="default"/>
                <w:szCs w:val="20"/>
              </w:rPr>
            </w:pPr>
          </w:p>
          <w:bookmarkEnd w:id="14"/>
          <w:p>
            <w:pPr>
              <w:keepNext w:val="0"/>
              <w:keepLines w:val="0"/>
              <w:suppressLineNumbers w:val="0"/>
              <w:spacing w:before="0" w:beforeAutospacing="0" w:after="0" w:afterAutospacing="0"/>
              <w:ind w:left="0" w:right="0" w:firstLine="480"/>
              <w:rPr>
                <w:rFonts w:hint="default"/>
                <w:color w:val="auto"/>
                <w:szCs w:val="20"/>
                <w:highlight w:val="none"/>
              </w:rPr>
            </w:pPr>
            <w:r>
              <w:rPr>
                <w:rFonts w:hint="eastAsia"/>
                <w:color w:val="auto"/>
                <w:szCs w:val="20"/>
                <w:highlight w:val="none"/>
              </w:rPr>
              <w:t>综上，本项目固体废物的产生及排放情况详见</w:t>
            </w:r>
            <w:r>
              <w:rPr>
                <w:rFonts w:hint="eastAsia"/>
                <w:color w:val="auto"/>
                <w:szCs w:val="20"/>
                <w:highlight w:val="none"/>
                <w:lang w:val="en-US" w:eastAsia="zh-CN"/>
              </w:rPr>
              <w:t>下表</w:t>
            </w:r>
            <w:r>
              <w:rPr>
                <w:rFonts w:hint="eastAsia"/>
                <w:color w:val="auto"/>
                <w:szCs w:val="20"/>
                <w:highlight w:val="none"/>
              </w:rPr>
              <w:t>。</w:t>
            </w:r>
          </w:p>
        </w:tc>
      </w:tr>
    </w:tbl>
    <w:p>
      <w:pPr>
        <w:ind w:firstLine="480"/>
        <w:rPr>
          <w:color w:val="auto"/>
          <w:highlight w:val="none"/>
        </w:rPr>
        <w:sectPr>
          <w:pgSz w:w="11906" w:h="16838"/>
          <w:pgMar w:top="1440" w:right="1417" w:bottom="1440"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22"/>
        <w:tblW w:w="139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9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vAlign w:val="center"/>
          </w:tcPr>
          <w:p>
            <w:pPr>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auto"/>
                <w:kern w:val="2"/>
                <w:sz w:val="24"/>
                <w:szCs w:val="21"/>
                <w:highlight w:val="none"/>
                <w:lang w:val="en-US" w:eastAsia="zh-CN" w:bidi="ar-SA"/>
              </w:rPr>
            </w:pPr>
            <w:r>
              <w:rPr>
                <w:rFonts w:hint="default" w:ascii="Times New Roman" w:hAnsi="Times New Roman" w:eastAsia="宋体" w:cs="Times New Roman"/>
                <w:bCs/>
                <w:color w:val="auto"/>
                <w:kern w:val="2"/>
                <w:sz w:val="24"/>
                <w:szCs w:val="21"/>
                <w:highlight w:val="none"/>
                <w:lang w:val="en-US" w:eastAsia="zh-CN" w:bidi="ar-SA"/>
              </w:rPr>
              <w:t>对照《固体废物鉴别标准通则》</w:t>
            </w:r>
            <w:r>
              <w:rPr>
                <w:rFonts w:hint="eastAsia" w:cs="Times New Roman"/>
                <w:bCs/>
                <w:color w:val="auto"/>
                <w:kern w:val="2"/>
                <w:sz w:val="24"/>
                <w:szCs w:val="21"/>
                <w:highlight w:val="none"/>
                <w:lang w:val="en-US" w:eastAsia="zh-CN" w:bidi="ar-SA"/>
              </w:rPr>
              <w:t>（</w:t>
            </w:r>
            <w:r>
              <w:rPr>
                <w:rFonts w:hint="default" w:ascii="Times New Roman" w:hAnsi="Times New Roman" w:eastAsia="宋体" w:cs="Times New Roman"/>
                <w:bCs/>
                <w:color w:val="auto"/>
                <w:kern w:val="2"/>
                <w:sz w:val="24"/>
                <w:szCs w:val="21"/>
                <w:highlight w:val="none"/>
                <w:lang w:val="en-US" w:eastAsia="zh-CN" w:bidi="ar-SA"/>
              </w:rPr>
              <w:t>GB34330-2025</w:t>
            </w:r>
            <w:r>
              <w:rPr>
                <w:rFonts w:hint="eastAsia" w:cs="Times New Roman"/>
                <w:bCs/>
                <w:color w:val="auto"/>
                <w:kern w:val="2"/>
                <w:sz w:val="24"/>
                <w:szCs w:val="21"/>
                <w:highlight w:val="none"/>
                <w:lang w:val="en-US" w:eastAsia="zh-CN" w:bidi="ar-SA"/>
              </w:rPr>
              <w:t>）</w:t>
            </w:r>
            <w:r>
              <w:rPr>
                <w:rFonts w:hint="default" w:ascii="Times New Roman" w:hAnsi="Times New Roman" w:eastAsia="宋体" w:cs="Times New Roman"/>
                <w:bCs/>
                <w:color w:val="auto"/>
                <w:kern w:val="2"/>
                <w:sz w:val="24"/>
                <w:szCs w:val="21"/>
                <w:highlight w:val="none"/>
                <w:lang w:val="en-US" w:eastAsia="zh-CN" w:bidi="ar-SA"/>
              </w:rPr>
              <w:t>，项目固废鉴别结果</w:t>
            </w:r>
            <w:r>
              <w:rPr>
                <w:rFonts w:hint="eastAsia" w:ascii="Times New Roman" w:hAnsi="Times New Roman" w:eastAsia="宋体" w:cs="Times New Roman"/>
                <w:bCs/>
                <w:color w:val="auto"/>
                <w:kern w:val="2"/>
                <w:sz w:val="24"/>
                <w:szCs w:val="21"/>
                <w:highlight w:val="none"/>
                <w:lang w:val="en-US" w:eastAsia="zh-CN" w:bidi="ar-SA"/>
              </w:rPr>
              <w:t>如下</w:t>
            </w:r>
            <w:r>
              <w:rPr>
                <w:rFonts w:hint="default" w:ascii="Times New Roman" w:hAnsi="Times New Roman" w:eastAsia="宋体" w:cs="Times New Roman"/>
                <w:bCs/>
                <w:color w:val="auto"/>
                <w:kern w:val="2"/>
                <w:sz w:val="24"/>
                <w:szCs w:val="21"/>
                <w:highlight w:val="none"/>
                <w:lang w:val="en-US" w:eastAsia="zh-CN" w:bidi="ar-SA"/>
              </w:rPr>
              <w:t>。</w:t>
            </w:r>
          </w:p>
          <w:p>
            <w:pPr>
              <w:pStyle w:val="8"/>
              <w:keepNext w:val="0"/>
              <w:keepLines w:val="0"/>
              <w:suppressLineNumbers w:val="0"/>
              <w:spacing w:before="0" w:beforeAutospacing="0" w:after="0" w:afterAutospacing="0"/>
              <w:ind w:left="0" w:right="0"/>
              <w:rPr>
                <w:rFonts w:hint="eastAsia" w:eastAsia="宋体"/>
                <w:szCs w:val="20"/>
                <w:lang w:eastAsia="zh-CN"/>
              </w:rPr>
            </w:pPr>
            <w:r>
              <w:rPr>
                <w:rFonts w:hint="default"/>
                <w:szCs w:val="20"/>
              </w:rPr>
              <w:t xml:space="preserve">表 </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4</w:t>
            </w:r>
            <w:r>
              <w:rPr>
                <w:rFonts w:hint="default"/>
                <w:szCs w:val="20"/>
              </w:rPr>
              <w:fldChar w:fldCharType="end"/>
            </w:r>
            <w:r>
              <w:rPr>
                <w:rFonts w:hint="eastAsia"/>
                <w:szCs w:val="20"/>
                <w:lang w:eastAsia="zh-CN"/>
              </w:rPr>
              <w:t>-</w:t>
            </w:r>
            <w:r>
              <w:rPr>
                <w:rFonts w:hint="eastAsia"/>
                <w:szCs w:val="20"/>
                <w:lang w:val="en-US" w:eastAsia="zh-CN"/>
              </w:rPr>
              <w:t>10</w:t>
            </w:r>
            <w:r>
              <w:rPr>
                <w:rFonts w:hint="eastAsia"/>
                <w:szCs w:val="20"/>
                <w:lang w:eastAsia="zh-CN"/>
              </w:rPr>
              <w:t xml:space="preserve"> 项目固废产生情况及属性判定表</w:t>
            </w:r>
          </w:p>
          <w:tbl>
            <w:tblPr>
              <w:tblStyle w:val="2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254"/>
              <w:gridCol w:w="2057"/>
              <w:gridCol w:w="1286"/>
              <w:gridCol w:w="1786"/>
              <w:gridCol w:w="1009"/>
              <w:gridCol w:w="2035"/>
              <w:gridCol w:w="2170"/>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序号</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固废名称</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产生环节</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形态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主要成分</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b/>
                      <w:sz w:val="21"/>
                      <w:szCs w:val="21"/>
                    </w:rPr>
                  </w:pPr>
                  <w:r>
                    <w:rPr>
                      <w:rFonts w:hint="eastAsia" w:ascii="宋体" w:hAnsi="宋体" w:eastAsia="宋体" w:cs="宋体"/>
                      <w:b/>
                      <w:bCs/>
                      <w:i w:val="0"/>
                      <w:iCs w:val="0"/>
                      <w:color w:val="000000"/>
                      <w:kern w:val="0"/>
                      <w:sz w:val="21"/>
                      <w:szCs w:val="21"/>
                      <w:u w:val="none"/>
                      <w:lang w:val="en-US" w:eastAsia="zh-CN" w:bidi="ar"/>
                    </w:rPr>
                    <w:t>产生量（t/a）</w:t>
                  </w:r>
                </w:p>
              </w:tc>
              <w:tc>
                <w:tcPr>
                  <w:tcW w:w="742"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属性</w:t>
                  </w: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废物代码</w:t>
                  </w:r>
                </w:p>
              </w:tc>
              <w:tc>
                <w:tcPr>
                  <w:tcW w:w="52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处置去向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1</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收尘灰</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原料破碎布袋除尘器</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固态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粮食粉末</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sz w:val="21"/>
                      <w:szCs w:val="21"/>
                    </w:rPr>
                  </w:pPr>
                  <w:r>
                    <w:rPr>
                      <w:rFonts w:hint="default" w:ascii="Calibri" w:hAnsi="Calibri" w:eastAsia="宋体" w:cs="Calibri"/>
                      <w:i w:val="0"/>
                      <w:iCs w:val="0"/>
                      <w:color w:val="000000"/>
                      <w:kern w:val="0"/>
                      <w:sz w:val="21"/>
                      <w:szCs w:val="21"/>
                      <w:u w:val="none"/>
                      <w:lang w:val="en-US" w:eastAsia="zh-CN" w:bidi="ar"/>
                    </w:rPr>
                    <w:t>1</w:t>
                  </w:r>
                </w:p>
              </w:tc>
              <w:tc>
                <w:tcPr>
                  <w:tcW w:w="742" w:type="pct"/>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一般工业固体废物</w:t>
                  </w: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SW59（900-099-S59）</w:t>
                  </w:r>
                </w:p>
              </w:tc>
              <w:tc>
                <w:tcPr>
                  <w:tcW w:w="52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回收于破碎工艺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2</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szCs w:val="20"/>
                      <w:lang w:eastAsia="zh-CN"/>
                    </w:rPr>
                  </w:pPr>
                  <w:r>
                    <w:rPr>
                      <w:rFonts w:hint="eastAsia"/>
                      <w:szCs w:val="20"/>
                      <w:lang w:eastAsia="zh-CN"/>
                    </w:rPr>
                    <w:t>酒糟</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蒸馏工序</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固态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粮食残渣</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sz w:val="21"/>
                      <w:szCs w:val="21"/>
                    </w:rPr>
                  </w:pPr>
                  <w:r>
                    <w:rPr>
                      <w:rFonts w:hint="default" w:ascii="Calibri" w:hAnsi="Calibri" w:eastAsia="宋体" w:cs="Calibri"/>
                      <w:i w:val="0"/>
                      <w:iCs w:val="0"/>
                      <w:color w:val="000000"/>
                      <w:kern w:val="0"/>
                      <w:sz w:val="21"/>
                      <w:szCs w:val="21"/>
                      <w:u w:val="none"/>
                      <w:lang w:val="en-US" w:eastAsia="zh-CN" w:bidi="ar"/>
                    </w:rPr>
                    <w:t>6000</w:t>
                  </w:r>
                </w:p>
              </w:tc>
              <w:tc>
                <w:tcPr>
                  <w:tcW w:w="742"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Theme="minorEastAsia"/>
                      <w:szCs w:val="20"/>
                      <w:lang w:val="en-US" w:eastAsia="zh-CN"/>
                    </w:rPr>
                  </w:pPr>
                  <w:r>
                    <w:rPr>
                      <w:rFonts w:hint="default"/>
                      <w:szCs w:val="20"/>
                    </w:rPr>
                    <w:t>SW13（</w:t>
                  </w:r>
                  <w:r>
                    <w:rPr>
                      <w:rFonts w:hint="eastAsia"/>
                      <w:szCs w:val="20"/>
                      <w:lang w:eastAsia="zh-CN"/>
                    </w:rPr>
                    <w:t>151-001-S13</w:t>
                  </w:r>
                  <w:r>
                    <w:rPr>
                      <w:rFonts w:hint="default"/>
                      <w:szCs w:val="20"/>
                    </w:rPr>
                    <w:t>）</w:t>
                  </w:r>
                </w:p>
              </w:tc>
              <w:tc>
                <w:tcPr>
                  <w:tcW w:w="52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作为饲料外售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szCs w:val="20"/>
                      <w:lang w:eastAsia="zh-CN"/>
                    </w:rPr>
                  </w:pPr>
                  <w:r>
                    <w:rPr>
                      <w:rFonts w:hint="eastAsia"/>
                      <w:szCs w:val="20"/>
                      <w:lang w:val="en-US" w:eastAsia="zh-CN"/>
                    </w:rPr>
                    <w:t>3</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废活性炭</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纯水制备</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固态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活性炭</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sz w:val="21"/>
                      <w:szCs w:val="21"/>
                    </w:rPr>
                  </w:pPr>
                  <w:r>
                    <w:rPr>
                      <w:rFonts w:hint="eastAsia" w:ascii="宋体" w:hAnsi="宋体" w:eastAsia="宋体" w:cs="宋体"/>
                      <w:i w:val="0"/>
                      <w:iCs w:val="0"/>
                      <w:color w:val="000000"/>
                      <w:kern w:val="0"/>
                      <w:sz w:val="21"/>
                      <w:szCs w:val="21"/>
                      <w:u w:val="none"/>
                      <w:lang w:val="en-US" w:eastAsia="zh-CN" w:bidi="ar"/>
                    </w:rPr>
                    <w:t>2.5</w:t>
                  </w:r>
                </w:p>
              </w:tc>
              <w:tc>
                <w:tcPr>
                  <w:tcW w:w="742"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SW59（900-008-S59）</w:t>
                  </w:r>
                </w:p>
              </w:tc>
              <w:tc>
                <w:tcPr>
                  <w:tcW w:w="529" w:type="pct"/>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厂家回收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szCs w:val="20"/>
                      <w:lang w:eastAsia="zh-CN"/>
                    </w:rPr>
                  </w:pPr>
                  <w:r>
                    <w:rPr>
                      <w:rFonts w:hint="eastAsia"/>
                      <w:szCs w:val="20"/>
                      <w:lang w:val="en-US" w:eastAsia="zh-CN"/>
                    </w:rPr>
                    <w:t>4</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废反渗透膜</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纯水制备</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固态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过滤膜组件</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sz w:val="21"/>
                      <w:szCs w:val="21"/>
                    </w:rPr>
                  </w:pPr>
                  <w:r>
                    <w:rPr>
                      <w:rFonts w:hint="eastAsia" w:ascii="宋体" w:hAnsi="宋体" w:eastAsia="宋体" w:cs="宋体"/>
                      <w:i w:val="0"/>
                      <w:iCs w:val="0"/>
                      <w:color w:val="000000"/>
                      <w:kern w:val="0"/>
                      <w:sz w:val="21"/>
                      <w:szCs w:val="21"/>
                      <w:u w:val="none"/>
                      <w:lang w:val="en-US" w:eastAsia="zh-CN" w:bidi="ar"/>
                    </w:rPr>
                    <w:t>0.6</w:t>
                  </w:r>
                </w:p>
              </w:tc>
              <w:tc>
                <w:tcPr>
                  <w:tcW w:w="742"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SW59（900-099-S59）</w:t>
                  </w:r>
                </w:p>
              </w:tc>
              <w:tc>
                <w:tcPr>
                  <w:tcW w:w="529" w:type="pct"/>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szCs w:val="20"/>
                      <w:lang w:eastAsia="zh-CN"/>
                    </w:rPr>
                  </w:pPr>
                  <w:r>
                    <w:rPr>
                      <w:rFonts w:hint="eastAsia"/>
                      <w:szCs w:val="20"/>
                      <w:lang w:val="en-US" w:eastAsia="zh-CN"/>
                    </w:rPr>
                    <w:t>5</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废包装材料</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灌装包装工序</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固态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塑料、纸壳</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sz w:val="21"/>
                      <w:szCs w:val="21"/>
                    </w:rPr>
                  </w:pPr>
                  <w:r>
                    <w:rPr>
                      <w:rFonts w:hint="default" w:ascii="Calibri" w:hAnsi="Calibri" w:eastAsia="宋体" w:cs="Calibri"/>
                      <w:i w:val="0"/>
                      <w:iCs w:val="0"/>
                      <w:color w:val="000000"/>
                      <w:kern w:val="0"/>
                      <w:sz w:val="21"/>
                      <w:szCs w:val="21"/>
                      <w:u w:val="none"/>
                      <w:lang w:val="en-US" w:eastAsia="zh-CN" w:bidi="ar"/>
                    </w:rPr>
                    <w:t>0.1</w:t>
                  </w:r>
                </w:p>
              </w:tc>
              <w:tc>
                <w:tcPr>
                  <w:tcW w:w="742"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SW17（900-003-S17）</w:t>
                  </w:r>
                </w:p>
              </w:tc>
              <w:tc>
                <w:tcPr>
                  <w:tcW w:w="52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出售给废品收购站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szCs w:val="20"/>
                      <w:lang w:eastAsia="zh-CN"/>
                    </w:rPr>
                  </w:pPr>
                  <w:r>
                    <w:rPr>
                      <w:rFonts w:hint="eastAsia"/>
                      <w:szCs w:val="20"/>
                      <w:lang w:val="en-US" w:eastAsia="zh-CN"/>
                    </w:rPr>
                    <w:t>6</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废酒瓶</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灌装包装工序</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固态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玻璃</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sz w:val="21"/>
                      <w:szCs w:val="21"/>
                    </w:rPr>
                  </w:pPr>
                  <w:r>
                    <w:rPr>
                      <w:rFonts w:hint="default" w:ascii="Calibri" w:hAnsi="Calibri" w:eastAsia="宋体" w:cs="Calibri"/>
                      <w:i w:val="0"/>
                      <w:iCs w:val="0"/>
                      <w:color w:val="000000"/>
                      <w:kern w:val="0"/>
                      <w:sz w:val="21"/>
                      <w:szCs w:val="21"/>
                      <w:u w:val="none"/>
                      <w:lang w:val="en-US" w:eastAsia="zh-CN" w:bidi="ar"/>
                    </w:rPr>
                    <w:t>0.1</w:t>
                  </w:r>
                </w:p>
              </w:tc>
              <w:tc>
                <w:tcPr>
                  <w:tcW w:w="742"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SW17（900-004-S17）</w:t>
                  </w:r>
                </w:p>
              </w:tc>
              <w:tc>
                <w:tcPr>
                  <w:tcW w:w="52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返回玻璃瓶厂家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kern w:val="2"/>
                      <w:sz w:val="24"/>
                      <w:szCs w:val="20"/>
                      <w:lang w:val="en-US" w:eastAsia="zh-CN" w:bidi="ar-SA"/>
                    </w:rPr>
                  </w:pPr>
                  <w:r>
                    <w:rPr>
                      <w:rFonts w:hint="eastAsia"/>
                      <w:szCs w:val="20"/>
                      <w:lang w:val="en-US" w:eastAsia="zh-CN"/>
                    </w:rPr>
                    <w:t>7</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color w:val="auto"/>
                      <w:szCs w:val="20"/>
                      <w:highlight w:val="none"/>
                    </w:rPr>
                    <w:t>滤渣、废硅藻土</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color w:val="auto"/>
                      <w:szCs w:val="20"/>
                      <w:highlight w:val="none"/>
                    </w:rPr>
                    <w:t>过滤/精滤</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固态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粮食残渣</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cs="Calibri"/>
                      <w:i w:val="0"/>
                      <w:iCs w:val="0"/>
                      <w:color w:val="000000"/>
                      <w:kern w:val="0"/>
                      <w:sz w:val="21"/>
                      <w:szCs w:val="21"/>
                      <w:u w:val="none"/>
                      <w:lang w:val="en-US" w:eastAsia="zh-CN" w:bidi="ar"/>
                    </w:rPr>
                    <w:t>0.3</w:t>
                  </w:r>
                </w:p>
              </w:tc>
              <w:tc>
                <w:tcPr>
                  <w:tcW w:w="742" w:type="pct"/>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color w:val="auto"/>
                      <w:szCs w:val="20"/>
                      <w:highlight w:val="none"/>
                    </w:rPr>
                    <w:t>SW59，900-099-S59）</w:t>
                  </w:r>
                </w:p>
              </w:tc>
              <w:tc>
                <w:tcPr>
                  <w:tcW w:w="52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作为饲料外售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kern w:val="2"/>
                      <w:sz w:val="24"/>
                      <w:szCs w:val="20"/>
                      <w:lang w:val="en-US" w:eastAsia="zh-CN" w:bidi="ar-SA"/>
                    </w:rPr>
                  </w:pPr>
                  <w:r>
                    <w:rPr>
                      <w:rFonts w:hint="eastAsia"/>
                      <w:szCs w:val="20"/>
                      <w:lang w:val="en-US" w:eastAsia="zh-CN"/>
                    </w:rPr>
                    <w:t>8</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生活垃圾</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职工生活</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固态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纸屑、塑料、果皮等</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sz w:val="21"/>
                      <w:szCs w:val="21"/>
                    </w:rPr>
                  </w:pPr>
                  <w:r>
                    <w:rPr>
                      <w:rFonts w:hint="default" w:ascii="Calibri" w:hAnsi="Calibri" w:eastAsia="宋体" w:cs="Calibri"/>
                      <w:i w:val="0"/>
                      <w:iCs w:val="0"/>
                      <w:color w:val="000000"/>
                      <w:kern w:val="0"/>
                      <w:sz w:val="21"/>
                      <w:szCs w:val="21"/>
                      <w:u w:val="none"/>
                      <w:lang w:val="en-US" w:eastAsia="zh-CN" w:bidi="ar"/>
                    </w:rPr>
                    <w:t>5</w:t>
                  </w:r>
                </w:p>
              </w:tc>
              <w:tc>
                <w:tcPr>
                  <w:tcW w:w="742"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生活垃圾</w:t>
                  </w: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SW64（900-099-S64）</w:t>
                  </w:r>
                </w:p>
              </w:tc>
              <w:tc>
                <w:tcPr>
                  <w:tcW w:w="52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环卫部门统一清运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kern w:val="2"/>
                      <w:sz w:val="24"/>
                      <w:szCs w:val="20"/>
                      <w:lang w:val="en-US" w:eastAsia="zh-CN" w:bidi="ar-SA"/>
                    </w:rPr>
                  </w:pPr>
                  <w:r>
                    <w:rPr>
                      <w:rFonts w:hint="eastAsia"/>
                      <w:szCs w:val="20"/>
                      <w:lang w:val="en-US" w:eastAsia="zh-CN"/>
                    </w:rPr>
                    <w:t>9</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化学品废弃包装</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化验室</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固态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塑料、残留化学品</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sz w:val="21"/>
                      <w:szCs w:val="21"/>
                    </w:rPr>
                  </w:pPr>
                  <w:r>
                    <w:rPr>
                      <w:rFonts w:hint="default" w:ascii="Calibri" w:hAnsi="Calibri" w:eastAsia="宋体" w:cs="Calibri"/>
                      <w:i w:val="0"/>
                      <w:iCs w:val="0"/>
                      <w:color w:val="000000"/>
                      <w:kern w:val="0"/>
                      <w:sz w:val="21"/>
                      <w:szCs w:val="21"/>
                      <w:u w:val="none"/>
                      <w:lang w:val="en-US" w:eastAsia="zh-CN" w:bidi="ar"/>
                    </w:rPr>
                    <w:t>0.05</w:t>
                  </w:r>
                </w:p>
              </w:tc>
              <w:tc>
                <w:tcPr>
                  <w:tcW w:w="742" w:type="pct"/>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危险废物</w:t>
                  </w: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HW49（900-041-49）</w:t>
                  </w:r>
                </w:p>
              </w:tc>
              <w:tc>
                <w:tcPr>
                  <w:tcW w:w="529" w:type="pct"/>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暂存危废间，委托有资质单位处置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kern w:val="2"/>
                      <w:sz w:val="24"/>
                      <w:szCs w:val="20"/>
                      <w:lang w:val="en-US" w:eastAsia="zh-CN" w:bidi="ar-SA"/>
                    </w:rPr>
                  </w:pPr>
                  <w:r>
                    <w:rPr>
                      <w:rFonts w:hint="eastAsia"/>
                      <w:szCs w:val="20"/>
                      <w:lang w:val="en-US" w:eastAsia="zh-CN"/>
                    </w:rPr>
                    <w:t>10</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化验室废液</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化验室</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液态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高浓度有机废液、酸液</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sz w:val="21"/>
                      <w:szCs w:val="21"/>
                    </w:rPr>
                  </w:pPr>
                  <w:r>
                    <w:rPr>
                      <w:rFonts w:hint="default" w:ascii="Calibri" w:hAnsi="Calibri" w:eastAsia="宋体" w:cs="Calibri"/>
                      <w:i w:val="0"/>
                      <w:iCs w:val="0"/>
                      <w:color w:val="000000"/>
                      <w:kern w:val="0"/>
                      <w:sz w:val="21"/>
                      <w:szCs w:val="21"/>
                      <w:u w:val="none"/>
                      <w:lang w:val="en-US" w:eastAsia="zh-CN" w:bidi="ar"/>
                    </w:rPr>
                    <w:t>0.05</w:t>
                  </w:r>
                </w:p>
              </w:tc>
              <w:tc>
                <w:tcPr>
                  <w:tcW w:w="742"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HW49（900-047-49）</w:t>
                  </w:r>
                </w:p>
              </w:tc>
              <w:tc>
                <w:tcPr>
                  <w:tcW w:w="529"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4"/>
                      <w:szCs w:val="20"/>
                      <w:lang w:val="en-US" w:eastAsia="zh-CN" w:bidi="ar-SA"/>
                    </w:rPr>
                  </w:pPr>
                  <w:r>
                    <w:rPr>
                      <w:rFonts w:hint="default"/>
                      <w:szCs w:val="20"/>
                    </w:rPr>
                    <w:t>1</w:t>
                  </w:r>
                  <w:r>
                    <w:rPr>
                      <w:rFonts w:hint="eastAsia"/>
                      <w:szCs w:val="20"/>
                      <w:lang w:val="en-US" w:eastAsia="zh-CN"/>
                    </w:rPr>
                    <w:t>1</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废矿物油</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设备检修</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液态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矿物油</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sz w:val="21"/>
                      <w:szCs w:val="21"/>
                    </w:rPr>
                  </w:pPr>
                  <w:r>
                    <w:rPr>
                      <w:rFonts w:hint="default" w:ascii="Calibri" w:hAnsi="Calibri" w:eastAsia="宋体" w:cs="Calibri"/>
                      <w:i w:val="0"/>
                      <w:iCs w:val="0"/>
                      <w:color w:val="000000"/>
                      <w:kern w:val="0"/>
                      <w:sz w:val="21"/>
                      <w:szCs w:val="21"/>
                      <w:u w:val="none"/>
                      <w:lang w:val="en-US" w:eastAsia="zh-CN" w:bidi="ar"/>
                    </w:rPr>
                    <w:t>0.1</w:t>
                  </w:r>
                </w:p>
              </w:tc>
              <w:tc>
                <w:tcPr>
                  <w:tcW w:w="742"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HW08（900-214-08）</w:t>
                  </w:r>
                </w:p>
              </w:tc>
              <w:tc>
                <w:tcPr>
                  <w:tcW w:w="529" w:type="pct"/>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szCs w:val="20"/>
                      <w:lang w:val="en-US" w:eastAsia="zh-CN"/>
                    </w:rPr>
                  </w:pPr>
                  <w:r>
                    <w:rPr>
                      <w:rFonts w:hint="eastAsia"/>
                      <w:szCs w:val="20"/>
                      <w:lang w:val="en-US" w:eastAsia="zh-CN"/>
                    </w:rPr>
                    <w:t>12</w:t>
                  </w:r>
                </w:p>
              </w:tc>
              <w:tc>
                <w:tcPr>
                  <w:tcW w:w="45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废矿物油桶</w:t>
                  </w:r>
                </w:p>
              </w:tc>
              <w:tc>
                <w:tcPr>
                  <w:tcW w:w="7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设备检修</w:t>
                  </w:r>
                </w:p>
              </w:tc>
              <w:tc>
                <w:tcPr>
                  <w:tcW w:w="46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固态</w:t>
                  </w:r>
                </w:p>
              </w:tc>
              <w:tc>
                <w:tcPr>
                  <w:tcW w:w="65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塑料、残留矿物油</w:t>
                  </w:r>
                </w:p>
              </w:tc>
              <w:tc>
                <w:tcPr>
                  <w:tcW w:w="3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sz w:val="21"/>
                      <w:szCs w:val="21"/>
                    </w:rPr>
                  </w:pPr>
                  <w:r>
                    <w:rPr>
                      <w:rFonts w:hint="default" w:ascii="Calibri" w:hAnsi="Calibri" w:eastAsia="宋体" w:cs="Calibri"/>
                      <w:i w:val="0"/>
                      <w:iCs w:val="0"/>
                      <w:color w:val="000000"/>
                      <w:kern w:val="0"/>
                      <w:sz w:val="21"/>
                      <w:szCs w:val="21"/>
                      <w:u w:val="none"/>
                      <w:lang w:val="en-US" w:eastAsia="zh-CN" w:bidi="ar"/>
                    </w:rPr>
                    <w:t>0.05</w:t>
                  </w:r>
                </w:p>
              </w:tc>
              <w:tc>
                <w:tcPr>
                  <w:tcW w:w="742" w:type="pct"/>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c>
                <w:tcPr>
                  <w:tcW w:w="79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r>
                    <w:rPr>
                      <w:rFonts w:hint="default"/>
                      <w:szCs w:val="20"/>
                    </w:rPr>
                    <w:t>HW08（900-249-08）</w:t>
                  </w:r>
                </w:p>
              </w:tc>
              <w:tc>
                <w:tcPr>
                  <w:tcW w:w="529" w:type="pct"/>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szCs w:val="20"/>
                    </w:rPr>
                  </w:pPr>
                </w:p>
              </w:tc>
            </w:tr>
          </w:tbl>
          <w:p>
            <w:pPr>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auto"/>
                <w:kern w:val="2"/>
                <w:sz w:val="24"/>
                <w:szCs w:val="21"/>
                <w:highlight w:val="none"/>
                <w:lang w:val="en-US" w:eastAsia="zh-CN" w:bidi="ar-SA"/>
              </w:rPr>
            </w:pPr>
            <w:r>
              <w:rPr>
                <w:rFonts w:hint="default" w:ascii="Times New Roman" w:hAnsi="Times New Roman" w:eastAsia="宋体" w:cs="Times New Roman"/>
                <w:bCs/>
                <w:color w:val="auto"/>
                <w:kern w:val="2"/>
                <w:sz w:val="24"/>
                <w:szCs w:val="21"/>
                <w:highlight w:val="none"/>
                <w:lang w:val="en-US" w:eastAsia="zh-CN" w:bidi="ar-SA"/>
              </w:rPr>
              <w:t>对照《固体废物鉴别标准通则》（GB34330-2025）、《国家危险废物名录》（202</w:t>
            </w:r>
            <w:r>
              <w:rPr>
                <w:rFonts w:hint="eastAsia" w:ascii="Times New Roman" w:hAnsi="Times New Roman" w:eastAsia="宋体" w:cs="Times New Roman"/>
                <w:bCs/>
                <w:color w:val="auto"/>
                <w:kern w:val="2"/>
                <w:sz w:val="24"/>
                <w:szCs w:val="21"/>
                <w:highlight w:val="none"/>
                <w:lang w:val="en-US" w:eastAsia="zh-CN" w:bidi="ar-SA"/>
              </w:rPr>
              <w:t>5</w:t>
            </w:r>
            <w:r>
              <w:rPr>
                <w:rFonts w:hint="default" w:ascii="Times New Roman" w:hAnsi="Times New Roman" w:eastAsia="宋体" w:cs="Times New Roman"/>
                <w:bCs/>
                <w:color w:val="auto"/>
                <w:kern w:val="2"/>
                <w:sz w:val="24"/>
                <w:szCs w:val="21"/>
                <w:highlight w:val="none"/>
                <w:lang w:val="en-US" w:eastAsia="zh-CN" w:bidi="ar-SA"/>
              </w:rPr>
              <w:t>版）等相关文件判定，汇总本项目危险废物如下。</w:t>
            </w:r>
          </w:p>
          <w:p>
            <w:pPr>
              <w:pStyle w:val="8"/>
              <w:keepNext w:val="0"/>
              <w:keepLines w:val="0"/>
              <w:suppressLineNumbers w:val="0"/>
              <w:spacing w:before="0" w:beforeAutospacing="0" w:after="0" w:afterAutospacing="0"/>
              <w:ind w:left="0" w:right="0"/>
              <w:rPr>
                <w:rFonts w:hint="eastAsia" w:eastAsia="宋体"/>
                <w:szCs w:val="20"/>
                <w:lang w:eastAsia="zh-CN"/>
              </w:rPr>
            </w:pPr>
            <w:r>
              <w:rPr>
                <w:rFonts w:hint="default"/>
                <w:szCs w:val="20"/>
              </w:rPr>
              <w:t xml:space="preserve">表 </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4</w:t>
            </w:r>
            <w:r>
              <w:rPr>
                <w:rFonts w:hint="default"/>
                <w:szCs w:val="20"/>
              </w:rPr>
              <w:fldChar w:fldCharType="end"/>
            </w:r>
            <w:r>
              <w:rPr>
                <w:rFonts w:hint="eastAsia"/>
                <w:szCs w:val="20"/>
                <w:lang w:eastAsia="zh-CN"/>
              </w:rPr>
              <w:t>-</w:t>
            </w:r>
            <w:r>
              <w:rPr>
                <w:rFonts w:hint="eastAsia"/>
                <w:szCs w:val="20"/>
                <w:lang w:val="en-US" w:eastAsia="zh-CN"/>
              </w:rPr>
              <w:t>11</w:t>
            </w:r>
            <w:r>
              <w:rPr>
                <w:rFonts w:hint="eastAsia"/>
                <w:szCs w:val="20"/>
                <w:lang w:eastAsia="zh-CN"/>
              </w:rPr>
              <w:t>项目危险废物汇总表</w:t>
            </w:r>
          </w:p>
          <w:tbl>
            <w:tblPr>
              <w:tblStyle w:val="2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724"/>
              <w:gridCol w:w="965"/>
              <w:gridCol w:w="1124"/>
              <w:gridCol w:w="841"/>
              <w:gridCol w:w="1932"/>
              <w:gridCol w:w="863"/>
              <w:gridCol w:w="3333"/>
              <w:gridCol w:w="2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206"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序号</w:t>
                  </w:r>
                </w:p>
              </w:tc>
              <w:tc>
                <w:tcPr>
                  <w:tcW w:w="629"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危险废物名称</w:t>
                  </w:r>
                </w:p>
              </w:tc>
              <w:tc>
                <w:tcPr>
                  <w:tcW w:w="352"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产生量（）</w:t>
                  </w:r>
                </w:p>
              </w:tc>
              <w:tc>
                <w:tcPr>
                  <w:tcW w:w="410"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产生工序及装置</w:t>
                  </w:r>
                </w:p>
              </w:tc>
              <w:tc>
                <w:tcPr>
                  <w:tcW w:w="307"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形态</w:t>
                  </w:r>
                </w:p>
              </w:tc>
              <w:tc>
                <w:tcPr>
                  <w:tcW w:w="705"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主要成分/有害成分</w:t>
                  </w:r>
                </w:p>
              </w:tc>
              <w:tc>
                <w:tcPr>
                  <w:tcW w:w="315"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产废周期</w:t>
                  </w:r>
                </w:p>
              </w:tc>
              <w:tc>
                <w:tcPr>
                  <w:tcW w:w="1216"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危险特性</w:t>
                  </w:r>
                </w:p>
              </w:tc>
              <w:tc>
                <w:tcPr>
                  <w:tcW w:w="856"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污染防治措施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1</w:t>
                  </w:r>
                </w:p>
              </w:tc>
              <w:tc>
                <w:tcPr>
                  <w:tcW w:w="629"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化学品废弃包装</w:t>
                  </w:r>
                </w:p>
              </w:tc>
              <w:tc>
                <w:tcPr>
                  <w:tcW w:w="352"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0.05</w:t>
                  </w:r>
                </w:p>
              </w:tc>
              <w:tc>
                <w:tcPr>
                  <w:tcW w:w="410"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化验室</w:t>
                  </w:r>
                </w:p>
              </w:tc>
              <w:tc>
                <w:tcPr>
                  <w:tcW w:w="307"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固态</w:t>
                  </w:r>
                </w:p>
              </w:tc>
              <w:tc>
                <w:tcPr>
                  <w:tcW w:w="705"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塑料、残留化学品</w:t>
                  </w:r>
                </w:p>
              </w:tc>
              <w:tc>
                <w:tcPr>
                  <w:tcW w:w="315"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每季度</w:t>
                  </w:r>
                </w:p>
              </w:tc>
              <w:tc>
                <w:tcPr>
                  <w:tcW w:w="1216"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T/In（毒性、感染性）</w:t>
                  </w:r>
                </w:p>
              </w:tc>
              <w:tc>
                <w:tcPr>
                  <w:tcW w:w="856"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分类收集，暂存于危废暂存间，定期委托有资质单位处置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2</w:t>
                  </w:r>
                </w:p>
              </w:tc>
              <w:tc>
                <w:tcPr>
                  <w:tcW w:w="629"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化验室废液</w:t>
                  </w:r>
                </w:p>
              </w:tc>
              <w:tc>
                <w:tcPr>
                  <w:tcW w:w="352"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0.05</w:t>
                  </w:r>
                </w:p>
              </w:tc>
              <w:tc>
                <w:tcPr>
                  <w:tcW w:w="410" w:type="pct"/>
                  <w:vMerge w:val="continue"/>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307"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液态</w:t>
                  </w:r>
                </w:p>
              </w:tc>
              <w:tc>
                <w:tcPr>
                  <w:tcW w:w="705"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高浓度有机废液、酸液</w:t>
                  </w:r>
                </w:p>
              </w:tc>
              <w:tc>
                <w:tcPr>
                  <w:tcW w:w="315" w:type="pct"/>
                  <w:vMerge w:val="continue"/>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216"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T/C/I/R（毒性、腐蚀性、易燃性、反应性）</w:t>
                  </w:r>
                </w:p>
              </w:tc>
              <w:tc>
                <w:tcPr>
                  <w:tcW w:w="856"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3</w:t>
                  </w:r>
                </w:p>
              </w:tc>
              <w:tc>
                <w:tcPr>
                  <w:tcW w:w="629"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废矿物油</w:t>
                  </w:r>
                </w:p>
              </w:tc>
              <w:tc>
                <w:tcPr>
                  <w:tcW w:w="352"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0.1</w:t>
                  </w:r>
                </w:p>
              </w:tc>
              <w:tc>
                <w:tcPr>
                  <w:tcW w:w="410"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设备检修</w:t>
                  </w:r>
                </w:p>
              </w:tc>
              <w:tc>
                <w:tcPr>
                  <w:tcW w:w="307"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液态</w:t>
                  </w:r>
                </w:p>
              </w:tc>
              <w:tc>
                <w:tcPr>
                  <w:tcW w:w="705" w:type="pct"/>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矿物油、重金属添加剂</w:t>
                  </w:r>
                </w:p>
              </w:tc>
              <w:tc>
                <w:tcPr>
                  <w:tcW w:w="315"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每半年</w:t>
                  </w:r>
                </w:p>
              </w:tc>
              <w:tc>
                <w:tcPr>
                  <w:tcW w:w="1216"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T/I（毒性、易燃性）</w:t>
                  </w:r>
                </w:p>
              </w:tc>
              <w:tc>
                <w:tcPr>
                  <w:tcW w:w="856"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4</w:t>
                  </w:r>
                </w:p>
              </w:tc>
              <w:tc>
                <w:tcPr>
                  <w:tcW w:w="62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废矿物油桶</w:t>
                  </w:r>
                </w:p>
              </w:tc>
              <w:tc>
                <w:tcPr>
                  <w:tcW w:w="35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0.05</w:t>
                  </w:r>
                </w:p>
              </w:tc>
              <w:tc>
                <w:tcPr>
                  <w:tcW w:w="410"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30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固态</w:t>
                  </w:r>
                </w:p>
              </w:tc>
              <w:tc>
                <w:tcPr>
                  <w:tcW w:w="70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塑料、残留矿物油</w:t>
                  </w:r>
                </w:p>
              </w:tc>
              <w:tc>
                <w:tcPr>
                  <w:tcW w:w="315"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1216"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c>
                <w:tcPr>
                  <w:tcW w:w="856"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tcBorders>
                    <w:bottom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color w:val="auto"/>
                      <w:sz w:val="21"/>
                      <w:szCs w:val="24"/>
                      <w:highlight w:val="none"/>
                    </w:rPr>
                    <w:t>备注：毒性（Toxicity</w:t>
                  </w:r>
                  <w:r>
                    <w:rPr>
                      <w:rFonts w:hint="eastAsia"/>
                      <w:color w:val="auto"/>
                      <w:sz w:val="21"/>
                      <w:szCs w:val="24"/>
                      <w:highlight w:val="none"/>
                    </w:rPr>
                    <w:t>，</w:t>
                  </w:r>
                  <w:r>
                    <w:rPr>
                      <w:rFonts w:hint="default"/>
                      <w:color w:val="auto"/>
                      <w:sz w:val="21"/>
                      <w:szCs w:val="24"/>
                      <w:highlight w:val="none"/>
                    </w:rPr>
                    <w:t>T）、腐蚀性（Corrosivity</w:t>
                  </w:r>
                  <w:r>
                    <w:rPr>
                      <w:rFonts w:hint="eastAsia"/>
                      <w:color w:val="auto"/>
                      <w:sz w:val="21"/>
                      <w:szCs w:val="24"/>
                      <w:highlight w:val="none"/>
                    </w:rPr>
                    <w:t>，</w:t>
                  </w:r>
                  <w:r>
                    <w:rPr>
                      <w:rFonts w:hint="default"/>
                      <w:color w:val="auto"/>
                      <w:sz w:val="21"/>
                      <w:szCs w:val="24"/>
                      <w:highlight w:val="none"/>
                    </w:rPr>
                    <w:t>C）、易燃性（Ignitability</w:t>
                  </w:r>
                  <w:r>
                    <w:rPr>
                      <w:rFonts w:hint="eastAsia"/>
                      <w:color w:val="auto"/>
                      <w:sz w:val="21"/>
                      <w:szCs w:val="24"/>
                      <w:highlight w:val="none"/>
                    </w:rPr>
                    <w:t>，</w:t>
                  </w:r>
                  <w:r>
                    <w:rPr>
                      <w:rFonts w:hint="default"/>
                      <w:color w:val="auto"/>
                      <w:sz w:val="21"/>
                      <w:szCs w:val="24"/>
                      <w:highlight w:val="none"/>
                    </w:rPr>
                    <w:t>I）、感染性（Infectivity</w:t>
                  </w:r>
                  <w:r>
                    <w:rPr>
                      <w:rFonts w:hint="eastAsia"/>
                      <w:color w:val="auto"/>
                      <w:sz w:val="21"/>
                      <w:szCs w:val="24"/>
                      <w:highlight w:val="none"/>
                    </w:rPr>
                    <w:t>，</w:t>
                  </w:r>
                  <w:r>
                    <w:rPr>
                      <w:rFonts w:hint="default"/>
                      <w:color w:val="auto"/>
                      <w:sz w:val="21"/>
                      <w:szCs w:val="24"/>
                      <w:highlight w:val="none"/>
                    </w:rPr>
                    <w:t>In）</w:t>
                  </w:r>
                </w:p>
              </w:tc>
            </w:tr>
          </w:tbl>
          <w:p>
            <w:pPr>
              <w:keepNext w:val="0"/>
              <w:keepLines w:val="0"/>
              <w:suppressLineNumbers w:val="0"/>
              <w:spacing w:before="0" w:beforeAutospacing="0" w:after="0" w:afterAutospacing="0"/>
              <w:ind w:left="0" w:right="0"/>
              <w:rPr>
                <w:rFonts w:hint="default"/>
                <w:szCs w:val="20"/>
              </w:rPr>
            </w:pPr>
          </w:p>
          <w:p>
            <w:pPr>
              <w:pStyle w:val="8"/>
              <w:keepNext w:val="0"/>
              <w:keepLines w:val="0"/>
              <w:suppressLineNumbers w:val="0"/>
              <w:spacing w:before="0" w:beforeAutospacing="0" w:after="0" w:afterAutospacing="0"/>
              <w:ind w:left="0" w:right="0"/>
              <w:rPr>
                <w:rFonts w:hint="eastAsia" w:eastAsia="宋体"/>
                <w:szCs w:val="20"/>
                <w:lang w:eastAsia="zh-CN"/>
              </w:rPr>
            </w:pPr>
            <w:r>
              <w:rPr>
                <w:rFonts w:hint="default"/>
                <w:szCs w:val="20"/>
              </w:rPr>
              <w:t xml:space="preserve">表 </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4</w:t>
            </w:r>
            <w:r>
              <w:rPr>
                <w:rFonts w:hint="default"/>
                <w:szCs w:val="20"/>
              </w:rPr>
              <w:fldChar w:fldCharType="end"/>
            </w:r>
            <w:r>
              <w:rPr>
                <w:rFonts w:hint="eastAsia"/>
                <w:szCs w:val="20"/>
                <w:lang w:eastAsia="zh-CN"/>
              </w:rPr>
              <w:t>-</w:t>
            </w:r>
            <w:r>
              <w:rPr>
                <w:rFonts w:hint="eastAsia"/>
                <w:szCs w:val="20"/>
                <w:lang w:val="en-US" w:eastAsia="zh-CN"/>
              </w:rPr>
              <w:t>12</w:t>
            </w:r>
            <w:r>
              <w:rPr>
                <w:rFonts w:hint="eastAsia"/>
                <w:szCs w:val="20"/>
                <w:lang w:eastAsia="zh-CN"/>
              </w:rPr>
              <w:t xml:space="preserve"> 建设项目危险废物贮存场所（设施）基本情况表</w:t>
            </w:r>
          </w:p>
          <w:tbl>
            <w:tblPr>
              <w:tblStyle w:val="22"/>
              <w:tblW w:w="137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6"/>
              <w:gridCol w:w="1914"/>
              <w:gridCol w:w="2221"/>
              <w:gridCol w:w="939"/>
              <w:gridCol w:w="1437"/>
              <w:gridCol w:w="672"/>
              <w:gridCol w:w="781"/>
              <w:gridCol w:w="3380"/>
              <w:gridCol w:w="820"/>
              <w:gridCol w:w="8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贮存场所（设施）名称</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危险废物名称</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危险废物类别</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危险废物代码</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位置</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占地面积</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贮存方式</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贮存能力</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贮存周期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704"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危废暂存间</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化学品废弃包装</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HW49</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900-041-49</w:t>
                  </w: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厂区东侧</w:t>
                  </w:r>
                </w:p>
              </w:tc>
              <w:tc>
                <w:tcPr>
                  <w:tcW w:w="2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20m</w:t>
                  </w:r>
                  <w:r>
                    <w:rPr>
                      <w:rFonts w:hint="default" w:ascii="Calibri" w:hAnsi="Calibri" w:eastAsia="宋体" w:cs="Calibri"/>
                      <w:i w:val="0"/>
                      <w:iCs w:val="0"/>
                      <w:color w:val="000000"/>
                      <w:kern w:val="0"/>
                      <w:sz w:val="21"/>
                      <w:szCs w:val="21"/>
                      <w:u w:val="none"/>
                      <w:vertAlign w:val="superscript"/>
                      <w:lang w:val="en-US" w:eastAsia="zh-CN" w:bidi="ar"/>
                    </w:rPr>
                    <w:t>2</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专用包装袋</w:t>
                  </w:r>
                  <w:r>
                    <w:rPr>
                      <w:rFonts w:hint="default" w:ascii="Calibri" w:hAnsi="Calibri" w:eastAsia="宋体" w:cs="Calibri"/>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箱分类收集，分区存放</w:t>
                  </w:r>
                </w:p>
              </w:tc>
              <w:tc>
                <w:tcPr>
                  <w:tcW w:w="3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0.5t</w:t>
                  </w:r>
                </w:p>
              </w:tc>
              <w:tc>
                <w:tcPr>
                  <w:tcW w:w="3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8" w:hRule="atLeast"/>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w:t>
                  </w:r>
                </w:p>
              </w:tc>
              <w:tc>
                <w:tcPr>
                  <w:tcW w:w="70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化验室废液</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HW49</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900-047-49</w:t>
                  </w: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Calibri" w:hAnsi="Calibri" w:eastAsia="宋体" w:cs="Calibri"/>
                      <w:i w:val="0"/>
                      <w:iCs w:val="0"/>
                      <w:color w:val="000000"/>
                      <w:sz w:val="21"/>
                      <w:szCs w:val="21"/>
                      <w:u w:val="none"/>
                    </w:rPr>
                  </w:pP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专用密闭容器收集，下设托盘</w:t>
                  </w: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Calibri" w:hAnsi="Calibri" w:eastAsia="宋体" w:cs="Calibri"/>
                      <w:i w:val="0"/>
                      <w:iCs w:val="0"/>
                      <w:color w:val="000000"/>
                      <w:sz w:val="21"/>
                      <w:szCs w:val="21"/>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Calibri" w:hAnsi="Calibri" w:eastAsia="宋体" w:cs="Calibri"/>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w:t>
                  </w:r>
                </w:p>
              </w:tc>
              <w:tc>
                <w:tcPr>
                  <w:tcW w:w="704"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废矿物油</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HW08</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900-214-08</w:t>
                  </w: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Calibri" w:hAnsi="Calibri" w:eastAsia="宋体" w:cs="Calibri"/>
                      <w:i w:val="0"/>
                      <w:iCs w:val="0"/>
                      <w:color w:val="000000"/>
                      <w:sz w:val="21"/>
                      <w:szCs w:val="21"/>
                      <w:u w:val="none"/>
                    </w:rPr>
                  </w:pP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专用密闭容器收集，下设托盘</w:t>
                  </w: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Calibri" w:hAnsi="Calibri" w:eastAsia="宋体" w:cs="Calibri"/>
                      <w:i w:val="0"/>
                      <w:iCs w:val="0"/>
                      <w:color w:val="000000"/>
                      <w:sz w:val="21"/>
                      <w:szCs w:val="21"/>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Calibri" w:hAnsi="Calibri" w:eastAsia="宋体" w:cs="Calibri"/>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w:t>
                  </w:r>
                </w:p>
              </w:tc>
              <w:tc>
                <w:tcPr>
                  <w:tcW w:w="704"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废矿物油桶</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HW08</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900-249-08</w:t>
                  </w: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Calibri" w:hAnsi="Calibri" w:eastAsia="宋体" w:cs="Calibri"/>
                      <w:i w:val="0"/>
                      <w:iCs w:val="0"/>
                      <w:color w:val="000000"/>
                      <w:sz w:val="21"/>
                      <w:szCs w:val="21"/>
                      <w:u w:val="none"/>
                    </w:rPr>
                  </w:pP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分类码放，分区存放</w:t>
                  </w: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Calibri" w:hAnsi="Calibri" w:eastAsia="宋体" w:cs="Calibri"/>
                      <w:i w:val="0"/>
                      <w:iCs w:val="0"/>
                      <w:color w:val="000000"/>
                      <w:sz w:val="21"/>
                      <w:szCs w:val="21"/>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Calibri" w:hAnsi="Calibri" w:eastAsia="宋体" w:cs="Calibri"/>
                      <w:i w:val="0"/>
                      <w:iCs w:val="0"/>
                      <w:color w:val="000000"/>
                      <w:sz w:val="21"/>
                      <w:szCs w:val="21"/>
                      <w:u w:val="none"/>
                    </w:rPr>
                  </w:pPr>
                </w:p>
              </w:tc>
            </w:tr>
          </w:tbl>
          <w:p>
            <w:pPr>
              <w:keepNext w:val="0"/>
              <w:keepLines w:val="0"/>
              <w:widowControl/>
              <w:suppressLineNumbers w:val="0"/>
              <w:spacing w:before="0" w:beforeAutospacing="0" w:after="0" w:afterAutospacing="0" w:line="360" w:lineRule="auto"/>
              <w:ind w:left="0" w:right="0" w:firstLine="480" w:firstLineChars="200"/>
              <w:jc w:val="left"/>
              <w:rPr>
                <w:rFonts w:hint="default"/>
                <w:color w:val="auto"/>
                <w:szCs w:val="20"/>
                <w:highlight w:val="none"/>
              </w:rPr>
            </w:pPr>
            <w:r>
              <w:rPr>
                <w:rFonts w:hint="eastAsia"/>
                <w:color w:val="auto"/>
                <w:sz w:val="24"/>
                <w:szCs w:val="24"/>
                <w:highlight w:val="none"/>
                <w:lang w:val="en-US" w:eastAsia="zh-CN"/>
              </w:rPr>
              <w:t>本项目</w:t>
            </w:r>
            <w:r>
              <w:rPr>
                <w:rFonts w:hint="default"/>
                <w:color w:val="auto"/>
                <w:sz w:val="24"/>
                <w:szCs w:val="24"/>
                <w:highlight w:val="none"/>
              </w:rPr>
              <w:t>在</w:t>
            </w:r>
            <w:r>
              <w:rPr>
                <w:rFonts w:hint="eastAsia"/>
                <w:color w:val="auto"/>
                <w:sz w:val="24"/>
                <w:szCs w:val="24"/>
                <w:highlight w:val="none"/>
                <w:lang w:val="en-US" w:eastAsia="zh-CN"/>
              </w:rPr>
              <w:t>厂区东侧</w:t>
            </w:r>
            <w:r>
              <w:rPr>
                <w:rFonts w:hint="default"/>
                <w:color w:val="auto"/>
                <w:sz w:val="24"/>
                <w:szCs w:val="24"/>
                <w:highlight w:val="none"/>
              </w:rPr>
              <w:t>设有一占地面积</w:t>
            </w:r>
            <w:r>
              <w:rPr>
                <w:rFonts w:hint="eastAsia"/>
                <w:color w:val="auto"/>
                <w:sz w:val="24"/>
                <w:szCs w:val="24"/>
                <w:highlight w:val="none"/>
                <w:lang w:val="en-US" w:eastAsia="zh-CN"/>
              </w:rPr>
              <w:t>2</w:t>
            </w:r>
            <w:r>
              <w:rPr>
                <w:rFonts w:hint="eastAsia"/>
                <w:color w:val="auto"/>
                <w:sz w:val="24"/>
                <w:szCs w:val="24"/>
                <w:highlight w:val="none"/>
              </w:rPr>
              <w:t>0m</w:t>
            </w:r>
            <w:r>
              <w:rPr>
                <w:rFonts w:hint="eastAsia"/>
                <w:color w:val="auto"/>
                <w:sz w:val="24"/>
                <w:szCs w:val="24"/>
                <w:highlight w:val="none"/>
                <w:vertAlign w:val="superscript"/>
              </w:rPr>
              <w:t>2</w:t>
            </w:r>
            <w:r>
              <w:rPr>
                <w:rFonts w:hint="default"/>
                <w:color w:val="auto"/>
                <w:sz w:val="24"/>
                <w:szCs w:val="24"/>
                <w:highlight w:val="none"/>
              </w:rPr>
              <w:t>的危废库，</w:t>
            </w:r>
            <w:r>
              <w:rPr>
                <w:rFonts w:hint="eastAsia"/>
                <w:color w:val="auto"/>
                <w:sz w:val="24"/>
                <w:szCs w:val="24"/>
                <w:highlight w:val="none"/>
              </w:rPr>
              <w:t>该</w:t>
            </w:r>
            <w:r>
              <w:rPr>
                <w:rFonts w:hint="default"/>
                <w:color w:val="auto"/>
                <w:sz w:val="24"/>
                <w:szCs w:val="24"/>
                <w:highlight w:val="none"/>
              </w:rPr>
              <w:t>危废</w:t>
            </w:r>
            <w:r>
              <w:rPr>
                <w:rFonts w:hint="eastAsia" w:ascii="Times New Roman" w:eastAsia="宋体"/>
                <w:color w:val="auto"/>
                <w:sz w:val="24"/>
                <w:szCs w:val="24"/>
                <w:highlight w:val="none"/>
                <w:lang w:val="en-US" w:eastAsia="zh-CN"/>
              </w:rPr>
              <w:t>库</w:t>
            </w:r>
            <w:r>
              <w:rPr>
                <w:rFonts w:hint="default"/>
                <w:color w:val="auto"/>
                <w:sz w:val="24"/>
                <w:szCs w:val="24"/>
                <w:highlight w:val="none"/>
              </w:rPr>
              <w:t>容积能够满足</w:t>
            </w:r>
            <w:r>
              <w:rPr>
                <w:rFonts w:hint="eastAsia"/>
                <w:color w:val="auto"/>
                <w:sz w:val="24"/>
                <w:szCs w:val="24"/>
                <w:highlight w:val="none"/>
              </w:rPr>
              <w:t>扩建项目的危废</w:t>
            </w:r>
            <w:r>
              <w:rPr>
                <w:rFonts w:hint="default"/>
                <w:color w:val="auto"/>
                <w:sz w:val="24"/>
                <w:szCs w:val="24"/>
                <w:highlight w:val="none"/>
              </w:rPr>
              <w:t>暂存需求。</w:t>
            </w:r>
          </w:p>
        </w:tc>
      </w:tr>
    </w:tbl>
    <w:p>
      <w:pPr>
        <w:ind w:firstLine="480"/>
        <w:rPr>
          <w:color w:val="auto"/>
          <w:highlight w:val="none"/>
        </w:rPr>
        <w:sectPr>
          <w:pgSz w:w="16838" w:h="11906" w:orient="landscape"/>
          <w:pgMar w:top="1417" w:right="1440" w:bottom="141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85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color w:val="auto"/>
                <w:szCs w:val="20"/>
                <w:highlight w:val="none"/>
              </w:rPr>
            </w:pPr>
          </w:p>
        </w:tc>
        <w:tc>
          <w:tcPr>
            <w:tcW w:w="854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default"/>
                <w:b/>
                <w:bCs/>
                <w:color w:val="auto"/>
                <w:szCs w:val="20"/>
                <w:highlight w:val="none"/>
              </w:rPr>
            </w:pPr>
            <w:r>
              <w:rPr>
                <w:rFonts w:hint="eastAsia"/>
                <w:b/>
                <w:bCs/>
                <w:color w:val="auto"/>
                <w:szCs w:val="20"/>
                <w:highlight w:val="none"/>
              </w:rPr>
              <w:t>2</w:t>
            </w:r>
            <w:r>
              <w:rPr>
                <w:rFonts w:hint="default"/>
                <w:b/>
                <w:bCs/>
                <w:color w:val="auto"/>
                <w:szCs w:val="20"/>
                <w:highlight w:val="none"/>
              </w:rPr>
              <w:t>、固体废物环境影响分析</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本项目运营期产生的固体废物主要包括一般工业固体废物、危险废物及生活垃圾。各类固体废物均得到了合理有效的处置，对周围环境影响较小。</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一、一般工业固体废物环境影响分析</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（1）一般工业固体废物产生及处置情况</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本项目一般工业固体废物包括收尘灰、</w:t>
            </w:r>
            <w:r>
              <w:rPr>
                <w:rFonts w:hint="eastAsia" w:cs="Times New Roman"/>
                <w:color w:val="auto"/>
                <w:sz w:val="24"/>
                <w:szCs w:val="24"/>
                <w:highlight w:val="none"/>
                <w:lang w:eastAsia="zh-CN"/>
              </w:rPr>
              <w:t>酒糟</w:t>
            </w:r>
            <w:r>
              <w:rPr>
                <w:rFonts w:hint="default" w:ascii="Times New Roman" w:hAnsi="Times New Roman" w:eastAsia="宋体" w:cs="Times New Roman"/>
                <w:color w:val="auto"/>
                <w:sz w:val="24"/>
                <w:szCs w:val="24"/>
                <w:highlight w:val="none"/>
              </w:rPr>
              <w:t>、废活性炭、废反渗透膜、废包装材料和废酒瓶，合计产生量约602</w:t>
            </w:r>
            <w:r>
              <w:rPr>
                <w:rFonts w:hint="eastAsia"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55</w:t>
            </w:r>
            <w:r>
              <w:rPr>
                <w:rFonts w:hint="default" w:ascii="Times New Roman" w:hAnsi="Times New Roman" w:eastAsia="宋体" w:cs="Times New Roman"/>
                <w:color w:val="auto"/>
                <w:sz w:val="24"/>
                <w:szCs w:val="24"/>
                <w:highlight w:val="none"/>
              </w:rPr>
              <w:t>。</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（2）一般工业固体废物暂存要求</w:t>
            </w:r>
          </w:p>
          <w:p>
            <w:pPr>
              <w:keepNext w:val="0"/>
              <w:keepLines w:val="0"/>
              <w:numPr>
                <w:ilvl w:val="0"/>
                <w:numId w:val="8"/>
              </w:numPr>
              <w:suppressLineNumbers w:val="0"/>
              <w:spacing w:before="0" w:beforeAutospacing="0" w:after="0" w:afterAutospacing="0" w:line="360" w:lineRule="auto"/>
              <w:ind w:left="0" w:leftChars="0" w:right="0" w:firstLine="567"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一般工业固体废物暂存场所应满足《一般工业固体废物贮存和填埋污染控制标准》（GB 18599-2020）要求，采取防扬散、防流失措施。</w:t>
            </w:r>
          </w:p>
          <w:p>
            <w:pPr>
              <w:keepNext w:val="0"/>
              <w:keepLines w:val="0"/>
              <w:numPr>
                <w:ilvl w:val="0"/>
                <w:numId w:val="8"/>
              </w:numPr>
              <w:suppressLineNumbers w:val="0"/>
              <w:spacing w:before="0" w:beforeAutospacing="0" w:after="0" w:afterAutospacing="0" w:line="360" w:lineRule="auto"/>
              <w:ind w:left="0" w:leftChars="0" w:right="0" w:firstLine="567" w:firstLineChars="0"/>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酒糟暂存处</w:t>
            </w:r>
            <w:r>
              <w:rPr>
                <w:rFonts w:hint="default" w:ascii="Times New Roman" w:hAnsi="Times New Roman" w:eastAsia="宋体" w:cs="Times New Roman"/>
                <w:color w:val="auto"/>
                <w:sz w:val="24"/>
                <w:szCs w:val="24"/>
                <w:highlight w:val="none"/>
              </w:rPr>
              <w:t>应做到地面防渗、日产日清，定期喷洒除臭剂，减少恶臭气体产生。本项目设有独立的废渣收集间，满足</w:t>
            </w:r>
            <w:r>
              <w:rPr>
                <w:rFonts w:hint="eastAsia" w:cs="Times New Roman"/>
                <w:color w:val="auto"/>
                <w:sz w:val="24"/>
                <w:szCs w:val="24"/>
                <w:highlight w:val="none"/>
                <w:lang w:eastAsia="zh-CN"/>
              </w:rPr>
              <w:t>酒糟</w:t>
            </w:r>
            <w:r>
              <w:rPr>
                <w:rFonts w:hint="default" w:ascii="Times New Roman" w:hAnsi="Times New Roman" w:eastAsia="宋体" w:cs="Times New Roman"/>
                <w:color w:val="auto"/>
                <w:sz w:val="24"/>
                <w:szCs w:val="24"/>
                <w:highlight w:val="none"/>
              </w:rPr>
              <w:t>暂存需求。</w:t>
            </w:r>
          </w:p>
          <w:p>
            <w:pPr>
              <w:keepNext w:val="0"/>
              <w:keepLines w:val="0"/>
              <w:numPr>
                <w:ilvl w:val="0"/>
                <w:numId w:val="8"/>
              </w:numPr>
              <w:suppressLineNumbers w:val="0"/>
              <w:spacing w:before="0" w:beforeAutospacing="0" w:after="0" w:afterAutospacing="0" w:line="360" w:lineRule="auto"/>
              <w:ind w:left="0" w:leftChars="0" w:right="0" w:firstLine="567"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收尘灰经布袋除尘器收集后暂存于除尘器灰斗，定期回用于破碎工艺，实现资源化利用。</w:t>
            </w:r>
          </w:p>
          <w:p>
            <w:pPr>
              <w:keepNext w:val="0"/>
              <w:keepLines w:val="0"/>
              <w:numPr>
                <w:ilvl w:val="0"/>
                <w:numId w:val="8"/>
              </w:numPr>
              <w:suppressLineNumbers w:val="0"/>
              <w:spacing w:before="0" w:beforeAutospacing="0" w:after="0" w:afterAutospacing="0" w:line="360" w:lineRule="auto"/>
              <w:ind w:left="0" w:leftChars="0" w:right="0" w:firstLine="567"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废包装材料及废酒瓶在厂区暂存时，分类存放，保持暂存区域整洁。</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（3）一般工业固体废物环境影响分析</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本项目一般工业固体废物均采用综合利用或妥善处置的方式进行处理，不直接外排环境。</w:t>
            </w:r>
            <w:r>
              <w:rPr>
                <w:rFonts w:hint="eastAsia" w:cs="Times New Roman"/>
                <w:color w:val="auto"/>
                <w:sz w:val="24"/>
                <w:szCs w:val="24"/>
                <w:highlight w:val="none"/>
                <w:lang w:eastAsia="zh-CN"/>
              </w:rPr>
              <w:t>酒糟</w:t>
            </w:r>
            <w:r>
              <w:rPr>
                <w:rFonts w:hint="default" w:ascii="Times New Roman" w:hAnsi="Times New Roman" w:eastAsia="宋体" w:cs="Times New Roman"/>
                <w:color w:val="auto"/>
                <w:sz w:val="24"/>
                <w:szCs w:val="24"/>
                <w:highlight w:val="none"/>
              </w:rPr>
              <w:t>作为饲料外售，收尘灰回收利用，废包装材料出售给废品收购站，废酒瓶返回厂家，废活性炭和废反渗透膜由厂家回收。各类固废均能实现资源化、减量化、无害化，对周边环境影响较小。</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二、危险废物环境影响分析</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（1）危险废物产生及处置情况</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本项目危险废物包括化学品废弃包装（HW49，900-041-49）、化验室废液（HW49，900-047-49）、废矿物油（HW08，900-214-08）及废矿物油桶（HW08，900-249-08），合计产生量约0.25。</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（2）危险废物贮存设施建设要求</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危废暂存间建设应满足《危险废物贮存污染控制标准》（GB 18597-2023）要求：</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① 选址要求：危废暂存间位于厂区东侧，选址地质结构稳定，周边无易燃、易爆等危险品仓库，符合标准选址要求。</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② 防渗要求：地面与裙脚进行防渗处理，防渗层为至少1m厚黏土层（渗透系数≤10⁻⁷cm/s），或2mm厚高密度聚乙烯，或至少2mm厚的其他人工材料（渗透系数≤10⁻¹⁰cm/s）。</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③ 分类存放要求：不同类别危险废物应分类分区存放，液态危废（化验室废液、废矿物油）应使用专用密闭容器收集，下方设置防泄漏托盘；固态危废（化学品废弃包装、废矿物油桶）应使用专用包装袋/箱收集。</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④ 标识要求：危废暂存间门口及内部应设置危险废物识别标志，标明危险废物类别、代码、危害特性等信息。</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⑤ 台账管理要求：建立危险废物管理台账，如实记录危险废物的名称、类别、产生量、流向、贮存、处置等信息。台账保存期限不少于5年。</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（3）危废暂存间贮存能力合理性分析</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本项目危废暂存间占地面积20m²，设计贮存能力约2t。本项目危险废物合计产生量约0.25，贮存周期为1年，危废暂存间可满足本项目危险废物暂存需求。根据《危险废物贮存污染控制标准》（GB 18597-2023）要求，贮存点实时贮存量不应超过3吨，本项目设计符合该要求。</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（4）危险废物运输及处置要求</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① 本项目危险废物委托有资质的单位进行定期清运及处置。建设单位应与有资质的危废处置单位签订处置协议。</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② 危险废物转移过</w:t>
            </w:r>
            <w:r>
              <w:rPr>
                <w:rFonts w:hint="eastAsia" w:cs="Times New Roman"/>
                <w:color w:val="auto"/>
                <w:sz w:val="24"/>
                <w:szCs w:val="24"/>
                <w:highlight w:val="none"/>
                <w:lang w:eastAsia="zh-CN"/>
              </w:rPr>
              <w:t>程中</w:t>
            </w:r>
            <w:r>
              <w:rPr>
                <w:rFonts w:hint="default" w:ascii="Times New Roman" w:hAnsi="Times New Roman" w:eastAsia="宋体" w:cs="Times New Roman"/>
                <w:color w:val="auto"/>
                <w:sz w:val="24"/>
                <w:szCs w:val="24"/>
                <w:highlight w:val="none"/>
              </w:rPr>
              <w:t>应严格执行《危险废物转移管理办法》，执行转移联单制度，如实填写转移联单。</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③ 运输过程中应采取防风、防雨、防晒、防泄漏措施，确保运输过程环境安全。</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（5）危险废物环境影响分析</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危险废物产生量较小（0.25），经分类收集、密封包装、分区暂存于符合标准的危废暂存间后，委托有资质单位进行安全处置。采取上述措施后，危险废物在收集、暂存、转移、处置各环节均能得到有效控制，对周围环境影响较小。</w:t>
            </w:r>
          </w:p>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三、生活垃圾环境影响分析</w:t>
            </w:r>
          </w:p>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本项目生活垃圾产生量约5，经厂区垃圾桶分类收集后，交由当地环卫部门统一清运处置。生活垃圾得到妥善处置，对周围环境影响较小。</w:t>
            </w:r>
          </w:p>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综上，本项目建成运行后，产生的各种固体废物均可以根据各种固废不同的属性，进行相应的处理，从而实现固废的资源化和无害化处理。项目产生的固废不外排，不会对区域环境造成不利影响。</w:t>
            </w:r>
          </w:p>
          <w:p>
            <w:pPr>
              <w:pStyle w:val="5"/>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五、地下水及土壤环境影响分析</w:t>
            </w:r>
          </w:p>
          <w:p>
            <w:pPr>
              <w:keepNext w:val="0"/>
              <w:keepLines w:val="0"/>
              <w:suppressLineNumbers w:val="0"/>
              <w:spacing w:before="0" w:beforeAutospacing="0" w:after="0" w:afterAutospacing="0"/>
              <w:ind w:left="0" w:right="0" w:firstLine="480"/>
              <w:rPr>
                <w:rFonts w:hint="default"/>
                <w:color w:val="auto"/>
                <w:kern w:val="0"/>
                <w:szCs w:val="20"/>
                <w:highlight w:val="none"/>
              </w:rPr>
            </w:pPr>
            <w:r>
              <w:rPr>
                <w:rFonts w:hint="eastAsia"/>
                <w:color w:val="auto"/>
                <w:kern w:val="0"/>
                <w:szCs w:val="20"/>
                <w:highlight w:val="none"/>
              </w:rPr>
              <w:t>项目运营过程中，项目运营期间污水的下渗可能对评价区的地下水水质造成污染。</w:t>
            </w:r>
          </w:p>
          <w:p>
            <w:pPr>
              <w:keepNext w:val="0"/>
              <w:keepLines w:val="0"/>
              <w:numPr>
                <w:ilvl w:val="0"/>
                <w:numId w:val="9"/>
              </w:numPr>
              <w:suppressLineNumbers w:val="0"/>
              <w:spacing w:before="0" w:beforeAutospacing="0" w:after="0" w:afterAutospacing="0"/>
              <w:ind w:left="0" w:leftChars="0" w:right="0" w:firstLine="567" w:firstLineChars="0"/>
              <w:rPr>
                <w:rFonts w:hint="default"/>
                <w:b/>
                <w:bCs/>
                <w:color w:val="auto"/>
                <w:kern w:val="0"/>
                <w:szCs w:val="20"/>
                <w:highlight w:val="none"/>
              </w:rPr>
            </w:pPr>
            <w:r>
              <w:rPr>
                <w:rFonts w:hint="eastAsia"/>
                <w:b/>
                <w:bCs/>
                <w:color w:val="auto"/>
                <w:kern w:val="0"/>
                <w:szCs w:val="20"/>
                <w:highlight w:val="none"/>
              </w:rPr>
              <w:t>地下水污染途径</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地下水污染途径大致可归为四类：</w:t>
            </w:r>
          </w:p>
          <w:p>
            <w:pPr>
              <w:pStyle w:val="8"/>
              <w:keepNext w:val="0"/>
              <w:keepLines w:val="0"/>
              <w:suppressLineNumbers w:val="0"/>
              <w:spacing w:before="0" w:beforeAutospacing="0" w:after="0" w:afterAutospacing="0"/>
              <w:ind w:left="0" w:right="0"/>
              <w:rPr>
                <w:rFonts w:hint="eastAsia" w:eastAsia="宋体"/>
                <w:szCs w:val="20"/>
                <w:lang w:eastAsia="zh-CN"/>
              </w:rPr>
            </w:pPr>
            <w:r>
              <w:rPr>
                <w:rFonts w:hint="default"/>
                <w:szCs w:val="20"/>
              </w:rPr>
              <w:t xml:space="preserve">表 </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4</w:t>
            </w:r>
            <w:r>
              <w:rPr>
                <w:rFonts w:hint="default"/>
                <w:szCs w:val="20"/>
              </w:rPr>
              <w:fldChar w:fldCharType="end"/>
            </w:r>
            <w:r>
              <w:rPr>
                <w:rFonts w:hint="eastAsia"/>
                <w:szCs w:val="20"/>
                <w:lang w:eastAsia="zh-CN"/>
              </w:rPr>
              <w:t>-</w:t>
            </w:r>
            <w:r>
              <w:rPr>
                <w:rFonts w:hint="eastAsia"/>
                <w:szCs w:val="20"/>
                <w:lang w:val="en-US" w:eastAsia="zh-CN"/>
              </w:rPr>
              <w:t>13</w:t>
            </w:r>
            <w:r>
              <w:rPr>
                <w:rFonts w:hint="eastAsia"/>
                <w:szCs w:val="20"/>
                <w:lang w:eastAsia="zh-CN"/>
              </w:rPr>
              <w:t>地下水产生影响的污染源及途径基本情况表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7"/>
              <w:gridCol w:w="2981"/>
              <w:gridCol w:w="2474"/>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污染源</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主要污染物</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污染途径</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szCs w:val="20"/>
                    </w:rPr>
                  </w:pPr>
                  <w:r>
                    <w:rPr>
                      <w:rFonts w:hint="default"/>
                      <w:b/>
                      <w:szCs w:val="20"/>
                    </w:rPr>
                    <w:t>污染特征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危废暂存间</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废矿物油、化验室废液</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防渗层破损导致渗漏</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持久性有机物污染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eastAsia"/>
                      <w:szCs w:val="20"/>
                      <w:lang w:eastAsia="zh-CN"/>
                    </w:rPr>
                    <w:t>酒糟暂存处</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高浓度有机废水（COD、氨氮）</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防渗层破损、漫流导致渗漏</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非持久性有机污染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事故池</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事故废水</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防渗层破损导致渗漏</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非持久性有机污染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酿酒车间</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生产废水（锅底水等）</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地面防渗层破损导致渗漏</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非持久性有机污染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污水管线</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生产废水、生活污水</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管道破裂导致渗漏</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szCs w:val="20"/>
                    </w:rPr>
                  </w:pPr>
                  <w:r>
                    <w:rPr>
                      <w:rFonts w:hint="default"/>
                      <w:szCs w:val="20"/>
                    </w:rPr>
                    <w:t>非持久性有机污染</w:t>
                  </w:r>
                </w:p>
              </w:tc>
            </w:tr>
          </w:tbl>
          <w:p>
            <w:pPr>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kern w:val="0"/>
                <w:szCs w:val="20"/>
                <w:highlight w:val="none"/>
              </w:rPr>
            </w:pPr>
            <w:r>
              <w:rPr>
                <w:rFonts w:hint="eastAsia"/>
                <w:color w:val="auto"/>
                <w:kern w:val="0"/>
                <w:szCs w:val="20"/>
                <w:highlight w:val="none"/>
              </w:rPr>
              <w:t>本项目不开采地下水，不会对地下水位及流程产生影响。由于本项目将采取严格的防渗措施，在做好防渗的前提下不会发生连续入渗型污染。综上所述与项目相关的主</w:t>
            </w:r>
            <w:r>
              <w:rPr>
                <w:rFonts w:hint="eastAsia" w:ascii="Times New Roman" w:hAnsi="Times New Roman" w:eastAsia="宋体" w:cs="Times New Roman"/>
                <w:color w:val="auto"/>
                <w:kern w:val="0"/>
                <w:szCs w:val="20"/>
                <w:highlight w:val="none"/>
              </w:rPr>
              <w:t>要地下水污染途径为间歇入渗型。</w:t>
            </w:r>
          </w:p>
          <w:p>
            <w:pPr>
              <w:keepNext w:val="0"/>
              <w:keepLines w:val="0"/>
              <w:numPr>
                <w:ilvl w:val="0"/>
                <w:numId w:val="9"/>
              </w:numPr>
              <w:suppressLineNumbers w:val="0"/>
              <w:spacing w:before="0" w:beforeAutospacing="0" w:after="0" w:afterAutospacing="0"/>
              <w:ind w:left="0" w:leftChars="0" w:right="0" w:firstLine="567" w:firstLineChars="0"/>
              <w:rPr>
                <w:rFonts w:hint="default" w:ascii="Times New Roman" w:hAnsi="Times New Roman" w:eastAsia="宋体" w:cs="Times New Roman"/>
                <w:b/>
                <w:bCs/>
                <w:color w:val="auto"/>
                <w:kern w:val="0"/>
                <w:szCs w:val="20"/>
                <w:highlight w:val="none"/>
              </w:rPr>
            </w:pPr>
            <w:r>
              <w:rPr>
                <w:rFonts w:hint="default" w:ascii="Times New Roman" w:hAnsi="Times New Roman" w:eastAsia="宋体" w:cs="Times New Roman"/>
                <w:b/>
                <w:bCs/>
                <w:color w:val="auto"/>
                <w:kern w:val="0"/>
                <w:szCs w:val="20"/>
                <w:highlight w:val="none"/>
              </w:rPr>
              <w:t>土壤污染源及污染途径</w:t>
            </w:r>
          </w:p>
          <w:p>
            <w:pPr>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kern w:val="0"/>
                <w:szCs w:val="20"/>
                <w:highlight w:val="none"/>
              </w:rPr>
            </w:pPr>
            <w:r>
              <w:rPr>
                <w:rFonts w:hint="default" w:ascii="Times New Roman" w:hAnsi="Times New Roman" w:eastAsia="宋体" w:cs="Times New Roman"/>
                <w:color w:val="auto"/>
                <w:kern w:val="0"/>
                <w:szCs w:val="20"/>
                <w:highlight w:val="none"/>
              </w:rPr>
              <w:t>本项目可能对土壤产生影响的污染源及途径与地下水基本一致，主要包括：危废暂存间液态危废泄漏后垂直入渗；</w:t>
            </w:r>
            <w:r>
              <w:rPr>
                <w:rFonts w:hint="eastAsia" w:cs="Times New Roman"/>
                <w:color w:val="auto"/>
                <w:kern w:val="0"/>
                <w:szCs w:val="20"/>
                <w:highlight w:val="none"/>
                <w:lang w:eastAsia="zh-CN"/>
              </w:rPr>
              <w:t>酒糟暂存处</w:t>
            </w:r>
            <w:r>
              <w:rPr>
                <w:rFonts w:hint="default" w:ascii="Times New Roman" w:hAnsi="Times New Roman" w:eastAsia="宋体" w:cs="Times New Roman"/>
                <w:color w:val="auto"/>
                <w:kern w:val="0"/>
                <w:szCs w:val="20"/>
                <w:highlight w:val="none"/>
              </w:rPr>
              <w:t>渗滤液下渗；事故状态下废水漫流；污水管线破裂后废水渗漏等。</w:t>
            </w:r>
          </w:p>
          <w:p>
            <w:pPr>
              <w:keepNext w:val="0"/>
              <w:keepLines w:val="0"/>
              <w:numPr>
                <w:ilvl w:val="0"/>
                <w:numId w:val="9"/>
              </w:numPr>
              <w:suppressLineNumbers w:val="0"/>
              <w:spacing w:before="0" w:beforeAutospacing="0" w:after="0" w:afterAutospacing="0"/>
              <w:ind w:left="0" w:leftChars="0" w:right="0" w:firstLine="567" w:firstLineChars="0"/>
              <w:rPr>
                <w:rFonts w:hint="default" w:ascii="Times New Roman" w:hAnsi="Times New Roman" w:eastAsia="宋体" w:cs="Times New Roman"/>
                <w:b/>
                <w:bCs/>
                <w:color w:val="auto"/>
                <w:kern w:val="0"/>
                <w:szCs w:val="20"/>
                <w:highlight w:val="none"/>
              </w:rPr>
            </w:pPr>
            <w:r>
              <w:rPr>
                <w:rFonts w:hint="default" w:ascii="Times New Roman" w:hAnsi="Times New Roman" w:eastAsia="宋体" w:cs="Times New Roman"/>
                <w:b/>
                <w:bCs/>
                <w:color w:val="auto"/>
                <w:kern w:val="0"/>
                <w:szCs w:val="20"/>
                <w:highlight w:val="none"/>
              </w:rPr>
              <w:t>分区防渗措施</w:t>
            </w:r>
          </w:p>
          <w:p>
            <w:pPr>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kern w:val="0"/>
                <w:szCs w:val="20"/>
                <w:highlight w:val="none"/>
              </w:rPr>
            </w:pPr>
            <w:r>
              <w:rPr>
                <w:rFonts w:hint="default" w:ascii="Times New Roman" w:hAnsi="Times New Roman" w:eastAsia="宋体" w:cs="Times New Roman"/>
                <w:color w:val="auto"/>
                <w:kern w:val="0"/>
                <w:szCs w:val="20"/>
                <w:highlight w:val="none"/>
              </w:rPr>
              <w:t>根据《环境影响评价技术导则 地下水环境》（HJ 610-2016）要求，防渗分区应根据建设项目场地天然包气带防污性能、污染控制难易程度和污染物特性确定。本项目按照“源头控制、分区防控、污染监控、应急响应”的原则，将厂区划分为重点防渗区、一般防渗区、简单防渗区三个级别。</w:t>
            </w:r>
          </w:p>
          <w:p>
            <w:pPr>
              <w:pStyle w:val="8"/>
              <w:keepNext w:val="0"/>
              <w:keepLines w:val="0"/>
              <w:suppressLineNumbers w:val="0"/>
              <w:spacing w:before="0" w:beforeAutospacing="0" w:after="0" w:afterAutospacing="0"/>
              <w:ind w:left="0" w:right="0"/>
              <w:rPr>
                <w:rFonts w:hint="eastAsia" w:eastAsia="宋体"/>
                <w:szCs w:val="20"/>
                <w:lang w:eastAsia="zh-CN"/>
              </w:rPr>
            </w:pPr>
            <w:r>
              <w:rPr>
                <w:rFonts w:hint="default"/>
                <w:szCs w:val="20"/>
              </w:rPr>
              <w:t xml:space="preserve">表 </w:t>
            </w:r>
            <w:r>
              <w:rPr>
                <w:rFonts w:hint="default"/>
                <w:szCs w:val="20"/>
              </w:rPr>
              <w:fldChar w:fldCharType="begin"/>
            </w:r>
            <w:r>
              <w:rPr>
                <w:rFonts w:hint="default"/>
                <w:szCs w:val="20"/>
              </w:rPr>
              <w:instrText xml:space="preserve"> STYLEREF 1 \s \* ARABIC </w:instrText>
            </w:r>
            <w:r>
              <w:rPr>
                <w:rFonts w:hint="default"/>
                <w:szCs w:val="20"/>
              </w:rPr>
              <w:fldChar w:fldCharType="separate"/>
            </w:r>
            <w:r>
              <w:rPr>
                <w:rFonts w:hint="default"/>
                <w:szCs w:val="20"/>
              </w:rPr>
              <w:t>4</w:t>
            </w:r>
            <w:r>
              <w:rPr>
                <w:rFonts w:hint="default"/>
                <w:szCs w:val="20"/>
              </w:rPr>
              <w:fldChar w:fldCharType="end"/>
            </w:r>
            <w:r>
              <w:rPr>
                <w:rFonts w:hint="eastAsia"/>
                <w:szCs w:val="20"/>
                <w:lang w:eastAsia="zh-CN"/>
              </w:rPr>
              <w:t>-</w:t>
            </w:r>
            <w:r>
              <w:rPr>
                <w:rFonts w:hint="eastAsia"/>
                <w:szCs w:val="20"/>
                <w:lang w:val="en-US" w:eastAsia="zh-CN"/>
              </w:rPr>
              <w:t>14</w:t>
            </w:r>
            <w:r>
              <w:rPr>
                <w:rFonts w:hint="eastAsia"/>
                <w:szCs w:val="20"/>
                <w:lang w:eastAsia="zh-CN"/>
              </w:rPr>
              <w:t>项目分区防渗措施一览表</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3828"/>
              <w:gridCol w:w="3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90" w:type="pct"/>
                  <w:vAlign w:val="center"/>
                </w:tcPr>
                <w:p>
                  <w:pPr>
                    <w:pStyle w:val="45"/>
                    <w:keepNext w:val="0"/>
                    <w:keepLines w:val="0"/>
                    <w:suppressLineNumbers w:val="0"/>
                    <w:spacing w:before="0" w:beforeAutospacing="0" w:after="0" w:afterAutospacing="0" w:line="240" w:lineRule="auto"/>
                    <w:ind w:left="0" w:right="0" w:firstLine="0" w:firstLineChars="0"/>
                    <w:jc w:val="center"/>
                    <w:rPr>
                      <w:rFonts w:hint="default" w:eastAsia="宋体" w:cs="Times New Roman"/>
                      <w:color w:val="auto"/>
                      <w:sz w:val="21"/>
                      <w:szCs w:val="21"/>
                      <w:highlight w:val="none"/>
                    </w:rPr>
                  </w:pPr>
                  <w:r>
                    <w:rPr>
                      <w:rFonts w:hint="default" w:eastAsia="宋体" w:cs="Times New Roman"/>
                      <w:color w:val="auto"/>
                      <w:sz w:val="21"/>
                      <w:szCs w:val="21"/>
                      <w:highlight w:val="none"/>
                    </w:rPr>
                    <w:t>名称</w:t>
                  </w:r>
                </w:p>
              </w:tc>
              <w:tc>
                <w:tcPr>
                  <w:tcW w:w="2299" w:type="pct"/>
                  <w:vAlign w:val="center"/>
                </w:tcPr>
                <w:p>
                  <w:pPr>
                    <w:pStyle w:val="45"/>
                    <w:keepNext w:val="0"/>
                    <w:keepLines w:val="0"/>
                    <w:suppressLineNumbers w:val="0"/>
                    <w:spacing w:before="0" w:beforeAutospacing="0" w:after="0" w:afterAutospacing="0" w:line="240" w:lineRule="auto"/>
                    <w:ind w:left="0" w:right="0" w:firstLine="0" w:firstLineChars="0"/>
                    <w:jc w:val="center"/>
                    <w:rPr>
                      <w:rFonts w:hint="default" w:eastAsia="宋体" w:cs="Times New Roman"/>
                      <w:color w:val="auto"/>
                      <w:sz w:val="21"/>
                      <w:szCs w:val="21"/>
                      <w:highlight w:val="none"/>
                    </w:rPr>
                  </w:pPr>
                  <w:r>
                    <w:rPr>
                      <w:rFonts w:hint="default" w:eastAsia="宋体" w:cs="Times New Roman"/>
                      <w:color w:val="auto"/>
                      <w:sz w:val="21"/>
                      <w:szCs w:val="21"/>
                      <w:highlight w:val="none"/>
                    </w:rPr>
                    <w:t>范围</w:t>
                  </w:r>
                </w:p>
              </w:tc>
              <w:tc>
                <w:tcPr>
                  <w:tcW w:w="1910" w:type="pct"/>
                  <w:vAlign w:val="center"/>
                </w:tcPr>
                <w:p>
                  <w:pPr>
                    <w:pStyle w:val="45"/>
                    <w:keepNext w:val="0"/>
                    <w:keepLines w:val="0"/>
                    <w:suppressLineNumbers w:val="0"/>
                    <w:spacing w:before="0" w:beforeAutospacing="0" w:after="0" w:afterAutospacing="0" w:line="240" w:lineRule="auto"/>
                    <w:ind w:left="0" w:right="0" w:firstLine="0" w:firstLineChars="0"/>
                    <w:jc w:val="center"/>
                    <w:rPr>
                      <w:rFonts w:hint="default" w:eastAsia="宋体" w:cs="Times New Roman"/>
                      <w:color w:val="auto"/>
                      <w:sz w:val="21"/>
                      <w:szCs w:val="21"/>
                      <w:highlight w:val="none"/>
                    </w:rPr>
                  </w:pPr>
                  <w:r>
                    <w:rPr>
                      <w:rFonts w:hint="default" w:eastAsia="宋体" w:cs="Times New Roman"/>
                      <w:color w:val="auto"/>
                      <w:sz w:val="21"/>
                      <w:szCs w:val="21"/>
                      <w:highlight w:val="none"/>
                    </w:rPr>
                    <w:t>防渗要求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790" w:type="pct"/>
                  <w:vAlign w:val="center"/>
                </w:tcPr>
                <w:p>
                  <w:pPr>
                    <w:pStyle w:val="45"/>
                    <w:keepNext w:val="0"/>
                    <w:keepLines w:val="0"/>
                    <w:suppressLineNumbers w:val="0"/>
                    <w:spacing w:before="0" w:beforeAutospacing="0" w:after="0" w:afterAutospacing="0" w:line="240" w:lineRule="auto"/>
                    <w:ind w:left="0" w:right="0" w:firstLine="0" w:firstLineChars="0"/>
                    <w:jc w:val="center"/>
                    <w:rPr>
                      <w:rFonts w:hint="default" w:eastAsia="宋体" w:cs="Times New Roman"/>
                      <w:color w:val="auto"/>
                      <w:sz w:val="21"/>
                      <w:szCs w:val="21"/>
                      <w:highlight w:val="none"/>
                    </w:rPr>
                  </w:pPr>
                  <w:r>
                    <w:rPr>
                      <w:rFonts w:hint="default" w:eastAsia="宋体" w:cs="Times New Roman"/>
                      <w:color w:val="auto"/>
                      <w:sz w:val="21"/>
                      <w:szCs w:val="21"/>
                      <w:highlight w:val="none"/>
                    </w:rPr>
                    <w:t>重点防渗区</w:t>
                  </w:r>
                </w:p>
              </w:tc>
              <w:tc>
                <w:tcPr>
                  <w:tcW w:w="2299" w:type="pct"/>
                  <w:vAlign w:val="center"/>
                </w:tcPr>
                <w:p>
                  <w:pPr>
                    <w:pStyle w:val="45"/>
                    <w:keepNext w:val="0"/>
                    <w:keepLines w:val="0"/>
                    <w:suppressLineNumbers w:val="0"/>
                    <w:spacing w:before="0" w:beforeAutospacing="0" w:after="0" w:afterAutospacing="0" w:line="240" w:lineRule="auto"/>
                    <w:ind w:left="0" w:right="0" w:firstLine="0" w:firstLineChars="0"/>
                    <w:jc w:val="center"/>
                    <w:rPr>
                      <w:rFonts w:hint="default" w:eastAsia="宋体" w:cs="Times New Roman"/>
                      <w:color w:val="auto"/>
                      <w:sz w:val="21"/>
                      <w:szCs w:val="21"/>
                      <w:highlight w:val="none"/>
                      <w:lang w:val="en-US" w:eastAsia="zh-CN"/>
                    </w:rPr>
                  </w:pPr>
                  <w:r>
                    <w:rPr>
                      <w:rFonts w:hint="default" w:eastAsia="宋体" w:cs="Times New Roman"/>
                      <w:color w:val="auto"/>
                      <w:sz w:val="21"/>
                      <w:szCs w:val="21"/>
                      <w:highlight w:val="none"/>
                      <w:lang w:val="en-US" w:eastAsia="zh-CN"/>
                    </w:rPr>
                    <w:t>危废暂存间、事故池。</w:t>
                  </w:r>
                </w:p>
              </w:tc>
              <w:tc>
                <w:tcPr>
                  <w:tcW w:w="1910" w:type="pct"/>
                  <w:vAlign w:val="center"/>
                </w:tcPr>
                <w:p>
                  <w:pPr>
                    <w:pStyle w:val="45"/>
                    <w:keepNext w:val="0"/>
                    <w:keepLines w:val="0"/>
                    <w:suppressLineNumbers w:val="0"/>
                    <w:spacing w:before="0" w:beforeAutospacing="0" w:after="0" w:afterAutospacing="0" w:line="240" w:lineRule="auto"/>
                    <w:ind w:left="0" w:right="0" w:firstLine="0" w:firstLineChars="0"/>
                    <w:jc w:val="center"/>
                    <w:rPr>
                      <w:rFonts w:hint="default" w:eastAsia="宋体" w:cs="Times New Roman"/>
                      <w:color w:val="auto"/>
                      <w:sz w:val="21"/>
                      <w:szCs w:val="21"/>
                      <w:highlight w:val="none"/>
                    </w:rPr>
                  </w:pPr>
                  <w:r>
                    <w:rPr>
                      <w:rFonts w:hint="eastAsia" w:eastAsia="宋体" w:cs="Times New Roman"/>
                      <w:color w:val="auto"/>
                      <w:sz w:val="21"/>
                      <w:szCs w:val="21"/>
                      <w:highlight w:val="none"/>
                    </w:rPr>
                    <w:t>内涂加强级防腐涂层，</w:t>
                  </w:r>
                  <w:r>
                    <w:rPr>
                      <w:rFonts w:hint="default" w:eastAsia="宋体" w:cs="Times New Roman"/>
                      <w:color w:val="auto"/>
                      <w:sz w:val="21"/>
                      <w:szCs w:val="21"/>
                      <w:highlight w:val="none"/>
                    </w:rPr>
                    <w:t>等效黏土防渗层Mb≥6.0m，K≤1.0×10</w:t>
                  </w:r>
                  <w:r>
                    <w:rPr>
                      <w:rFonts w:hint="default" w:eastAsia="宋体" w:cs="Times New Roman"/>
                      <w:color w:val="auto"/>
                      <w:sz w:val="21"/>
                      <w:szCs w:val="21"/>
                      <w:highlight w:val="none"/>
                      <w:vertAlign w:val="superscript"/>
                    </w:rPr>
                    <w:t>-7</w:t>
                  </w:r>
                  <w:r>
                    <w:rPr>
                      <w:rFonts w:hint="default" w:eastAsia="宋体" w:cs="Times New Roman"/>
                      <w:color w:val="auto"/>
                      <w:sz w:val="21"/>
                      <w:szCs w:val="21"/>
                      <w:highlight w:val="none"/>
                    </w:rPr>
                    <w:t>cm/s；或参照GB18598执行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790" w:type="pct"/>
                  <w:vAlign w:val="center"/>
                </w:tcPr>
                <w:p>
                  <w:pPr>
                    <w:pStyle w:val="45"/>
                    <w:keepNext w:val="0"/>
                    <w:keepLines w:val="0"/>
                    <w:suppressLineNumbers w:val="0"/>
                    <w:spacing w:before="0" w:beforeAutospacing="0" w:after="0" w:afterAutospacing="0" w:line="240" w:lineRule="auto"/>
                    <w:ind w:left="0" w:right="0" w:firstLine="0" w:firstLineChars="0"/>
                    <w:jc w:val="center"/>
                    <w:rPr>
                      <w:rFonts w:hint="default" w:eastAsia="宋体" w:cs="Times New Roman"/>
                      <w:color w:val="auto"/>
                      <w:sz w:val="21"/>
                      <w:szCs w:val="21"/>
                      <w:highlight w:val="none"/>
                    </w:rPr>
                  </w:pPr>
                  <w:r>
                    <w:rPr>
                      <w:rFonts w:hint="default" w:eastAsia="宋体" w:cs="Times New Roman"/>
                      <w:color w:val="auto"/>
                      <w:sz w:val="21"/>
                      <w:szCs w:val="21"/>
                      <w:highlight w:val="none"/>
                    </w:rPr>
                    <w:t>一般防渗区</w:t>
                  </w:r>
                </w:p>
              </w:tc>
              <w:tc>
                <w:tcPr>
                  <w:tcW w:w="2299" w:type="pct"/>
                  <w:vAlign w:val="center"/>
                </w:tcPr>
                <w:p>
                  <w:pPr>
                    <w:pStyle w:val="45"/>
                    <w:keepNext w:val="0"/>
                    <w:keepLines w:val="0"/>
                    <w:suppressLineNumbers w:val="0"/>
                    <w:spacing w:before="0" w:beforeAutospacing="0" w:after="0" w:afterAutospacing="0" w:line="240" w:lineRule="auto"/>
                    <w:ind w:left="0" w:right="0" w:firstLine="0" w:firstLineChars="0"/>
                    <w:jc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rPr>
                    <w:t>酿酒车间（8#）、破碎车间（12#）、储调车间（10#）、废渣收集间、储酒罐区。</w:t>
                  </w:r>
                </w:p>
              </w:tc>
              <w:tc>
                <w:tcPr>
                  <w:tcW w:w="1910" w:type="pct"/>
                  <w:vAlign w:val="center"/>
                </w:tcPr>
                <w:p>
                  <w:pPr>
                    <w:keepNext w:val="0"/>
                    <w:keepLines w:val="0"/>
                    <w:suppressLineNumbers w:val="0"/>
                    <w:spacing w:before="0" w:beforeAutospacing="0" w:after="0" w:afterAutospacing="0"/>
                    <w:ind w:left="0" w:right="0" w:firstLine="480"/>
                    <w:jc w:val="center"/>
                    <w:rPr>
                      <w:rFonts w:hint="default"/>
                      <w:color w:val="auto"/>
                      <w:sz w:val="21"/>
                      <w:szCs w:val="21"/>
                      <w:highlight w:val="none"/>
                    </w:rPr>
                  </w:pPr>
                  <w:r>
                    <w:rPr>
                      <w:rFonts w:hint="default"/>
                      <w:color w:val="auto"/>
                      <w:sz w:val="21"/>
                      <w:szCs w:val="21"/>
                      <w:highlight w:val="none"/>
                    </w:rPr>
                    <w:t>等效黏土防渗层Mb≥1.5m，K≤1.0×10</w:t>
                  </w:r>
                  <w:r>
                    <w:rPr>
                      <w:rFonts w:hint="default"/>
                      <w:color w:val="auto"/>
                      <w:sz w:val="21"/>
                      <w:szCs w:val="21"/>
                      <w:highlight w:val="none"/>
                      <w:vertAlign w:val="superscript"/>
                    </w:rPr>
                    <w:t>-7</w:t>
                  </w:r>
                  <w:r>
                    <w:rPr>
                      <w:rFonts w:hint="default"/>
                      <w:color w:val="auto"/>
                      <w:sz w:val="21"/>
                      <w:szCs w:val="21"/>
                      <w:highlight w:val="none"/>
                    </w:rPr>
                    <w:t>cm/s；或参照GB16889执行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790" w:type="pct"/>
                  <w:vAlign w:val="center"/>
                </w:tcPr>
                <w:p>
                  <w:pPr>
                    <w:pStyle w:val="45"/>
                    <w:keepNext w:val="0"/>
                    <w:keepLines w:val="0"/>
                    <w:suppressLineNumbers w:val="0"/>
                    <w:spacing w:before="0" w:beforeAutospacing="0" w:after="0" w:afterAutospacing="0" w:line="240" w:lineRule="auto"/>
                    <w:ind w:left="0" w:right="0" w:firstLine="0" w:firstLineChars="0"/>
                    <w:jc w:val="center"/>
                    <w:rPr>
                      <w:rFonts w:hint="default" w:eastAsia="宋体" w:cs="Times New Roman"/>
                      <w:color w:val="auto"/>
                      <w:sz w:val="21"/>
                      <w:szCs w:val="21"/>
                      <w:highlight w:val="none"/>
                    </w:rPr>
                  </w:pPr>
                  <w:r>
                    <w:rPr>
                      <w:rFonts w:hint="eastAsia" w:eastAsia="宋体" w:cs="Times New Roman"/>
                      <w:color w:val="auto"/>
                      <w:sz w:val="21"/>
                      <w:szCs w:val="21"/>
                      <w:highlight w:val="none"/>
                    </w:rPr>
                    <w:t>简单防渗</w:t>
                  </w:r>
                </w:p>
              </w:tc>
              <w:tc>
                <w:tcPr>
                  <w:tcW w:w="2299" w:type="pct"/>
                  <w:vAlign w:val="center"/>
                </w:tcPr>
                <w:p>
                  <w:pPr>
                    <w:pStyle w:val="45"/>
                    <w:keepNext w:val="0"/>
                    <w:keepLines w:val="0"/>
                    <w:suppressLineNumbers w:val="0"/>
                    <w:spacing w:before="0" w:beforeAutospacing="0" w:after="0" w:afterAutospacing="0" w:line="240" w:lineRule="auto"/>
                    <w:ind w:left="0" w:right="0" w:firstLine="0" w:firstLineChars="0"/>
                    <w:jc w:val="center"/>
                    <w:rPr>
                      <w:rFonts w:hint="default" w:eastAsia="宋体" w:cs="Times New Roman"/>
                      <w:color w:val="auto"/>
                      <w:sz w:val="21"/>
                      <w:szCs w:val="21"/>
                      <w:highlight w:val="none"/>
                    </w:rPr>
                  </w:pPr>
                  <w:r>
                    <w:rPr>
                      <w:rFonts w:hint="eastAsia" w:eastAsia="宋体" w:cs="Times New Roman"/>
                      <w:color w:val="auto"/>
                      <w:sz w:val="21"/>
                      <w:szCs w:val="21"/>
                      <w:highlight w:val="none"/>
                    </w:rPr>
                    <w:t>办公区、厂区道路。</w:t>
                  </w:r>
                </w:p>
              </w:tc>
              <w:tc>
                <w:tcPr>
                  <w:tcW w:w="1910" w:type="pct"/>
                  <w:vAlign w:val="center"/>
                </w:tcPr>
                <w:p>
                  <w:pPr>
                    <w:keepNext w:val="0"/>
                    <w:keepLines w:val="0"/>
                    <w:suppressLineNumbers w:val="0"/>
                    <w:spacing w:before="0" w:beforeAutospacing="0" w:after="0" w:afterAutospacing="0"/>
                    <w:ind w:left="0" w:right="0" w:firstLine="480"/>
                    <w:jc w:val="center"/>
                    <w:rPr>
                      <w:rFonts w:hint="default"/>
                      <w:color w:val="auto"/>
                      <w:sz w:val="21"/>
                      <w:szCs w:val="21"/>
                      <w:highlight w:val="none"/>
                    </w:rPr>
                  </w:pPr>
                  <w:r>
                    <w:rPr>
                      <w:rFonts w:hint="default"/>
                      <w:color w:val="auto"/>
                      <w:sz w:val="21"/>
                      <w:szCs w:val="21"/>
                      <w:highlight w:val="none"/>
                    </w:rPr>
                    <w:t>混凝土硬化</w:t>
                  </w:r>
                </w:p>
              </w:tc>
            </w:tr>
          </w:tbl>
          <w:p>
            <w:pPr>
              <w:keepNext w:val="0"/>
              <w:keepLines w:val="0"/>
              <w:numPr>
                <w:ilvl w:val="0"/>
                <w:numId w:val="9"/>
              </w:numPr>
              <w:suppressLineNumbers w:val="0"/>
              <w:spacing w:before="0" w:beforeAutospacing="0" w:after="0" w:afterAutospacing="0"/>
              <w:ind w:left="0" w:leftChars="0" w:right="0" w:firstLine="567" w:firstLineChars="0"/>
              <w:rPr>
                <w:rFonts w:hint="eastAsia" w:ascii="Times New Roman" w:hAnsi="Times New Roman" w:eastAsia="宋体" w:cs="Times New Roman"/>
                <w:b/>
                <w:bCs/>
                <w:color w:val="auto"/>
                <w:kern w:val="0"/>
                <w:szCs w:val="20"/>
                <w:highlight w:val="none"/>
              </w:rPr>
            </w:pPr>
            <w:r>
              <w:rPr>
                <w:rFonts w:hint="eastAsia" w:ascii="Times New Roman" w:hAnsi="Times New Roman" w:eastAsia="宋体" w:cs="Times New Roman"/>
                <w:b/>
                <w:bCs/>
                <w:color w:val="auto"/>
                <w:kern w:val="0"/>
                <w:szCs w:val="20"/>
                <w:highlight w:val="none"/>
              </w:rPr>
              <w:t>地下水及土壤污染监控措施</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（1）源头控制措施</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① 加强生产管理，防止生产过程中跑、冒、滴、漏，废水四处漫延渗漏地下。② 工艺管线尽可能地上敷设，若需地下铺设时，应在管沟内铺设，沟底设检漏井。③ 加强巡检，若发现防渗密封材料老化或损坏，应及时维修更换。④ 加强水资源管理，采取严格计量办法，对生产、生活用水进行必要控制，节约水资源。</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（2）分区防渗管理要求</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① 各防渗区域应严格按照相应防渗技术要求进行建设，确保防渗性能满足要求。② 危废暂存间应按照《危险废物贮存污染控制标准》（GB 18597-2023）要求，做好防风、防雨、防晒、防渗漏措施，并设置危险废物识别标志。③ 建立防渗设施维护管理制度，定期检查防渗设施的完好情况，发现破损及时修复。</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（3）跟踪监测要求</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本项目地下水及土壤环境影响较小，根据《排污单位自行监测技术指南 酒、饮料制造》（HJ 1085-2020），可不开展地下水、土壤跟踪监测。建议建设单位加强日常巡检，重点检查危废暂存间、事故池等区域的防渗设施完好情况。如发现异常，应及时开展地下水或土壤监测。</w:t>
            </w:r>
          </w:p>
          <w:p>
            <w:pPr>
              <w:keepNext w:val="0"/>
              <w:keepLines w:val="0"/>
              <w:numPr>
                <w:ilvl w:val="0"/>
                <w:numId w:val="9"/>
              </w:numPr>
              <w:suppressLineNumbers w:val="0"/>
              <w:spacing w:before="0" w:beforeAutospacing="0" w:after="0" w:afterAutospacing="0"/>
              <w:ind w:left="0" w:leftChars="0" w:right="0" w:firstLine="567" w:firstLineChars="0"/>
              <w:rPr>
                <w:rFonts w:hint="eastAsia" w:ascii="Times New Roman" w:hAnsi="Times New Roman" w:eastAsia="宋体" w:cs="Times New Roman"/>
                <w:b/>
                <w:bCs/>
                <w:color w:val="auto"/>
                <w:kern w:val="0"/>
                <w:szCs w:val="20"/>
                <w:highlight w:val="none"/>
              </w:rPr>
            </w:pPr>
            <w:r>
              <w:rPr>
                <w:rFonts w:hint="eastAsia" w:ascii="Times New Roman" w:hAnsi="Times New Roman" w:eastAsia="宋体" w:cs="Times New Roman"/>
                <w:b/>
                <w:bCs/>
                <w:color w:val="auto"/>
                <w:kern w:val="0"/>
                <w:szCs w:val="20"/>
                <w:highlight w:val="none"/>
              </w:rPr>
              <w:t>地下水及土壤环境影响分析</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（1）正常工况</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正常工况下，本项目各生产单元均采取了相应的防渗措施，废水经园区污水管网排入乌苏市污水处理厂，不直接排入地表水体，不会对地下水和土壤造成影响。危废暂存间采取重点防渗措施，液态危废使用专用密闭容器收集并下设托盘，可有效防止渗漏。</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（2）非正常工况</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非正常工况下，若防渗层破损或管线破裂导致污染物渗漏，可能对局部地下水和土壤造成一定影响。但本项目已按照HJ 610-2016要求落实分区防渗措施，在加强日常巡检和及时修复的前提下，可有效控制非正常工况下的渗漏风险，对地下水和土壤环境影响可接受。</w:t>
            </w:r>
          </w:p>
          <w:p>
            <w:pPr>
              <w:keepNext w:val="0"/>
              <w:keepLines w:val="0"/>
              <w:numPr>
                <w:ilvl w:val="0"/>
                <w:numId w:val="9"/>
              </w:numPr>
              <w:suppressLineNumbers w:val="0"/>
              <w:spacing w:before="0" w:beforeAutospacing="0" w:after="0" w:afterAutospacing="0"/>
              <w:ind w:left="0" w:leftChars="0" w:right="0" w:firstLine="567" w:firstLineChars="0"/>
              <w:rPr>
                <w:rFonts w:hint="eastAsia" w:ascii="Times New Roman" w:hAnsi="Times New Roman" w:eastAsia="宋体" w:cs="Times New Roman"/>
                <w:b/>
                <w:bCs/>
                <w:color w:val="auto"/>
                <w:kern w:val="0"/>
                <w:szCs w:val="20"/>
                <w:highlight w:val="none"/>
              </w:rPr>
            </w:pPr>
            <w:r>
              <w:rPr>
                <w:rFonts w:hint="eastAsia" w:ascii="Times New Roman" w:hAnsi="Times New Roman" w:eastAsia="宋体" w:cs="Times New Roman"/>
                <w:b/>
                <w:bCs/>
                <w:color w:val="auto"/>
                <w:kern w:val="0"/>
                <w:szCs w:val="20"/>
                <w:highlight w:val="none"/>
              </w:rPr>
              <w:t>地下水及土壤环境影响分析</w:t>
            </w:r>
            <w:r>
              <w:rPr>
                <w:rFonts w:hint="eastAsia" w:ascii="Times New Roman" w:hAnsi="Times New Roman" w:eastAsia="宋体" w:cs="Times New Roman"/>
                <w:b/>
                <w:bCs/>
                <w:color w:val="auto"/>
                <w:kern w:val="0"/>
                <w:szCs w:val="20"/>
                <w:highlight w:val="none"/>
                <w:lang w:val="en-US" w:eastAsia="zh-CN"/>
              </w:rPr>
              <w:t>总</w:t>
            </w:r>
            <w:r>
              <w:rPr>
                <w:rFonts w:hint="eastAsia" w:ascii="Times New Roman" w:hAnsi="Times New Roman" w:eastAsia="宋体" w:cs="Times New Roman"/>
                <w:b/>
                <w:bCs/>
                <w:color w:val="auto"/>
                <w:kern w:val="0"/>
                <w:szCs w:val="20"/>
                <w:highlight w:val="none"/>
              </w:rPr>
              <w:t>结</w:t>
            </w:r>
          </w:p>
          <w:p>
            <w:pPr>
              <w:keepNext w:val="0"/>
              <w:keepLines w:val="0"/>
              <w:suppressLineNumbers w:val="0"/>
              <w:spacing w:before="0" w:beforeAutospacing="0" w:after="0" w:afterAutospacing="0"/>
              <w:ind w:left="0" w:right="0" w:firstLine="480"/>
              <w:rPr>
                <w:rFonts w:hint="eastAsia"/>
                <w:color w:val="auto"/>
                <w:kern w:val="0"/>
                <w:szCs w:val="20"/>
                <w:highlight w:val="none"/>
              </w:rPr>
            </w:pPr>
            <w:r>
              <w:rPr>
                <w:rFonts w:hint="eastAsia"/>
                <w:color w:val="auto"/>
                <w:kern w:val="0"/>
                <w:szCs w:val="20"/>
                <w:highlight w:val="none"/>
              </w:rPr>
              <w:t>本项目在落实分区防渗措施、加强源头控制和日常管理的前提下，可有效防止污染物渗入地下水和土壤。正常工况下，本项目对地下水和土壤环境无影响；非正常工况下，通过及时修复可有效控制影响范围。本项目地下水及土壤环境影响可以接受。</w:t>
            </w:r>
          </w:p>
          <w:p>
            <w:pPr>
              <w:pStyle w:val="5"/>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六、生态环境影响分析</w:t>
            </w:r>
          </w:p>
          <w:p>
            <w:pPr>
              <w:keepNext w:val="0"/>
              <w:keepLines w:val="0"/>
              <w:suppressLineNumbers w:val="0"/>
              <w:spacing w:before="0" w:beforeAutospacing="0" w:after="0" w:afterAutospacing="0"/>
              <w:ind w:left="0" w:right="0" w:firstLine="480"/>
              <w:rPr>
                <w:rFonts w:hint="default"/>
                <w:color w:val="auto"/>
                <w:szCs w:val="20"/>
                <w:highlight w:val="none"/>
              </w:rPr>
            </w:pPr>
            <w:r>
              <w:rPr>
                <w:rFonts w:hint="default"/>
                <w:color w:val="auto"/>
                <w:szCs w:val="20"/>
                <w:highlight w:val="none"/>
              </w:rPr>
              <w:t>建设项目位于</w:t>
            </w:r>
            <w:r>
              <w:rPr>
                <w:rFonts w:hint="eastAsia"/>
                <w:color w:val="auto"/>
                <w:szCs w:val="20"/>
                <w:highlight w:val="none"/>
                <w:lang w:eastAsia="zh-CN"/>
              </w:rPr>
              <w:t>新疆塔城地区乌苏市西城区街道物流园社区新安江东路北侧16号</w:t>
            </w:r>
            <w:r>
              <w:rPr>
                <w:rFonts w:hint="default"/>
                <w:color w:val="auto"/>
                <w:szCs w:val="20"/>
                <w:highlight w:val="none"/>
              </w:rPr>
              <w:t>，用地范围内无生态环境保护目标，无需生态保护措施。</w:t>
            </w:r>
          </w:p>
          <w:p>
            <w:pPr>
              <w:keepNext w:val="0"/>
              <w:keepLines w:val="0"/>
              <w:suppressLineNumbers w:val="0"/>
              <w:spacing w:before="0" w:beforeAutospacing="0" w:after="0" w:afterAutospacing="0"/>
              <w:ind w:left="0" w:right="0"/>
              <w:rPr>
                <w:rFonts w:hint="default"/>
                <w:color w:val="auto"/>
                <w:szCs w:val="20"/>
                <w:highlight w:val="none"/>
              </w:rPr>
            </w:pPr>
          </w:p>
        </w:tc>
      </w:tr>
    </w:tbl>
    <w:p>
      <w:pPr>
        <w:spacing w:line="0" w:lineRule="atLeast"/>
        <w:ind w:firstLine="0" w:firstLineChars="0"/>
        <w:rPr>
          <w:color w:val="auto"/>
          <w:sz w:val="2"/>
          <w:szCs w:val="2"/>
          <w:highlight w:val="none"/>
        </w:rPr>
        <w:sectPr>
          <w:pgSz w:w="11906" w:h="16838"/>
          <w:pgMar w:top="1440" w:right="1417" w:bottom="1440"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ind w:firstLine="0" w:firstLineChars="0"/>
        <w:jc w:val="center"/>
        <w:rPr>
          <w:rFonts w:hint="default" w:eastAsia="宋体"/>
          <w:b/>
          <w:bCs/>
          <w:color w:val="auto"/>
          <w:sz w:val="21"/>
          <w:szCs w:val="21"/>
          <w:highlight w:val="none"/>
          <w:lang w:val="en-US" w:eastAsia="zh-CN"/>
        </w:rPr>
      </w:pPr>
      <w:bookmarkStart w:id="15" w:name="_Toc1659"/>
      <w:bookmarkStart w:id="16" w:name="_Toc12426"/>
      <w:r>
        <w:rPr>
          <w:b/>
          <w:bCs/>
          <w:color w:val="auto"/>
          <w:sz w:val="32"/>
          <w:szCs w:val="32"/>
          <w:highlight w:val="none"/>
        </w:rPr>
        <w:t>建设项目污染物排放量汇总表</w:t>
      </w:r>
      <w:bookmarkEnd w:id="15"/>
      <w:bookmarkEnd w:id="16"/>
      <w:r>
        <w:rPr>
          <w:rFonts w:hint="eastAsia"/>
          <w:b/>
          <w:bCs/>
          <w:color w:val="auto"/>
          <w:sz w:val="32"/>
          <w:szCs w:val="32"/>
          <w:highlight w:val="none"/>
        </w:rPr>
        <w:t xml:space="preserve"> </w:t>
      </w:r>
      <w:r>
        <w:rPr>
          <w:b/>
          <w:bCs/>
          <w:color w:val="auto"/>
          <w:sz w:val="32"/>
          <w:szCs w:val="32"/>
          <w:highlight w:val="none"/>
        </w:rPr>
        <w:t xml:space="preserve">                     </w:t>
      </w:r>
      <w:r>
        <w:rPr>
          <w:rFonts w:hint="eastAsia"/>
          <w:b/>
          <w:bCs/>
          <w:color w:val="auto"/>
          <w:sz w:val="21"/>
          <w:szCs w:val="21"/>
          <w:highlight w:val="none"/>
        </w:rPr>
        <w:t>单位：</w:t>
      </w:r>
      <w:r>
        <w:rPr>
          <w:rFonts w:hint="eastAsia"/>
          <w:b/>
          <w:bCs/>
          <w:color w:val="auto"/>
          <w:sz w:val="21"/>
          <w:szCs w:val="21"/>
          <w:highlight w:val="none"/>
          <w:lang w:val="en-US" w:eastAsia="zh-CN"/>
        </w:rPr>
        <w:t>t/a</w:t>
      </w:r>
    </w:p>
    <w:tbl>
      <w:tblPr>
        <w:tblStyle w:val="22"/>
        <w:tblW w:w="1394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892"/>
        <w:gridCol w:w="2247"/>
        <w:gridCol w:w="1508"/>
        <w:gridCol w:w="1260"/>
        <w:gridCol w:w="1678"/>
        <w:gridCol w:w="1539"/>
        <w:gridCol w:w="1739"/>
        <w:gridCol w:w="1935"/>
        <w:gridCol w:w="114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blHeader/>
        </w:trPr>
        <w:tc>
          <w:tcPr>
            <w:tcW w:w="892" w:type="dxa"/>
            <w:tcBorders>
              <w:tl2br w:val="single" w:color="auto" w:sz="4" w:space="0"/>
            </w:tcBorders>
            <w:tcMar>
              <w:left w:w="28" w:type="dxa"/>
              <w:right w:w="28" w:type="dxa"/>
            </w:tcMar>
            <w:vAlign w:val="center"/>
          </w:tcPr>
          <w:p>
            <w:pPr>
              <w:pStyle w:val="31"/>
              <w:keepNext w:val="0"/>
              <w:keepLines w:val="0"/>
              <w:suppressLineNumbers w:val="0"/>
              <w:adjustRightInd w:val="0"/>
              <w:snapToGrid w:val="0"/>
              <w:spacing w:before="0" w:beforeAutospacing="0" w:after="0" w:afterAutospacing="0" w:line="240" w:lineRule="auto"/>
              <w:ind w:left="0" w:right="0"/>
              <w:jc w:val="right"/>
              <w:rPr>
                <w:rFonts w:hint="default"/>
                <w:b/>
                <w:bCs/>
                <w:color w:val="auto"/>
                <w:szCs w:val="20"/>
                <w:highlight w:val="none"/>
              </w:rPr>
            </w:pPr>
            <w:bookmarkStart w:id="17" w:name="_Hlk118925595"/>
            <w:r>
              <w:rPr>
                <w:rFonts w:hint="default"/>
                <w:b/>
                <w:bCs/>
                <w:color w:val="auto"/>
                <w:szCs w:val="20"/>
                <w:highlight w:val="none"/>
              </w:rPr>
              <w:t>项目</w:t>
            </w:r>
          </w:p>
          <w:p>
            <w:pPr>
              <w:pStyle w:val="31"/>
              <w:keepNext w:val="0"/>
              <w:keepLines w:val="0"/>
              <w:suppressLineNumbers w:val="0"/>
              <w:adjustRightInd w:val="0"/>
              <w:snapToGrid w:val="0"/>
              <w:spacing w:before="0" w:beforeAutospacing="0" w:after="0" w:afterAutospacing="0" w:line="240" w:lineRule="auto"/>
              <w:ind w:left="0" w:right="0"/>
              <w:jc w:val="left"/>
              <w:rPr>
                <w:rFonts w:hint="default"/>
                <w:b/>
                <w:bCs/>
                <w:color w:val="auto"/>
                <w:szCs w:val="20"/>
                <w:highlight w:val="none"/>
              </w:rPr>
            </w:pPr>
            <w:r>
              <w:rPr>
                <w:rFonts w:hint="default"/>
                <w:b/>
                <w:bCs/>
                <w:color w:val="auto"/>
                <w:szCs w:val="20"/>
                <w:highlight w:val="none"/>
              </w:rPr>
              <w:t>分类</w:t>
            </w:r>
          </w:p>
        </w:tc>
        <w:tc>
          <w:tcPr>
            <w:tcW w:w="2247" w:type="dxa"/>
            <w:tcMar>
              <w:left w:w="28" w:type="dxa"/>
              <w:right w:w="28" w:type="dxa"/>
            </w:tcMar>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污染物名称</w:t>
            </w:r>
          </w:p>
        </w:tc>
        <w:tc>
          <w:tcPr>
            <w:tcW w:w="1508" w:type="dxa"/>
            <w:tcMar>
              <w:left w:w="28" w:type="dxa"/>
              <w:right w:w="28" w:type="dxa"/>
            </w:tcMar>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现有工程</w:t>
            </w:r>
          </w:p>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排放量（固体废物产生量）</w:t>
            </w:r>
          </w:p>
        </w:tc>
        <w:tc>
          <w:tcPr>
            <w:tcW w:w="1260" w:type="dxa"/>
            <w:tcMar>
              <w:left w:w="28" w:type="dxa"/>
              <w:right w:w="28" w:type="dxa"/>
            </w:tcMar>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现有工程</w:t>
            </w:r>
          </w:p>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许可排放量</w:t>
            </w:r>
          </w:p>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fldChar w:fldCharType="begin"/>
            </w:r>
            <w:r>
              <w:rPr>
                <w:rFonts w:hint="default"/>
                <w:b/>
                <w:bCs/>
                <w:color w:val="auto"/>
                <w:szCs w:val="20"/>
                <w:highlight w:val="none"/>
              </w:rPr>
              <w:instrText xml:space="preserve"> = 2 \* GB3 \* MERGEFORMAT </w:instrText>
            </w:r>
            <w:r>
              <w:rPr>
                <w:rFonts w:hint="default"/>
                <w:b/>
                <w:bCs/>
                <w:color w:val="auto"/>
                <w:szCs w:val="20"/>
                <w:highlight w:val="none"/>
              </w:rPr>
              <w:fldChar w:fldCharType="separate"/>
            </w:r>
            <w:r>
              <w:rPr>
                <w:rFonts w:hint="default"/>
                <w:b/>
                <w:bCs/>
                <w:color w:val="auto"/>
                <w:szCs w:val="20"/>
                <w:highlight w:val="none"/>
              </w:rPr>
              <w:t>②</w:t>
            </w:r>
            <w:r>
              <w:rPr>
                <w:rFonts w:hint="default"/>
                <w:b/>
                <w:bCs/>
                <w:color w:val="auto"/>
                <w:szCs w:val="20"/>
                <w:highlight w:val="none"/>
              </w:rPr>
              <w:fldChar w:fldCharType="end"/>
            </w:r>
          </w:p>
        </w:tc>
        <w:tc>
          <w:tcPr>
            <w:tcW w:w="1678" w:type="dxa"/>
            <w:tcMar>
              <w:left w:w="28" w:type="dxa"/>
              <w:right w:w="28" w:type="dxa"/>
            </w:tcMar>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在建工程</w:t>
            </w:r>
          </w:p>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排放量（固体废物产生量）</w:t>
            </w:r>
            <w:r>
              <w:rPr>
                <w:rFonts w:hint="default"/>
                <w:b/>
                <w:bCs/>
                <w:color w:val="auto"/>
                <w:szCs w:val="20"/>
                <w:highlight w:val="none"/>
              </w:rPr>
              <w:fldChar w:fldCharType="begin"/>
            </w:r>
            <w:r>
              <w:rPr>
                <w:rFonts w:hint="default"/>
                <w:b/>
                <w:bCs/>
                <w:color w:val="auto"/>
                <w:szCs w:val="20"/>
                <w:highlight w:val="none"/>
              </w:rPr>
              <w:instrText xml:space="preserve"> = 3 \* GB3 \* MERGEFORMAT </w:instrText>
            </w:r>
            <w:r>
              <w:rPr>
                <w:rFonts w:hint="default"/>
                <w:b/>
                <w:bCs/>
                <w:color w:val="auto"/>
                <w:szCs w:val="20"/>
                <w:highlight w:val="none"/>
              </w:rPr>
              <w:fldChar w:fldCharType="separate"/>
            </w:r>
            <w:r>
              <w:rPr>
                <w:rFonts w:hint="default"/>
                <w:b/>
                <w:bCs/>
                <w:color w:val="auto"/>
                <w:szCs w:val="20"/>
                <w:highlight w:val="none"/>
              </w:rPr>
              <w:t>③</w:t>
            </w:r>
            <w:r>
              <w:rPr>
                <w:rFonts w:hint="default"/>
                <w:b/>
                <w:bCs/>
                <w:color w:val="auto"/>
                <w:szCs w:val="20"/>
                <w:highlight w:val="none"/>
              </w:rPr>
              <w:fldChar w:fldCharType="end"/>
            </w:r>
          </w:p>
        </w:tc>
        <w:tc>
          <w:tcPr>
            <w:tcW w:w="1539" w:type="dxa"/>
            <w:tcMar>
              <w:left w:w="28" w:type="dxa"/>
              <w:right w:w="28" w:type="dxa"/>
            </w:tcMar>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本项目</w:t>
            </w:r>
          </w:p>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排放量（固体废物产生量）</w:t>
            </w:r>
            <w:r>
              <w:rPr>
                <w:rFonts w:hint="default"/>
                <w:b/>
                <w:bCs/>
                <w:color w:val="auto"/>
                <w:szCs w:val="20"/>
                <w:highlight w:val="none"/>
              </w:rPr>
              <w:fldChar w:fldCharType="begin"/>
            </w:r>
            <w:r>
              <w:rPr>
                <w:rFonts w:hint="default"/>
                <w:b/>
                <w:bCs/>
                <w:color w:val="auto"/>
                <w:szCs w:val="20"/>
                <w:highlight w:val="none"/>
              </w:rPr>
              <w:instrText xml:space="preserve"> = 4 \* GB3 \* MERGEFORMAT </w:instrText>
            </w:r>
            <w:r>
              <w:rPr>
                <w:rFonts w:hint="default"/>
                <w:b/>
                <w:bCs/>
                <w:color w:val="auto"/>
                <w:szCs w:val="20"/>
                <w:highlight w:val="none"/>
              </w:rPr>
              <w:fldChar w:fldCharType="separate"/>
            </w:r>
            <w:r>
              <w:rPr>
                <w:rFonts w:hint="default"/>
                <w:b/>
                <w:bCs/>
                <w:color w:val="auto"/>
                <w:szCs w:val="20"/>
                <w:highlight w:val="none"/>
              </w:rPr>
              <w:t>④</w:t>
            </w:r>
            <w:r>
              <w:rPr>
                <w:rFonts w:hint="default"/>
                <w:b/>
                <w:bCs/>
                <w:color w:val="auto"/>
                <w:szCs w:val="20"/>
                <w:highlight w:val="none"/>
              </w:rPr>
              <w:fldChar w:fldCharType="end"/>
            </w:r>
          </w:p>
        </w:tc>
        <w:tc>
          <w:tcPr>
            <w:tcW w:w="1739" w:type="dxa"/>
            <w:tcMar>
              <w:left w:w="28" w:type="dxa"/>
              <w:right w:w="28" w:type="dxa"/>
            </w:tcMar>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以新带老削减量</w:t>
            </w:r>
          </w:p>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（新建项目不填）</w:t>
            </w:r>
            <w:r>
              <w:rPr>
                <w:rFonts w:hint="default"/>
                <w:b/>
                <w:bCs/>
                <w:color w:val="auto"/>
                <w:szCs w:val="20"/>
                <w:highlight w:val="none"/>
              </w:rPr>
              <w:fldChar w:fldCharType="begin"/>
            </w:r>
            <w:r>
              <w:rPr>
                <w:rFonts w:hint="default"/>
                <w:b/>
                <w:bCs/>
                <w:color w:val="auto"/>
                <w:szCs w:val="20"/>
                <w:highlight w:val="none"/>
              </w:rPr>
              <w:instrText xml:space="preserve"> = 5 \* GB3 \* MERGEFORMAT </w:instrText>
            </w:r>
            <w:r>
              <w:rPr>
                <w:rFonts w:hint="default"/>
                <w:b/>
                <w:bCs/>
                <w:color w:val="auto"/>
                <w:szCs w:val="20"/>
                <w:highlight w:val="none"/>
              </w:rPr>
              <w:fldChar w:fldCharType="separate"/>
            </w:r>
            <w:r>
              <w:rPr>
                <w:rFonts w:hint="default"/>
                <w:b/>
                <w:bCs/>
                <w:color w:val="auto"/>
                <w:szCs w:val="20"/>
                <w:highlight w:val="none"/>
              </w:rPr>
              <w:t>⑤</w:t>
            </w:r>
            <w:r>
              <w:rPr>
                <w:rFonts w:hint="default"/>
                <w:b/>
                <w:bCs/>
                <w:color w:val="auto"/>
                <w:szCs w:val="20"/>
                <w:highlight w:val="none"/>
              </w:rPr>
              <w:fldChar w:fldCharType="end"/>
            </w:r>
          </w:p>
        </w:tc>
        <w:tc>
          <w:tcPr>
            <w:tcW w:w="1935" w:type="dxa"/>
            <w:tcMar>
              <w:left w:w="28" w:type="dxa"/>
              <w:right w:w="28" w:type="dxa"/>
            </w:tcMar>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本项目建成后</w:t>
            </w:r>
          </w:p>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全厂排放量（固体废物产生量）</w:t>
            </w:r>
            <w:r>
              <w:rPr>
                <w:rFonts w:hint="default"/>
                <w:b/>
                <w:bCs/>
                <w:color w:val="auto"/>
                <w:szCs w:val="20"/>
                <w:highlight w:val="none"/>
              </w:rPr>
              <w:fldChar w:fldCharType="begin"/>
            </w:r>
            <w:r>
              <w:rPr>
                <w:rFonts w:hint="default"/>
                <w:b/>
                <w:bCs/>
                <w:color w:val="auto"/>
                <w:szCs w:val="20"/>
                <w:highlight w:val="none"/>
              </w:rPr>
              <w:instrText xml:space="preserve"> = 6 \* GB3 \* MERGEFORMAT </w:instrText>
            </w:r>
            <w:r>
              <w:rPr>
                <w:rFonts w:hint="default"/>
                <w:b/>
                <w:bCs/>
                <w:color w:val="auto"/>
                <w:szCs w:val="20"/>
                <w:highlight w:val="none"/>
              </w:rPr>
              <w:fldChar w:fldCharType="separate"/>
            </w:r>
            <w:r>
              <w:rPr>
                <w:rFonts w:hint="default"/>
                <w:b/>
                <w:bCs/>
                <w:color w:val="auto"/>
                <w:szCs w:val="20"/>
                <w:highlight w:val="none"/>
              </w:rPr>
              <w:t>⑥</w:t>
            </w:r>
            <w:r>
              <w:rPr>
                <w:rFonts w:hint="default"/>
                <w:b/>
                <w:bCs/>
                <w:color w:val="auto"/>
                <w:szCs w:val="20"/>
                <w:highlight w:val="none"/>
              </w:rPr>
              <w:fldChar w:fldCharType="end"/>
            </w:r>
          </w:p>
        </w:tc>
        <w:tc>
          <w:tcPr>
            <w:tcW w:w="1148" w:type="dxa"/>
            <w:tcMar>
              <w:left w:w="28" w:type="dxa"/>
              <w:right w:w="28" w:type="dxa"/>
            </w:tcMar>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t>变化量</w:t>
            </w:r>
          </w:p>
          <w:p>
            <w:pPr>
              <w:pStyle w:val="31"/>
              <w:keepNext w:val="0"/>
              <w:keepLines w:val="0"/>
              <w:suppressLineNumbers w:val="0"/>
              <w:adjustRightInd w:val="0"/>
              <w:snapToGrid w:val="0"/>
              <w:spacing w:before="0" w:beforeAutospacing="0" w:after="0" w:afterAutospacing="0" w:line="240" w:lineRule="auto"/>
              <w:ind w:left="0" w:right="0"/>
              <w:rPr>
                <w:rFonts w:hint="default"/>
                <w:b/>
                <w:bCs/>
                <w:color w:val="auto"/>
                <w:szCs w:val="20"/>
                <w:highlight w:val="none"/>
              </w:rPr>
            </w:pPr>
            <w:r>
              <w:rPr>
                <w:rFonts w:hint="default"/>
                <w:b/>
                <w:bCs/>
                <w:color w:val="auto"/>
                <w:szCs w:val="20"/>
                <w:highlight w:val="none"/>
              </w:rPr>
              <w:fldChar w:fldCharType="begin"/>
            </w:r>
            <w:r>
              <w:rPr>
                <w:rFonts w:hint="default"/>
                <w:b/>
                <w:bCs/>
                <w:color w:val="auto"/>
                <w:szCs w:val="20"/>
                <w:highlight w:val="none"/>
              </w:rPr>
              <w:instrText xml:space="preserve"> = 7 \* GB3 \* MERGEFORMAT </w:instrText>
            </w:r>
            <w:r>
              <w:rPr>
                <w:rFonts w:hint="default"/>
                <w:b/>
                <w:bCs/>
                <w:color w:val="auto"/>
                <w:szCs w:val="20"/>
                <w:highlight w:val="none"/>
              </w:rPr>
              <w:fldChar w:fldCharType="separate"/>
            </w:r>
            <w:r>
              <w:rPr>
                <w:rFonts w:hint="default"/>
                <w:b/>
                <w:bCs/>
                <w:color w:val="auto"/>
                <w:szCs w:val="20"/>
                <w:highlight w:val="none"/>
              </w:rPr>
              <w:t>⑦</w:t>
            </w:r>
            <w:r>
              <w:rPr>
                <w:rFonts w:hint="default"/>
                <w:b/>
                <w:bCs/>
                <w:color w:val="auto"/>
                <w:szCs w:val="20"/>
                <w:highlight w:val="none"/>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892"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废气</w:t>
            </w:r>
          </w:p>
        </w:tc>
        <w:tc>
          <w:tcPr>
            <w:tcW w:w="2247"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eastAsia" w:ascii="Times New Roman" w:hAnsi="Times New Roman" w:eastAsia="宋体" w:cs="Times New Roman"/>
                <w:color w:val="auto"/>
                <w:sz w:val="21"/>
                <w:szCs w:val="21"/>
                <w:highlight w:val="none"/>
              </w:rPr>
              <w:t>颗粒物</w:t>
            </w:r>
          </w:p>
        </w:tc>
        <w:tc>
          <w:tcPr>
            <w:tcW w:w="150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539" w:type="dxa"/>
            <w:shd w:val="clear" w:color="auto" w:fill="auto"/>
            <w:vAlign w:val="center"/>
          </w:tcPr>
          <w:p>
            <w:pPr>
              <w:pStyle w:val="31"/>
              <w:keepNext w:val="0"/>
              <w:keepLines w:val="0"/>
              <w:suppressLineNumbers w:val="0"/>
              <w:spacing w:before="0" w:beforeAutospacing="0" w:after="0" w:afterAutospacing="0"/>
              <w:ind w:left="0" w:right="0"/>
              <w:rPr>
                <w:rFonts w:hint="eastAsia" w:eastAsia="宋体"/>
                <w:color w:val="auto"/>
                <w:szCs w:val="20"/>
                <w:highlight w:val="none"/>
                <w:lang w:eastAsia="zh-CN"/>
              </w:rPr>
            </w:pPr>
            <w:r>
              <w:rPr>
                <w:rFonts w:hint="eastAsia"/>
                <w:color w:val="auto"/>
                <w:szCs w:val="20"/>
                <w:highlight w:val="none"/>
                <w:lang w:eastAsia="zh-CN"/>
              </w:rPr>
              <w:t>0.0415</w:t>
            </w:r>
          </w:p>
        </w:tc>
        <w:tc>
          <w:tcPr>
            <w:tcW w:w="1739" w:type="dxa"/>
            <w:shd w:val="clear" w:color="auto" w:fill="auto"/>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935" w:type="dxa"/>
            <w:shd w:val="clear" w:color="auto" w:fill="auto"/>
            <w:vAlign w:val="center"/>
          </w:tcPr>
          <w:p>
            <w:pPr>
              <w:pStyle w:val="31"/>
              <w:keepNext w:val="0"/>
              <w:keepLines w:val="0"/>
              <w:suppressLineNumbers w:val="0"/>
              <w:spacing w:before="0" w:beforeAutospacing="0" w:after="0" w:afterAutospacing="0"/>
              <w:ind w:left="0" w:right="0"/>
              <w:rPr>
                <w:rFonts w:hint="default" w:eastAsia="宋体"/>
                <w:color w:val="auto"/>
                <w:szCs w:val="20"/>
                <w:highlight w:val="none"/>
                <w:lang w:val="en-US" w:eastAsia="zh-CN"/>
              </w:rPr>
            </w:pPr>
            <w:r>
              <w:rPr>
                <w:rFonts w:hint="eastAsia"/>
                <w:color w:val="auto"/>
                <w:szCs w:val="20"/>
                <w:highlight w:val="none"/>
                <w:lang w:val="en-US" w:eastAsia="zh-CN"/>
              </w:rPr>
              <w:t>0.0415</w:t>
            </w:r>
          </w:p>
        </w:tc>
        <w:tc>
          <w:tcPr>
            <w:tcW w:w="1148" w:type="dxa"/>
            <w:shd w:val="clear" w:color="auto" w:fill="auto"/>
            <w:vAlign w:val="center"/>
          </w:tcPr>
          <w:p>
            <w:pPr>
              <w:pStyle w:val="31"/>
              <w:keepNext w:val="0"/>
              <w:keepLines w:val="0"/>
              <w:suppressLineNumbers w:val="0"/>
              <w:spacing w:before="0" w:beforeAutospacing="0" w:after="0" w:afterAutospacing="0"/>
              <w:ind w:left="0" w:right="0"/>
              <w:rPr>
                <w:rFonts w:hint="eastAsia" w:eastAsia="宋体"/>
                <w:color w:val="auto"/>
                <w:szCs w:val="20"/>
                <w:highlight w:val="none"/>
                <w:lang w:eastAsia="zh-CN"/>
              </w:rPr>
            </w:pPr>
            <w:r>
              <w:rPr>
                <w:rFonts w:hint="eastAsia"/>
                <w:color w:val="auto"/>
                <w:szCs w:val="20"/>
                <w:highlight w:val="none"/>
              </w:rPr>
              <w:t>+</w:t>
            </w:r>
            <w:r>
              <w:rPr>
                <w:rFonts w:hint="eastAsia"/>
                <w:color w:val="auto"/>
                <w:szCs w:val="20"/>
                <w:highlight w:val="none"/>
                <w:lang w:eastAsia="zh-CN"/>
              </w:rPr>
              <w:t>0.0415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892" w:type="dxa"/>
            <w:vMerge w:val="restart"/>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废水</w:t>
            </w:r>
          </w:p>
        </w:tc>
        <w:tc>
          <w:tcPr>
            <w:tcW w:w="2247" w:type="dxa"/>
            <w:shd w:val="clear" w:color="auto" w:fill="auto"/>
            <w:vAlign w:val="center"/>
          </w:tcPr>
          <w:p>
            <w:pPr>
              <w:pStyle w:val="30"/>
              <w:keepNext w:val="0"/>
              <w:keepLines w:val="0"/>
              <w:suppressLineNumbers w:val="0"/>
              <w:spacing w:before="0" w:beforeAutospacing="0" w:after="0" w:afterAutospacing="0"/>
              <w:ind w:left="0" w:right="0"/>
              <w:rPr>
                <w:rFonts w:hint="default"/>
                <w:color w:val="auto"/>
                <w:szCs w:val="20"/>
                <w:highlight w:val="none"/>
              </w:rPr>
            </w:pPr>
            <w:r>
              <w:rPr>
                <w:rFonts w:hint="default"/>
                <w:b w:val="0"/>
                <w:bCs/>
                <w:color w:val="auto"/>
                <w:szCs w:val="20"/>
                <w:highlight w:val="none"/>
              </w:rPr>
              <w:t>COD</w:t>
            </w:r>
          </w:p>
        </w:tc>
        <w:tc>
          <w:tcPr>
            <w:tcW w:w="150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539" w:type="dxa"/>
            <w:shd w:val="clear" w:color="auto" w:fill="auto"/>
            <w:vAlign w:val="center"/>
          </w:tcPr>
          <w:p>
            <w:pPr>
              <w:pStyle w:val="31"/>
              <w:keepNext w:val="0"/>
              <w:keepLines w:val="0"/>
              <w:suppressLineNumbers w:val="0"/>
              <w:spacing w:before="0" w:beforeAutospacing="0" w:after="0" w:afterAutospacing="0"/>
              <w:ind w:left="0" w:right="0"/>
              <w:rPr>
                <w:rFonts w:hint="eastAsia" w:eastAsia="宋体"/>
                <w:color w:val="auto"/>
                <w:szCs w:val="20"/>
                <w:highlight w:val="none"/>
                <w:lang w:eastAsia="zh-CN"/>
              </w:rPr>
            </w:pPr>
            <w:r>
              <w:rPr>
                <w:rFonts w:hint="eastAsia"/>
                <w:color w:val="auto"/>
                <w:szCs w:val="20"/>
                <w:highlight w:val="none"/>
                <w:lang w:eastAsia="zh-CN"/>
              </w:rPr>
              <w:t>0.474</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935" w:type="dxa"/>
            <w:shd w:val="clear" w:color="auto" w:fill="auto"/>
            <w:vAlign w:val="center"/>
          </w:tcPr>
          <w:p>
            <w:pPr>
              <w:pStyle w:val="31"/>
              <w:keepNext w:val="0"/>
              <w:keepLines w:val="0"/>
              <w:suppressLineNumbers w:val="0"/>
              <w:spacing w:before="0" w:beforeAutospacing="0" w:after="0" w:afterAutospacing="0"/>
              <w:ind w:left="0" w:right="0"/>
              <w:rPr>
                <w:rFonts w:hint="eastAsia" w:eastAsia="宋体"/>
                <w:color w:val="auto"/>
                <w:szCs w:val="20"/>
                <w:highlight w:val="none"/>
                <w:lang w:eastAsia="zh-CN"/>
              </w:rPr>
            </w:pPr>
            <w:r>
              <w:rPr>
                <w:rFonts w:hint="eastAsia"/>
                <w:color w:val="auto"/>
                <w:szCs w:val="20"/>
                <w:highlight w:val="none"/>
                <w:lang w:eastAsia="zh-CN"/>
              </w:rPr>
              <w:t>0.474</w:t>
            </w:r>
          </w:p>
        </w:tc>
        <w:tc>
          <w:tcPr>
            <w:tcW w:w="1148" w:type="dxa"/>
            <w:shd w:val="clear" w:color="auto" w:fill="auto"/>
            <w:vAlign w:val="center"/>
          </w:tcPr>
          <w:p>
            <w:pPr>
              <w:pStyle w:val="31"/>
              <w:keepNext w:val="0"/>
              <w:keepLines w:val="0"/>
              <w:suppressLineNumbers w:val="0"/>
              <w:spacing w:before="0" w:beforeAutospacing="0" w:after="0" w:afterAutospacing="0"/>
              <w:ind w:left="0" w:right="0"/>
              <w:rPr>
                <w:rFonts w:hint="eastAsia" w:eastAsia="宋体"/>
                <w:color w:val="auto"/>
                <w:szCs w:val="20"/>
                <w:highlight w:val="none"/>
                <w:lang w:eastAsia="zh-CN"/>
              </w:rPr>
            </w:pPr>
            <w:r>
              <w:rPr>
                <w:rFonts w:hint="eastAsia"/>
                <w:color w:val="auto"/>
                <w:szCs w:val="20"/>
                <w:highlight w:val="none"/>
              </w:rPr>
              <w:t>+</w:t>
            </w:r>
            <w:r>
              <w:rPr>
                <w:rFonts w:hint="eastAsia"/>
                <w:color w:val="auto"/>
                <w:szCs w:val="20"/>
                <w:highlight w:val="none"/>
                <w:lang w:eastAsia="zh-CN"/>
              </w:rPr>
              <w:t>0.474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892" w:type="dxa"/>
            <w:vMerge w:val="continue"/>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2247" w:type="dxa"/>
            <w:shd w:val="clear" w:color="auto" w:fill="auto"/>
            <w:vAlign w:val="center"/>
          </w:tcPr>
          <w:p>
            <w:pPr>
              <w:pStyle w:val="31"/>
              <w:keepNext w:val="0"/>
              <w:keepLines w:val="0"/>
              <w:suppressLineNumbers w:val="0"/>
              <w:spacing w:before="0" w:beforeAutospacing="0" w:after="0" w:afterAutospacing="0"/>
              <w:ind w:left="0" w:right="0"/>
              <w:rPr>
                <w:rFonts w:hint="default"/>
                <w:color w:val="auto"/>
                <w:szCs w:val="20"/>
                <w:highlight w:val="none"/>
              </w:rPr>
            </w:pPr>
            <w:r>
              <w:rPr>
                <w:rFonts w:hint="default"/>
                <w:color w:val="auto"/>
                <w:szCs w:val="20"/>
                <w:highlight w:val="none"/>
              </w:rPr>
              <w:t>氨氮</w:t>
            </w:r>
          </w:p>
        </w:tc>
        <w:tc>
          <w:tcPr>
            <w:tcW w:w="150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 w:val="21"/>
                <w:szCs w:val="20"/>
                <w:highlight w:val="none"/>
              </w:rPr>
            </w:pPr>
            <w:r>
              <w:rPr>
                <w:rFonts w:hint="default"/>
                <w:color w:val="auto"/>
                <w:szCs w:val="20"/>
                <w:highlight w:val="none"/>
              </w:rPr>
              <w:t>/</w:t>
            </w: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 w:val="21"/>
                <w:szCs w:val="20"/>
                <w:highlight w:val="none"/>
              </w:rPr>
            </w:pPr>
            <w:r>
              <w:rPr>
                <w:rFonts w:hint="default"/>
                <w:color w:val="auto"/>
                <w:szCs w:val="20"/>
                <w:highlight w:val="none"/>
              </w:rPr>
              <w:t>/</w:t>
            </w: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539" w:type="dxa"/>
            <w:shd w:val="clear" w:color="auto" w:fill="auto"/>
            <w:vAlign w:val="center"/>
          </w:tcPr>
          <w:p>
            <w:pPr>
              <w:pStyle w:val="31"/>
              <w:keepNext w:val="0"/>
              <w:keepLines w:val="0"/>
              <w:suppressLineNumbers w:val="0"/>
              <w:spacing w:before="0" w:beforeAutospacing="0" w:after="0" w:afterAutospacing="0"/>
              <w:ind w:left="0" w:right="0"/>
              <w:rPr>
                <w:rFonts w:hint="eastAsia" w:eastAsia="宋体"/>
                <w:color w:val="auto"/>
                <w:szCs w:val="20"/>
                <w:highlight w:val="none"/>
                <w:lang w:eastAsia="zh-CN"/>
              </w:rPr>
            </w:pPr>
            <w:r>
              <w:rPr>
                <w:rFonts w:hint="eastAsia"/>
                <w:color w:val="auto"/>
                <w:szCs w:val="20"/>
                <w:highlight w:val="none"/>
                <w:lang w:eastAsia="zh-CN"/>
              </w:rPr>
              <w:t>0.0073</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935" w:type="dxa"/>
            <w:shd w:val="clear" w:color="auto" w:fill="auto"/>
            <w:vAlign w:val="center"/>
          </w:tcPr>
          <w:p>
            <w:pPr>
              <w:pStyle w:val="31"/>
              <w:keepNext w:val="0"/>
              <w:keepLines w:val="0"/>
              <w:suppressLineNumbers w:val="0"/>
              <w:spacing w:before="0" w:beforeAutospacing="0" w:after="0" w:afterAutospacing="0"/>
              <w:ind w:left="0" w:right="0"/>
              <w:rPr>
                <w:rFonts w:hint="eastAsia" w:eastAsia="宋体"/>
                <w:color w:val="auto"/>
                <w:szCs w:val="20"/>
                <w:highlight w:val="none"/>
                <w:lang w:eastAsia="zh-CN"/>
              </w:rPr>
            </w:pPr>
            <w:r>
              <w:rPr>
                <w:rFonts w:hint="eastAsia"/>
                <w:color w:val="auto"/>
                <w:szCs w:val="20"/>
                <w:highlight w:val="none"/>
                <w:lang w:eastAsia="zh-CN"/>
              </w:rPr>
              <w:t>0.0073</w:t>
            </w:r>
          </w:p>
        </w:tc>
        <w:tc>
          <w:tcPr>
            <w:tcW w:w="1148" w:type="dxa"/>
            <w:shd w:val="clear" w:color="auto" w:fill="auto"/>
            <w:vAlign w:val="center"/>
          </w:tcPr>
          <w:p>
            <w:pPr>
              <w:pStyle w:val="31"/>
              <w:keepNext w:val="0"/>
              <w:keepLines w:val="0"/>
              <w:suppressLineNumbers w:val="0"/>
              <w:spacing w:before="0" w:beforeAutospacing="0" w:after="0" w:afterAutospacing="0"/>
              <w:ind w:left="0" w:right="0"/>
              <w:rPr>
                <w:rFonts w:hint="eastAsia" w:eastAsia="宋体"/>
                <w:color w:val="auto"/>
                <w:szCs w:val="20"/>
                <w:highlight w:val="none"/>
                <w:lang w:eastAsia="zh-CN"/>
              </w:rPr>
            </w:pPr>
            <w:r>
              <w:rPr>
                <w:rFonts w:hint="eastAsia"/>
                <w:color w:val="auto"/>
                <w:szCs w:val="20"/>
                <w:highlight w:val="none"/>
              </w:rPr>
              <w:t>+</w:t>
            </w:r>
            <w:r>
              <w:rPr>
                <w:rFonts w:hint="eastAsia"/>
                <w:color w:val="auto"/>
                <w:szCs w:val="20"/>
                <w:highlight w:val="none"/>
                <w:lang w:eastAsia="zh-CN"/>
              </w:rPr>
              <w:t>0.0073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7" w:hRule="atLeast"/>
        </w:trPr>
        <w:tc>
          <w:tcPr>
            <w:tcW w:w="892" w:type="dxa"/>
            <w:vMerge w:val="restart"/>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一般工业固体废物</w:t>
            </w:r>
          </w:p>
        </w:tc>
        <w:tc>
          <w:tcPr>
            <w:tcW w:w="2247"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Cs w:val="20"/>
                <w:highlight w:val="none"/>
              </w:rPr>
            </w:pPr>
            <w:r>
              <w:rPr>
                <w:rFonts w:hint="eastAsia" w:ascii="Times New Roman" w:hAnsi="Times New Roman" w:eastAsia="宋体" w:cs="Times New Roman"/>
                <w:color w:val="auto"/>
                <w:sz w:val="21"/>
                <w:szCs w:val="21"/>
                <w:highlight w:val="none"/>
              </w:rPr>
              <w:t>收尘灰</w:t>
            </w:r>
          </w:p>
        </w:tc>
        <w:tc>
          <w:tcPr>
            <w:tcW w:w="150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539"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Cs w:val="20"/>
                <w:highlight w:val="none"/>
              </w:rPr>
            </w:pPr>
            <w:r>
              <w:rPr>
                <w:rFonts w:hint="eastAsia" w:ascii="Times New Roman" w:hAnsi="Times New Roman" w:eastAsia="宋体" w:cs="Times New Roman"/>
                <w:color w:val="auto"/>
                <w:sz w:val="21"/>
                <w:szCs w:val="21"/>
                <w:highlight w:val="none"/>
              </w:rPr>
              <w:t>1.0</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Cs w:val="20"/>
                <w:highlight w:val="none"/>
              </w:rPr>
            </w:pPr>
            <w:r>
              <w:rPr>
                <w:rFonts w:hint="eastAsia" w:ascii="Times New Roman" w:hAnsi="Times New Roman" w:eastAsia="宋体" w:cs="Times New Roman"/>
                <w:color w:val="auto"/>
                <w:sz w:val="21"/>
                <w:szCs w:val="21"/>
                <w:highlight w:val="none"/>
              </w:rPr>
              <w:t>1.0</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Cs w:val="20"/>
                <w:highlight w:val="none"/>
              </w:rPr>
            </w:pP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97" w:hRule="atLeast"/>
        </w:trPr>
        <w:tc>
          <w:tcPr>
            <w:tcW w:w="892" w:type="dxa"/>
            <w:vMerge w:val="continue"/>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2247"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eastAsia="宋体"/>
                <w:color w:val="auto"/>
                <w:szCs w:val="20"/>
                <w:highlight w:val="none"/>
                <w:lang w:eastAsia="zh-CN"/>
              </w:rPr>
            </w:pPr>
            <w:r>
              <w:rPr>
                <w:rFonts w:hint="eastAsia" w:cs="Times New Roman"/>
                <w:color w:val="auto"/>
                <w:sz w:val="21"/>
                <w:szCs w:val="21"/>
                <w:highlight w:val="none"/>
                <w:lang w:eastAsia="zh-CN"/>
              </w:rPr>
              <w:t>酒糟</w:t>
            </w:r>
          </w:p>
        </w:tc>
        <w:tc>
          <w:tcPr>
            <w:tcW w:w="150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539"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Cs w:val="20"/>
                <w:highlight w:val="none"/>
              </w:rPr>
            </w:pPr>
            <w:r>
              <w:rPr>
                <w:rFonts w:hint="eastAsia" w:ascii="Times New Roman" w:hAnsi="Times New Roman" w:eastAsia="宋体" w:cs="Times New Roman"/>
                <w:color w:val="auto"/>
                <w:sz w:val="21"/>
                <w:szCs w:val="21"/>
                <w:highlight w:val="none"/>
              </w:rPr>
              <w:t>6000</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Cs w:val="20"/>
                <w:highlight w:val="none"/>
              </w:rPr>
            </w:pPr>
            <w:r>
              <w:rPr>
                <w:rFonts w:hint="eastAsia" w:ascii="Times New Roman" w:hAnsi="Times New Roman" w:eastAsia="宋体" w:cs="Times New Roman"/>
                <w:color w:val="auto"/>
                <w:sz w:val="21"/>
                <w:szCs w:val="21"/>
                <w:highlight w:val="none"/>
              </w:rPr>
              <w:t>6000</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Cs w:val="20"/>
                <w:highlight w:val="none"/>
              </w:rPr>
            </w:pP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rPr>
              <w:t>6000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97" w:hRule="atLeast"/>
        </w:trPr>
        <w:tc>
          <w:tcPr>
            <w:tcW w:w="892" w:type="dxa"/>
            <w:vMerge w:val="continue"/>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2247" w:type="dxa"/>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Cs w:val="20"/>
                <w:highlight w:val="none"/>
              </w:rPr>
            </w:pPr>
            <w:r>
              <w:rPr>
                <w:rFonts w:hint="eastAsia" w:ascii="Times New Roman" w:hAnsi="Times New Roman" w:eastAsia="宋体" w:cs="Times New Roman"/>
                <w:color w:val="auto"/>
                <w:sz w:val="21"/>
                <w:szCs w:val="21"/>
                <w:highlight w:val="none"/>
              </w:rPr>
              <w:t>废活性炭</w:t>
            </w:r>
          </w:p>
        </w:tc>
        <w:tc>
          <w:tcPr>
            <w:tcW w:w="150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539" w:type="dxa"/>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Cs w:val="20"/>
                <w:highlight w:val="none"/>
              </w:rPr>
            </w:pPr>
            <w:r>
              <w:rPr>
                <w:rFonts w:hint="eastAsia" w:ascii="Times New Roman" w:hAnsi="Times New Roman" w:eastAsia="宋体" w:cs="Times New Roman"/>
                <w:color w:val="auto"/>
                <w:sz w:val="21"/>
                <w:szCs w:val="21"/>
                <w:highlight w:val="none"/>
                <w:lang w:val="en-US" w:eastAsia="zh-CN"/>
              </w:rPr>
              <w:t>2.5</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default"/>
                <w:color w:val="auto"/>
                <w:szCs w:val="20"/>
                <w:highlight w:val="none"/>
              </w:rPr>
              <w:t>/</w:t>
            </w: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Cs w:val="20"/>
                <w:highlight w:val="none"/>
              </w:rPr>
            </w:pPr>
            <w:r>
              <w:rPr>
                <w:rFonts w:hint="eastAsia" w:ascii="Times New Roman" w:hAnsi="Times New Roman" w:eastAsia="宋体" w:cs="Times New Roman"/>
                <w:color w:val="auto"/>
                <w:sz w:val="21"/>
                <w:szCs w:val="21"/>
                <w:highlight w:val="none"/>
                <w:lang w:val="en-US" w:eastAsia="zh-CN"/>
              </w:rPr>
              <w:t>2.5</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Cs w:val="20"/>
                <w:highlight w:val="none"/>
              </w:rPr>
            </w:pPr>
            <w:r>
              <w:rPr>
                <w:rFonts w:hint="eastAsia" w:ascii="Times New Roman" w:hAnsi="Times New Roman" w:eastAsia="宋体" w:cs="Times New Roman"/>
                <w:color w:val="auto"/>
                <w:sz w:val="21"/>
                <w:szCs w:val="21"/>
                <w:highlight w:val="none"/>
                <w:lang w:val="en-US" w:eastAsia="zh-CN"/>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97" w:hRule="atLeast"/>
        </w:trPr>
        <w:tc>
          <w:tcPr>
            <w:tcW w:w="892" w:type="dxa"/>
            <w:vMerge w:val="continue"/>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bookmarkStart w:id="18" w:name="_Hlk118928100"/>
          </w:p>
        </w:tc>
        <w:tc>
          <w:tcPr>
            <w:tcW w:w="2247" w:type="dxa"/>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rPr>
              <w:t>废反渗透膜</w:t>
            </w:r>
          </w:p>
        </w:tc>
        <w:tc>
          <w:tcPr>
            <w:tcW w:w="150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1539" w:type="dxa"/>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lang w:val="en-US" w:eastAsia="zh-CN"/>
              </w:rPr>
              <w:t>0.6</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lang w:val="en-US" w:eastAsia="zh-CN"/>
              </w:rPr>
              <w:t>0.6</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lang w:val="en-US" w:eastAsia="zh-CN"/>
              </w:rPr>
              <w:t>+0.6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97" w:hRule="atLeast"/>
        </w:trPr>
        <w:tc>
          <w:tcPr>
            <w:tcW w:w="892" w:type="dxa"/>
            <w:vMerge w:val="continue"/>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2247" w:type="dxa"/>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rPr>
              <w:t>废包装材料</w:t>
            </w:r>
          </w:p>
        </w:tc>
        <w:tc>
          <w:tcPr>
            <w:tcW w:w="150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1539" w:type="dxa"/>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rPr>
              <w:t>0.1</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rPr>
              <w:t>0.1</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rPr>
              <w:t>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97" w:hRule="atLeast"/>
        </w:trPr>
        <w:tc>
          <w:tcPr>
            <w:tcW w:w="892" w:type="dxa"/>
            <w:vMerge w:val="continue"/>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2247" w:type="dxa"/>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rPr>
              <w:t>废酒瓶</w:t>
            </w:r>
          </w:p>
        </w:tc>
        <w:tc>
          <w:tcPr>
            <w:tcW w:w="150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1539" w:type="dxa"/>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rPr>
              <w:t>0.1</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rPr>
              <w:t>0.1</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Cs w:val="20"/>
                <w:highlight w:val="none"/>
              </w:rPr>
            </w:pP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rPr>
              <w:t>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97" w:hRule="atLeast"/>
        </w:trPr>
        <w:tc>
          <w:tcPr>
            <w:tcW w:w="892" w:type="dxa"/>
            <w:vMerge w:val="continue"/>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2247" w:type="dxa"/>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滤渣、废硅藻土</w:t>
            </w:r>
          </w:p>
        </w:tc>
        <w:tc>
          <w:tcPr>
            <w:tcW w:w="150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1539" w:type="dxa"/>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97" w:hRule="atLeast"/>
        </w:trPr>
        <w:tc>
          <w:tcPr>
            <w:tcW w:w="892" w:type="dxa"/>
            <w:vMerge w:val="restart"/>
            <w:vAlign w:val="center"/>
          </w:tcPr>
          <w:p>
            <w:pPr>
              <w:pStyle w:val="31"/>
              <w:keepNext w:val="0"/>
              <w:keepLines w:val="0"/>
              <w:suppressLineNumbers w:val="0"/>
              <w:adjustRightInd w:val="0"/>
              <w:snapToGrid w:val="0"/>
              <w:spacing w:before="0" w:beforeAutospacing="0" w:after="0" w:afterAutospacing="0" w:line="240" w:lineRule="auto"/>
              <w:ind w:left="0" w:right="0"/>
              <w:rPr>
                <w:rFonts w:hint="default"/>
                <w:color w:val="auto"/>
                <w:szCs w:val="20"/>
                <w:highlight w:val="none"/>
              </w:rPr>
            </w:pPr>
            <w:r>
              <w:rPr>
                <w:rFonts w:hint="eastAsia"/>
                <w:color w:val="auto"/>
                <w:szCs w:val="20"/>
                <w:highlight w:val="none"/>
              </w:rPr>
              <w:t>危险废物</w:t>
            </w:r>
          </w:p>
        </w:tc>
        <w:tc>
          <w:tcPr>
            <w:tcW w:w="2247"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b w:val="0"/>
                <w:color w:val="auto"/>
                <w:kern w:val="2"/>
                <w:sz w:val="21"/>
                <w:szCs w:val="20"/>
                <w:highlight w:val="none"/>
                <w:lang w:val="en-US" w:eastAsia="zh-CN" w:bidi="ar-SA"/>
              </w:rPr>
            </w:pPr>
            <w:r>
              <w:rPr>
                <w:rFonts w:hint="eastAsia" w:ascii="Times New Roman" w:hAnsi="Times New Roman" w:eastAsia="宋体" w:cs="Times New Roman"/>
                <w:color w:val="auto"/>
                <w:sz w:val="21"/>
                <w:szCs w:val="21"/>
                <w:highlight w:val="none"/>
              </w:rPr>
              <w:t>化学品废弃包装</w:t>
            </w:r>
          </w:p>
        </w:tc>
        <w:tc>
          <w:tcPr>
            <w:tcW w:w="1508" w:type="dxa"/>
            <w:shd w:val="clear" w:color="auto" w:fill="auto"/>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0"/>
                <w:highlight w:val="none"/>
                <w:lang w:val="en-US" w:eastAsia="zh-CN"/>
              </w:rPr>
              <w:t>/</w:t>
            </w: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eastAsia" w:eastAsia="宋体"/>
                <w:color w:val="auto"/>
                <w:szCs w:val="20"/>
                <w:highlight w:val="none"/>
                <w:lang w:val="en-US" w:eastAsia="zh-CN"/>
              </w:rPr>
            </w:pPr>
            <w:r>
              <w:rPr>
                <w:rFonts w:hint="eastAsia"/>
                <w:color w:val="auto"/>
                <w:szCs w:val="20"/>
                <w:highlight w:val="none"/>
                <w:lang w:val="en-US" w:eastAsia="zh-CN"/>
              </w:rPr>
              <w:t>/</w:t>
            </w: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eastAsia" w:eastAsia="宋体"/>
                <w:color w:val="auto"/>
                <w:szCs w:val="20"/>
                <w:highlight w:val="none"/>
                <w:lang w:val="en-US" w:eastAsia="zh-CN"/>
              </w:rPr>
            </w:pPr>
            <w:r>
              <w:rPr>
                <w:rFonts w:hint="eastAsia"/>
                <w:color w:val="auto"/>
                <w:szCs w:val="20"/>
                <w:highlight w:val="none"/>
                <w:lang w:val="en-US" w:eastAsia="zh-CN"/>
              </w:rPr>
              <w:t>/</w:t>
            </w:r>
          </w:p>
        </w:tc>
        <w:tc>
          <w:tcPr>
            <w:tcW w:w="1539"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rPr>
              <w:t>0.05</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eastAsia" w:eastAsia="宋体"/>
                <w:color w:val="auto"/>
                <w:szCs w:val="20"/>
                <w:highlight w:val="none"/>
                <w:lang w:val="en-US" w:eastAsia="zh-CN"/>
              </w:rPr>
            </w:pPr>
            <w:r>
              <w:rPr>
                <w:rFonts w:hint="eastAsia"/>
                <w:color w:val="auto"/>
                <w:szCs w:val="20"/>
                <w:highlight w:val="none"/>
                <w:lang w:val="en-US" w:eastAsia="zh-CN"/>
              </w:rPr>
              <w:t>/</w:t>
            </w: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rPr>
              <w:t>0.05</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97" w:hRule="atLeast"/>
        </w:trPr>
        <w:tc>
          <w:tcPr>
            <w:tcW w:w="892" w:type="dxa"/>
            <w:vMerge w:val="continue"/>
            <w:vAlign w:val="center"/>
          </w:tcPr>
          <w:p>
            <w:pPr>
              <w:pStyle w:val="31"/>
              <w:keepNext w:val="0"/>
              <w:keepLines w:val="0"/>
              <w:suppressLineNumbers w:val="0"/>
              <w:adjustRightInd w:val="0"/>
              <w:snapToGrid w:val="0"/>
              <w:spacing w:before="0" w:beforeAutospacing="0" w:after="0" w:afterAutospacing="0" w:line="240" w:lineRule="auto"/>
              <w:ind w:left="0" w:right="0"/>
              <w:rPr>
                <w:rFonts w:hint="eastAsia"/>
                <w:color w:val="auto"/>
                <w:szCs w:val="20"/>
                <w:highlight w:val="none"/>
              </w:rPr>
            </w:pPr>
          </w:p>
        </w:tc>
        <w:tc>
          <w:tcPr>
            <w:tcW w:w="2247"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b w:val="0"/>
                <w:color w:val="auto"/>
                <w:kern w:val="2"/>
                <w:sz w:val="21"/>
                <w:szCs w:val="20"/>
                <w:highlight w:val="none"/>
                <w:lang w:val="en-US" w:eastAsia="zh-CN" w:bidi="ar-SA"/>
              </w:rPr>
            </w:pPr>
            <w:r>
              <w:rPr>
                <w:rFonts w:hint="eastAsia" w:ascii="Times New Roman" w:hAnsi="Times New Roman" w:eastAsia="宋体" w:cs="Times New Roman"/>
                <w:color w:val="auto"/>
                <w:sz w:val="21"/>
                <w:szCs w:val="21"/>
                <w:highlight w:val="none"/>
              </w:rPr>
              <w:t>化验室废液</w:t>
            </w:r>
          </w:p>
        </w:tc>
        <w:tc>
          <w:tcPr>
            <w:tcW w:w="1508" w:type="dxa"/>
            <w:shd w:val="clear" w:color="auto" w:fill="auto"/>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eastAsia" w:ascii="Times New Roman" w:hAnsi="Times New Roman" w:eastAsia="宋体" w:cs="Times New Roman"/>
                <w:color w:val="auto"/>
                <w:kern w:val="2"/>
                <w:sz w:val="21"/>
                <w:szCs w:val="21"/>
                <w:highlight w:val="none"/>
                <w:lang w:val="en-US" w:eastAsia="zh-CN" w:bidi="ar-SA"/>
              </w:rPr>
            </w:pPr>
            <w:r>
              <w:rPr>
                <w:rFonts w:hint="default"/>
                <w:color w:val="auto"/>
                <w:szCs w:val="20"/>
                <w:highlight w:val="none"/>
              </w:rPr>
              <w:t>/</w:t>
            </w:r>
          </w:p>
        </w:tc>
        <w:tc>
          <w:tcPr>
            <w:tcW w:w="1260" w:type="dxa"/>
            <w:shd w:val="clear" w:color="auto" w:fill="auto"/>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宋体" w:cs="Times New Roman"/>
                <w:b w:val="0"/>
                <w:color w:val="auto"/>
                <w:kern w:val="2"/>
                <w:sz w:val="21"/>
                <w:szCs w:val="20"/>
                <w:highlight w:val="none"/>
                <w:lang w:val="en-US" w:eastAsia="zh-CN" w:bidi="ar-SA"/>
              </w:rPr>
            </w:pPr>
            <w:r>
              <w:rPr>
                <w:rFonts w:hint="default"/>
                <w:color w:val="auto"/>
                <w:szCs w:val="20"/>
                <w:highlight w:val="none"/>
              </w:rPr>
              <w:t>/</w:t>
            </w:r>
          </w:p>
        </w:tc>
        <w:tc>
          <w:tcPr>
            <w:tcW w:w="1678" w:type="dxa"/>
            <w:shd w:val="clear" w:color="auto" w:fill="auto"/>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宋体" w:cs="Times New Roman"/>
                <w:b w:val="0"/>
                <w:color w:val="auto"/>
                <w:kern w:val="2"/>
                <w:sz w:val="21"/>
                <w:szCs w:val="20"/>
                <w:highlight w:val="none"/>
                <w:lang w:val="en-US" w:eastAsia="zh-CN" w:bidi="ar-SA"/>
              </w:rPr>
            </w:pPr>
            <w:r>
              <w:rPr>
                <w:rFonts w:hint="default"/>
                <w:color w:val="auto"/>
                <w:szCs w:val="20"/>
                <w:highlight w:val="none"/>
              </w:rPr>
              <w:t>/</w:t>
            </w:r>
          </w:p>
        </w:tc>
        <w:tc>
          <w:tcPr>
            <w:tcW w:w="1539"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rPr>
              <w:t>0.05</w:t>
            </w:r>
          </w:p>
        </w:tc>
        <w:tc>
          <w:tcPr>
            <w:tcW w:w="1739" w:type="dxa"/>
            <w:shd w:val="clear" w:color="auto" w:fill="auto"/>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宋体" w:cs="Times New Roman"/>
                <w:b w:val="0"/>
                <w:color w:val="auto"/>
                <w:kern w:val="2"/>
                <w:sz w:val="21"/>
                <w:szCs w:val="20"/>
                <w:highlight w:val="none"/>
                <w:lang w:val="en-US" w:eastAsia="zh-CN" w:bidi="ar-SA"/>
              </w:rPr>
            </w:pPr>
            <w:r>
              <w:rPr>
                <w:rFonts w:hint="default"/>
                <w:color w:val="auto"/>
                <w:szCs w:val="20"/>
                <w:highlight w:val="none"/>
              </w:rPr>
              <w:t>/</w:t>
            </w: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rPr>
              <w:t>0.05</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892" w:type="dxa"/>
            <w:vMerge w:val="continue"/>
            <w:vAlign w:val="center"/>
          </w:tcPr>
          <w:p>
            <w:pPr>
              <w:pStyle w:val="31"/>
              <w:keepNext w:val="0"/>
              <w:keepLines w:val="0"/>
              <w:suppressLineNumbers w:val="0"/>
              <w:adjustRightInd w:val="0"/>
              <w:snapToGrid w:val="0"/>
              <w:spacing w:before="0" w:beforeAutospacing="0" w:after="0" w:afterAutospacing="0" w:line="240" w:lineRule="auto"/>
              <w:ind w:left="0" w:right="0"/>
              <w:rPr>
                <w:rFonts w:hint="eastAsia"/>
                <w:color w:val="auto"/>
                <w:szCs w:val="20"/>
                <w:highlight w:val="none"/>
              </w:rPr>
            </w:pPr>
          </w:p>
        </w:tc>
        <w:tc>
          <w:tcPr>
            <w:tcW w:w="2247"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b w:val="0"/>
                <w:color w:val="auto"/>
                <w:kern w:val="2"/>
                <w:sz w:val="21"/>
                <w:szCs w:val="20"/>
                <w:highlight w:val="none"/>
                <w:lang w:val="zh-CN" w:eastAsia="zh-CN" w:bidi="ar-SA"/>
              </w:rPr>
            </w:pPr>
            <w:r>
              <w:rPr>
                <w:rFonts w:hint="eastAsia" w:ascii="Times New Roman" w:hAnsi="Times New Roman" w:eastAsia="宋体" w:cs="Times New Roman"/>
                <w:color w:val="auto"/>
                <w:sz w:val="21"/>
                <w:szCs w:val="21"/>
                <w:highlight w:val="none"/>
              </w:rPr>
              <w:t>废矿物油</w:t>
            </w:r>
          </w:p>
        </w:tc>
        <w:tc>
          <w:tcPr>
            <w:tcW w:w="1508" w:type="dxa"/>
            <w:shd w:val="clear" w:color="auto" w:fill="auto"/>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szCs w:val="20"/>
                <w:highlight w:val="none"/>
              </w:rPr>
              <w:t>/</w:t>
            </w: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539"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rPr>
              <w:t>0.1</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rPr>
              <w:t>0.1</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rPr>
              <w:t>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892" w:type="dxa"/>
            <w:vMerge w:val="continue"/>
            <w:vAlign w:val="center"/>
          </w:tcPr>
          <w:p>
            <w:pPr>
              <w:pStyle w:val="31"/>
              <w:keepNext w:val="0"/>
              <w:keepLines w:val="0"/>
              <w:suppressLineNumbers w:val="0"/>
              <w:adjustRightInd w:val="0"/>
              <w:snapToGrid w:val="0"/>
              <w:spacing w:before="0" w:beforeAutospacing="0" w:after="0" w:afterAutospacing="0" w:line="240" w:lineRule="auto"/>
              <w:ind w:left="0" w:right="0"/>
              <w:rPr>
                <w:rFonts w:hint="eastAsia"/>
                <w:color w:val="auto"/>
                <w:szCs w:val="20"/>
                <w:highlight w:val="none"/>
              </w:rPr>
            </w:pPr>
          </w:p>
        </w:tc>
        <w:tc>
          <w:tcPr>
            <w:tcW w:w="2247"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b w:val="0"/>
                <w:color w:val="auto"/>
                <w:kern w:val="2"/>
                <w:sz w:val="21"/>
                <w:szCs w:val="20"/>
                <w:highlight w:val="none"/>
                <w:lang w:val="en-US" w:eastAsia="zh-CN" w:bidi="ar-SA"/>
              </w:rPr>
            </w:pPr>
            <w:r>
              <w:rPr>
                <w:rFonts w:hint="eastAsia" w:ascii="Times New Roman" w:hAnsi="Times New Roman" w:eastAsia="宋体" w:cs="Times New Roman"/>
                <w:color w:val="auto"/>
                <w:sz w:val="21"/>
                <w:szCs w:val="21"/>
                <w:highlight w:val="none"/>
              </w:rPr>
              <w:t>废矿物油桶</w:t>
            </w:r>
          </w:p>
        </w:tc>
        <w:tc>
          <w:tcPr>
            <w:tcW w:w="1508" w:type="dxa"/>
            <w:shd w:val="clear" w:color="auto" w:fill="auto"/>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szCs w:val="20"/>
                <w:highlight w:val="none"/>
              </w:rPr>
              <w:t>/</w:t>
            </w: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539"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rPr>
              <w:t>0.05</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r>
              <w:rPr>
                <w:rFonts w:hint="default"/>
                <w:color w:val="auto"/>
                <w:szCs w:val="20"/>
                <w:highlight w:val="none"/>
              </w:rPr>
              <w:t>/</w:t>
            </w: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rPr>
              <w:t>0.05</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892" w:type="dxa"/>
            <w:vAlign w:val="center"/>
          </w:tcPr>
          <w:p>
            <w:pPr>
              <w:pStyle w:val="31"/>
              <w:keepNext w:val="0"/>
              <w:keepLines w:val="0"/>
              <w:suppressLineNumbers w:val="0"/>
              <w:adjustRightInd w:val="0"/>
              <w:snapToGrid w:val="0"/>
              <w:spacing w:before="0" w:beforeAutospacing="0" w:after="0" w:afterAutospacing="0" w:line="240" w:lineRule="auto"/>
              <w:ind w:left="0" w:right="0"/>
              <w:rPr>
                <w:rFonts w:hint="eastAsia"/>
                <w:color w:val="auto"/>
                <w:szCs w:val="20"/>
                <w:highlight w:val="none"/>
              </w:rPr>
            </w:pPr>
            <w:r>
              <w:rPr>
                <w:rFonts w:hint="eastAsia" w:ascii="Times New Roman" w:hAnsi="Times New Roman" w:eastAsia="宋体" w:cs="Times New Roman"/>
                <w:color w:val="auto"/>
                <w:sz w:val="21"/>
                <w:szCs w:val="21"/>
                <w:highlight w:val="none"/>
              </w:rPr>
              <w:t>垃圾</w:t>
            </w:r>
          </w:p>
        </w:tc>
        <w:tc>
          <w:tcPr>
            <w:tcW w:w="2247"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生活垃圾</w:t>
            </w:r>
          </w:p>
        </w:tc>
        <w:tc>
          <w:tcPr>
            <w:tcW w:w="1508" w:type="dxa"/>
            <w:shd w:val="clear" w:color="auto" w:fill="auto"/>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260"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678"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539"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ascii="Times New Roman" w:eastAsia="宋体"/>
                <w:color w:val="auto"/>
                <w:sz w:val="21"/>
                <w:szCs w:val="21"/>
                <w:highlight w:val="none"/>
                <w:lang w:val="en-US" w:eastAsia="zh-CN"/>
              </w:rPr>
            </w:pPr>
            <w:r>
              <w:rPr>
                <w:rFonts w:hint="eastAsia" w:ascii="Times New Roman" w:hAnsi="Times New Roman" w:eastAsia="宋体" w:cs="Times New Roman"/>
                <w:color w:val="auto"/>
                <w:sz w:val="21"/>
                <w:szCs w:val="21"/>
                <w:highlight w:val="none"/>
              </w:rPr>
              <w:t>5</w:t>
            </w:r>
          </w:p>
        </w:tc>
        <w:tc>
          <w:tcPr>
            <w:tcW w:w="1739" w:type="dxa"/>
            <w:vAlign w:val="center"/>
          </w:tcPr>
          <w:p>
            <w:pPr>
              <w:pStyle w:val="31"/>
              <w:keepNext w:val="0"/>
              <w:keepLines w:val="0"/>
              <w:suppressLineNumbers w:val="0"/>
              <w:adjustRightInd w:val="0"/>
              <w:snapToGrid w:val="0"/>
              <w:spacing w:before="0" w:beforeAutospacing="0" w:after="0" w:afterAutospacing="0" w:line="240" w:lineRule="auto"/>
              <w:ind w:left="0" w:leftChars="0" w:right="0" w:rightChars="0" w:firstLine="0" w:firstLineChars="0"/>
              <w:rPr>
                <w:rFonts w:hint="default"/>
                <w:color w:val="auto"/>
                <w:szCs w:val="20"/>
                <w:highlight w:val="none"/>
              </w:rPr>
            </w:pPr>
          </w:p>
        </w:tc>
        <w:tc>
          <w:tcPr>
            <w:tcW w:w="1935"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 w:val="21"/>
                <w:szCs w:val="21"/>
                <w:highlight w:val="none"/>
                <w:lang w:val="en-US" w:eastAsia="zh-CN"/>
              </w:rPr>
            </w:pPr>
            <w:r>
              <w:rPr>
                <w:rFonts w:hint="eastAsia" w:ascii="Times New Roman" w:hAnsi="Times New Roman" w:eastAsia="宋体" w:cs="Times New Roman"/>
                <w:color w:val="auto"/>
                <w:sz w:val="21"/>
                <w:szCs w:val="21"/>
                <w:highlight w:val="none"/>
              </w:rPr>
              <w:t>5</w:t>
            </w:r>
          </w:p>
        </w:tc>
        <w:tc>
          <w:tcPr>
            <w:tcW w:w="1148" w:type="dxa"/>
            <w:shd w:val="clear" w:color="auto" w:fill="auto"/>
            <w:vAlign w:val="center"/>
          </w:tcPr>
          <w:p>
            <w:pPr>
              <w:keepNext w:val="0"/>
              <w:keepLines w:val="0"/>
              <w:suppressLineNumbers w:val="0"/>
              <w:spacing w:before="0" w:beforeAutospacing="0" w:after="0" w:afterAutospacing="0" w:line="240" w:lineRule="auto"/>
              <w:ind w:left="-228" w:leftChars="-95" w:right="-264" w:rightChars="-110" w:firstLine="0" w:firstLineChars="0"/>
              <w:jc w:val="center"/>
              <w:rPr>
                <w:rFonts w:hint="eastAsia"/>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rPr>
              <w:t>5</w:t>
            </w:r>
          </w:p>
        </w:tc>
      </w:tr>
      <w:bookmarkEnd w:id="17"/>
    </w:tbl>
    <w:p>
      <w:pPr>
        <w:pStyle w:val="30"/>
        <w:jc w:val="both"/>
        <w:rPr>
          <w:color w:val="auto"/>
          <w:highlight w:val="none"/>
        </w:rPr>
      </w:pPr>
      <w:r>
        <w:rPr>
          <w:color w:val="auto"/>
          <w:sz w:val="16"/>
          <w:szCs w:val="15"/>
          <w:highlight w:val="none"/>
        </w:rPr>
        <w:t>注：⑥=①+③+④-⑤；⑦=⑥-①</w:t>
      </w:r>
      <w:bookmarkEnd w:id="18"/>
    </w:p>
    <w:sectPr>
      <w:footerReference r:id="rId9" w:type="default"/>
      <w:pgSz w:w="16838" w:h="11906" w:orient="landscape"/>
      <w:pgMar w:top="1417" w:right="1440" w:bottom="141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74320" cy="196850"/>
              <wp:effectExtent l="0" t="0" r="0" b="0"/>
              <wp:wrapNone/>
              <wp:docPr id="15" name="文本框 1035"/>
              <wp:cNvGraphicFramePr/>
              <a:graphic xmlns:a="http://schemas.openxmlformats.org/drawingml/2006/main">
                <a:graphicData uri="http://schemas.microsoft.com/office/word/2010/wordprocessingShape">
                  <wps:wsp>
                    <wps:cNvSpPr txBox="true"/>
                    <wps:spPr>
                      <a:xfrm>
                        <a:off x="0" y="0"/>
                        <a:ext cx="274320" cy="196850"/>
                      </a:xfrm>
                      <a:prstGeom prst="rect">
                        <a:avLst/>
                      </a:prstGeom>
                      <a:noFill/>
                      <a:ln w="15875">
                        <a:noFill/>
                      </a:ln>
                      <a:effectLst/>
                    </wps:spPr>
                    <wps:txbx>
                      <w:txbxContent>
                        <w:p>
                          <w:pPr>
                            <w:pStyle w:val="17"/>
                            <w:ind w:firstLine="0" w:firstLineChars="0"/>
                          </w:pPr>
                          <w:r>
                            <w:fldChar w:fldCharType="begin"/>
                          </w:r>
                          <w:r>
                            <w:instrText xml:space="preserve"> PAGE  \* MERGEFORMAT </w:instrText>
                          </w:r>
                          <w:r>
                            <w:fldChar w:fldCharType="separate"/>
                          </w:r>
                          <w:r>
                            <w:t>- 14 -</w:t>
                          </w:r>
                          <w:r>
                            <w:fldChar w:fldCharType="end"/>
                          </w:r>
                        </w:p>
                      </w:txbxContent>
                    </wps:txbx>
                    <wps:bodyPr wrap="square" lIns="0" tIns="0" rIns="0" bIns="0" upright="false">
                      <a:spAutoFit/>
                    </wps:bodyPr>
                  </wps:wsp>
                </a:graphicData>
              </a:graphic>
            </wp:anchor>
          </w:drawing>
        </mc:Choice>
        <mc:Fallback>
          <w:pict>
            <v:shape id="文本框 1035" o:spid="_x0000_s1026" o:spt="202" type="#_x0000_t202" style="position:absolute;left:0pt;margin-top:0pt;height:15.5pt;width:21.6pt;mso-position-horizontal:center;mso-position-horizontal-relative:margin;z-index:251659264;mso-width-relative:page;mso-height-relative:page;" filled="f" stroked="f" coordsize="21600,21600" o:gfxdata="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AbnP3Y1AAAAAMBAAAP&#10;AAAAAAAAAAEAIAAAADgAAABkcnMvZG93bnJldi54bWxQSwECFAAUAAAACACHTuJAAj7yms0BAABu&#10;AwAADgAAAAAAAAABACAAAAA5AQAAZHJzL2Uyb0RvYy54bWxQSwUGAAAAAAYABgBZAQAAeAUAAAAA&#10;">
              <v:fill on="f" focussize="0,0"/>
              <v:stroke on="f" weight="1.25pt"/>
              <v:imagedata o:title=""/>
              <o:lock v:ext="edit" aspectratio="f"/>
              <v:textbox inset="0mm,0mm,0mm,0mm" style="mso-fit-shape-to-text:t;">
                <w:txbxContent>
                  <w:p>
                    <w:pPr>
                      <w:pStyle w:val="17"/>
                      <w:ind w:firstLine="0" w:firstLineChars="0"/>
                    </w:pPr>
                    <w:r>
                      <w:fldChar w:fldCharType="begin"/>
                    </w:r>
                    <w:r>
                      <w:instrText xml:space="preserve"> PAGE  \* MERGEFORMAT </w:instrText>
                    </w:r>
                    <w:r>
                      <w:fldChar w:fldCharType="separate"/>
                    </w:r>
                    <w:r>
                      <w:t>- 14 -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a:effectLst/>
                    </wps:spPr>
                    <wps:txbx>
                      <w:txbxContent>
                        <w:p>
                          <w:pPr>
                            <w:pStyle w:val="17"/>
                            <w:ind w:firstLine="360"/>
                          </w:pPr>
                          <w:r>
                            <w:fldChar w:fldCharType="begin"/>
                          </w:r>
                          <w:r>
                            <w:instrText xml:space="preserve"> PAGE  \* MERGEFORMAT </w:instrText>
                          </w:r>
                          <w:r>
                            <w:fldChar w:fldCharType="separate"/>
                          </w:r>
                          <w:r>
                            <w:t>- 67 -</w:t>
                          </w:r>
                          <w:r>
                            <w:fldChar w:fldCharType="end"/>
                          </w:r>
                        </w:p>
                      </w:txbxContent>
                    </wps:txbx>
                    <wps:bodyPr wrap="none" lIns="0" tIns="0" rIns="0" bIns="0" upright="false">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aGmCS9MAAAAFAQAADwAAAAAAAAAB&#10;ACAAAAA4AAAAZHJzL2Rvd25yZXYueG1sUEsBAhQAFAAAAAgAh07iQGxiTn7GAQAAbgMAAA4AAAAA&#10;AAAAAQAgAAAAOAEAAGRycy9lMm9Eb2MueG1sUEsFBgAAAAAGAAYAWQEAAHAFAAAAAA==&#10;">
              <v:fill on="f" focussize="0,0"/>
              <v:stroke on="f" weight="1.25pt"/>
              <v:imagedata o:title=""/>
              <o:lock v:ext="edit" aspectratio="f"/>
              <v:textbox inset="0mm,0mm,0mm,0mm" style="mso-fit-shape-to-text:t;">
                <w:txbxContent>
                  <w:p>
                    <w:pPr>
                      <w:pStyle w:val="17"/>
                      <w:ind w:firstLine="360"/>
                    </w:pPr>
                    <w:r>
                      <w:fldChar w:fldCharType="begin"/>
                    </w:r>
                    <w:r>
                      <w:instrText xml:space="preserve"> PAGE  \* MERGEFORMAT </w:instrText>
                    </w:r>
                    <w:r>
                      <w:fldChar w:fldCharType="separate"/>
                    </w:r>
                    <w:r>
                      <w:t>- 67 -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7423A"/>
    <w:multiLevelType w:val="singleLevel"/>
    <w:tmpl w:val="9A47423A"/>
    <w:lvl w:ilvl="0" w:tentative="0">
      <w:start w:val="1"/>
      <w:numFmt w:val="decimal"/>
      <w:suff w:val="nothing"/>
      <w:lvlText w:val="(%1)"/>
      <w:lvlJc w:val="left"/>
      <w:pPr>
        <w:ind w:left="0" w:leftChars="0" w:firstLine="567" w:firstLineChars="0"/>
      </w:pPr>
      <w:rPr>
        <w:rFonts w:hint="default"/>
      </w:rPr>
    </w:lvl>
  </w:abstractNum>
  <w:abstractNum w:abstractNumId="1">
    <w:nsid w:val="9E65A2EC"/>
    <w:multiLevelType w:val="singleLevel"/>
    <w:tmpl w:val="9E65A2EC"/>
    <w:lvl w:ilvl="0" w:tentative="0">
      <w:start w:val="1"/>
      <w:numFmt w:val="chineseCounting"/>
      <w:suff w:val="nothing"/>
      <w:lvlText w:val="%1、"/>
      <w:lvlJc w:val="left"/>
      <w:pPr>
        <w:ind w:left="0" w:firstLine="420"/>
      </w:pPr>
      <w:rPr>
        <w:rFonts w:hint="eastAsia"/>
      </w:rPr>
    </w:lvl>
  </w:abstractNum>
  <w:abstractNum w:abstractNumId="2">
    <w:nsid w:val="CFD682AD"/>
    <w:multiLevelType w:val="singleLevel"/>
    <w:tmpl w:val="CFD682AD"/>
    <w:lvl w:ilvl="0" w:tentative="0">
      <w:start w:val="1"/>
      <w:numFmt w:val="decimalEnclosedCircleChinese"/>
      <w:suff w:val="nothing"/>
      <w:lvlText w:val="%1　"/>
      <w:lvlJc w:val="left"/>
      <w:pPr>
        <w:ind w:left="0" w:firstLine="400"/>
      </w:pPr>
      <w:rPr>
        <w:rFonts w:hint="eastAsia"/>
      </w:rPr>
    </w:lvl>
  </w:abstractNum>
  <w:abstractNum w:abstractNumId="3">
    <w:nsid w:val="E652E2FD"/>
    <w:multiLevelType w:val="singleLevel"/>
    <w:tmpl w:val="E652E2FD"/>
    <w:lvl w:ilvl="0" w:tentative="0">
      <w:start w:val="1"/>
      <w:numFmt w:val="decimal"/>
      <w:suff w:val="nothing"/>
      <w:lvlText w:val="(%1)"/>
      <w:lvlJc w:val="left"/>
      <w:pPr>
        <w:ind w:left="0" w:leftChars="0" w:firstLine="425" w:firstLineChars="0"/>
      </w:pPr>
      <w:rPr>
        <w:rFonts w:hint="default"/>
      </w:rPr>
    </w:lvl>
  </w:abstractNum>
  <w:abstractNum w:abstractNumId="4">
    <w:nsid w:val="ECC4D856"/>
    <w:multiLevelType w:val="singleLevel"/>
    <w:tmpl w:val="ECC4D856"/>
    <w:lvl w:ilvl="0" w:tentative="0">
      <w:start w:val="1"/>
      <w:numFmt w:val="decimalEnclosedCircleChinese"/>
      <w:suff w:val="nothing"/>
      <w:lvlText w:val="%1　"/>
      <w:lvlJc w:val="left"/>
      <w:pPr>
        <w:ind w:left="0" w:firstLine="567"/>
      </w:pPr>
      <w:rPr>
        <w:rFonts w:hint="eastAsia"/>
      </w:rPr>
    </w:lvl>
  </w:abstractNum>
  <w:abstractNum w:abstractNumId="5">
    <w:nsid w:val="FC34F0A7"/>
    <w:multiLevelType w:val="singleLevel"/>
    <w:tmpl w:val="FC34F0A7"/>
    <w:lvl w:ilvl="0" w:tentative="0">
      <w:start w:val="1"/>
      <w:numFmt w:val="decimal"/>
      <w:suff w:val="nothing"/>
      <w:lvlText w:val="(%1)"/>
      <w:lvlJc w:val="left"/>
      <w:pPr>
        <w:ind w:left="0" w:leftChars="0" w:firstLine="482" w:firstLineChars="0"/>
      </w:pPr>
      <w:rPr>
        <w:rFonts w:hint="default"/>
      </w:rPr>
    </w:lvl>
  </w:abstractNum>
  <w:abstractNum w:abstractNumId="6">
    <w:nsid w:val="1955FAD9"/>
    <w:multiLevelType w:val="singleLevel"/>
    <w:tmpl w:val="1955FAD9"/>
    <w:lvl w:ilvl="0" w:tentative="0">
      <w:start w:val="2"/>
      <w:numFmt w:val="decimal"/>
      <w:suff w:val="nothing"/>
      <w:lvlText w:val="表4-%1  "/>
      <w:lvlJc w:val="left"/>
      <w:pPr>
        <w:tabs>
          <w:tab w:val="left" w:pos="0"/>
        </w:tabs>
        <w:ind w:left="0" w:firstLine="0"/>
      </w:pPr>
      <w:rPr>
        <w:rFonts w:hint="default"/>
        <w:b/>
        <w:color w:val="auto"/>
        <w:sz w:val="24"/>
      </w:rPr>
    </w:lvl>
  </w:abstractNum>
  <w:abstractNum w:abstractNumId="7">
    <w:nsid w:val="2AC1826D"/>
    <w:multiLevelType w:val="singleLevel"/>
    <w:tmpl w:val="2AC1826D"/>
    <w:lvl w:ilvl="0" w:tentative="0">
      <w:start w:val="1"/>
      <w:numFmt w:val="decimal"/>
      <w:suff w:val="nothing"/>
      <w:lvlText w:val="%1."/>
      <w:lvlJc w:val="left"/>
      <w:pPr>
        <w:ind w:left="0" w:leftChars="0" w:firstLine="567" w:firstLineChars="0"/>
      </w:pPr>
      <w:rPr>
        <w:rFonts w:hint="default"/>
      </w:rPr>
    </w:lvl>
  </w:abstractNum>
  <w:abstractNum w:abstractNumId="8">
    <w:nsid w:val="7F54B0CC"/>
    <w:multiLevelType w:val="singleLevel"/>
    <w:tmpl w:val="7F54B0CC"/>
    <w:lvl w:ilvl="0" w:tentative="0">
      <w:start w:val="1"/>
      <w:numFmt w:val="decimalEnclosedCircleChinese"/>
      <w:suff w:val="nothing"/>
      <w:lvlText w:val="%1　"/>
      <w:lvlJc w:val="left"/>
      <w:pPr>
        <w:ind w:left="0" w:firstLine="567"/>
      </w:pPr>
      <w:rPr>
        <w:rFonts w:hint="eastAsia"/>
      </w:rPr>
    </w:lvl>
  </w:abstractNum>
  <w:num w:numId="1">
    <w:abstractNumId w:val="1"/>
  </w:num>
  <w:num w:numId="2">
    <w:abstractNumId w:val="0"/>
  </w:num>
  <w:num w:numId="3">
    <w:abstractNumId w:val="4"/>
  </w:num>
  <w:num w:numId="4">
    <w:abstractNumId w:val="6"/>
  </w:num>
  <w:num w:numId="5">
    <w:abstractNumId w:val="2"/>
  </w:num>
  <w:num w:numId="6">
    <w:abstractNumId w:val="3"/>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hideSpellingErrors/>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EF2740"/>
    <w:rsid w:val="00001A5E"/>
    <w:rsid w:val="00171216"/>
    <w:rsid w:val="00343AA5"/>
    <w:rsid w:val="00352929"/>
    <w:rsid w:val="00517019"/>
    <w:rsid w:val="005E287D"/>
    <w:rsid w:val="007604FF"/>
    <w:rsid w:val="00CE0434"/>
    <w:rsid w:val="0162525F"/>
    <w:rsid w:val="021252B0"/>
    <w:rsid w:val="03133278"/>
    <w:rsid w:val="048B3673"/>
    <w:rsid w:val="04FC0F8A"/>
    <w:rsid w:val="05090876"/>
    <w:rsid w:val="05253B7D"/>
    <w:rsid w:val="073E6F3C"/>
    <w:rsid w:val="07861FDA"/>
    <w:rsid w:val="07AD5A15"/>
    <w:rsid w:val="085B70D3"/>
    <w:rsid w:val="08E47DFE"/>
    <w:rsid w:val="09485EB3"/>
    <w:rsid w:val="0A235ADF"/>
    <w:rsid w:val="0A4672C0"/>
    <w:rsid w:val="0B9C06D5"/>
    <w:rsid w:val="0BAE6165"/>
    <w:rsid w:val="0CA1526A"/>
    <w:rsid w:val="0D086606"/>
    <w:rsid w:val="0D196152"/>
    <w:rsid w:val="0D2B5087"/>
    <w:rsid w:val="0E2A3A63"/>
    <w:rsid w:val="0E7F65E8"/>
    <w:rsid w:val="0EC936E6"/>
    <w:rsid w:val="100277C6"/>
    <w:rsid w:val="104361D7"/>
    <w:rsid w:val="11AE2932"/>
    <w:rsid w:val="132303A3"/>
    <w:rsid w:val="132D4A6C"/>
    <w:rsid w:val="14DE7F14"/>
    <w:rsid w:val="15727D1D"/>
    <w:rsid w:val="15804BC3"/>
    <w:rsid w:val="15B82F48"/>
    <w:rsid w:val="166A7C52"/>
    <w:rsid w:val="177B7AB4"/>
    <w:rsid w:val="182755D1"/>
    <w:rsid w:val="18C6373D"/>
    <w:rsid w:val="19230EEF"/>
    <w:rsid w:val="19C370B7"/>
    <w:rsid w:val="1A5634E5"/>
    <w:rsid w:val="1D6275DB"/>
    <w:rsid w:val="1E2C7604"/>
    <w:rsid w:val="1EEF2740"/>
    <w:rsid w:val="1F0D73D0"/>
    <w:rsid w:val="204A7B39"/>
    <w:rsid w:val="214007BA"/>
    <w:rsid w:val="216D06F2"/>
    <w:rsid w:val="221B7A6B"/>
    <w:rsid w:val="228E2BB8"/>
    <w:rsid w:val="237F76C3"/>
    <w:rsid w:val="23FA7F45"/>
    <w:rsid w:val="24022363"/>
    <w:rsid w:val="252C415D"/>
    <w:rsid w:val="25CF0E14"/>
    <w:rsid w:val="26380EA8"/>
    <w:rsid w:val="26405AAC"/>
    <w:rsid w:val="26B42A67"/>
    <w:rsid w:val="26EB09E8"/>
    <w:rsid w:val="27364EE3"/>
    <w:rsid w:val="276C5367"/>
    <w:rsid w:val="27796C51"/>
    <w:rsid w:val="284101E2"/>
    <w:rsid w:val="28473E83"/>
    <w:rsid w:val="28AF344A"/>
    <w:rsid w:val="2A881B54"/>
    <w:rsid w:val="2AAD2BA1"/>
    <w:rsid w:val="2ABF58B5"/>
    <w:rsid w:val="2B5E10AB"/>
    <w:rsid w:val="2C1A3E08"/>
    <w:rsid w:val="2C7A2906"/>
    <w:rsid w:val="2CE850C9"/>
    <w:rsid w:val="2CFD08CA"/>
    <w:rsid w:val="2D9214E0"/>
    <w:rsid w:val="2E4128FE"/>
    <w:rsid w:val="2E5663D6"/>
    <w:rsid w:val="2F1B6430"/>
    <w:rsid w:val="2FCC1679"/>
    <w:rsid w:val="2FE8241B"/>
    <w:rsid w:val="33016EEC"/>
    <w:rsid w:val="33457D1C"/>
    <w:rsid w:val="334E7C57"/>
    <w:rsid w:val="34E24AFB"/>
    <w:rsid w:val="34F026B9"/>
    <w:rsid w:val="366A4CB2"/>
    <w:rsid w:val="380E09F4"/>
    <w:rsid w:val="38944D49"/>
    <w:rsid w:val="38A413CF"/>
    <w:rsid w:val="38F00B77"/>
    <w:rsid w:val="394B160B"/>
    <w:rsid w:val="39AD08EF"/>
    <w:rsid w:val="39CE1AF2"/>
    <w:rsid w:val="3C9323D1"/>
    <w:rsid w:val="3CCE71EB"/>
    <w:rsid w:val="3D5E514C"/>
    <w:rsid w:val="3D7613C9"/>
    <w:rsid w:val="3DFF04CC"/>
    <w:rsid w:val="3E5C3B5C"/>
    <w:rsid w:val="3F8F0DE0"/>
    <w:rsid w:val="3FA23805"/>
    <w:rsid w:val="3FA951EB"/>
    <w:rsid w:val="406F1CDB"/>
    <w:rsid w:val="40F40090"/>
    <w:rsid w:val="417D2B94"/>
    <w:rsid w:val="42264D31"/>
    <w:rsid w:val="42C668A4"/>
    <w:rsid w:val="43140869"/>
    <w:rsid w:val="444E13D2"/>
    <w:rsid w:val="452947BF"/>
    <w:rsid w:val="45522B2A"/>
    <w:rsid w:val="464C3175"/>
    <w:rsid w:val="46F6477A"/>
    <w:rsid w:val="49AE62D0"/>
    <w:rsid w:val="4AAD2020"/>
    <w:rsid w:val="4C1F3627"/>
    <w:rsid w:val="4DE1199C"/>
    <w:rsid w:val="4E9D5820"/>
    <w:rsid w:val="4ED908C5"/>
    <w:rsid w:val="50F35914"/>
    <w:rsid w:val="51AF2CA1"/>
    <w:rsid w:val="54344D1E"/>
    <w:rsid w:val="546D1F30"/>
    <w:rsid w:val="559D1531"/>
    <w:rsid w:val="56FB0610"/>
    <w:rsid w:val="57744CFC"/>
    <w:rsid w:val="578C2978"/>
    <w:rsid w:val="581315BE"/>
    <w:rsid w:val="581F1A3E"/>
    <w:rsid w:val="59701FF1"/>
    <w:rsid w:val="59AD2EBB"/>
    <w:rsid w:val="5A304D5A"/>
    <w:rsid w:val="5E174F66"/>
    <w:rsid w:val="5E422C20"/>
    <w:rsid w:val="5E7F08BC"/>
    <w:rsid w:val="5F507F6E"/>
    <w:rsid w:val="60386C0D"/>
    <w:rsid w:val="61043D49"/>
    <w:rsid w:val="611046CB"/>
    <w:rsid w:val="614803E9"/>
    <w:rsid w:val="61875FA3"/>
    <w:rsid w:val="61A62E35"/>
    <w:rsid w:val="6251520E"/>
    <w:rsid w:val="637E276C"/>
    <w:rsid w:val="647E1CD8"/>
    <w:rsid w:val="65B62EB2"/>
    <w:rsid w:val="65F00576"/>
    <w:rsid w:val="66D659BE"/>
    <w:rsid w:val="670F1E82"/>
    <w:rsid w:val="67145D1A"/>
    <w:rsid w:val="67312975"/>
    <w:rsid w:val="68144555"/>
    <w:rsid w:val="687D5A84"/>
    <w:rsid w:val="692F7608"/>
    <w:rsid w:val="695E1C9B"/>
    <w:rsid w:val="6A534E1A"/>
    <w:rsid w:val="6AE579E7"/>
    <w:rsid w:val="6D0E4172"/>
    <w:rsid w:val="6D675FCD"/>
    <w:rsid w:val="6F2F65B3"/>
    <w:rsid w:val="6F701520"/>
    <w:rsid w:val="717E499D"/>
    <w:rsid w:val="720F56BD"/>
    <w:rsid w:val="722C27CD"/>
    <w:rsid w:val="72703EDA"/>
    <w:rsid w:val="72D134DE"/>
    <w:rsid w:val="72D478CB"/>
    <w:rsid w:val="745D75D2"/>
    <w:rsid w:val="748C794E"/>
    <w:rsid w:val="74A633A2"/>
    <w:rsid w:val="75471E19"/>
    <w:rsid w:val="76292D6A"/>
    <w:rsid w:val="77ED53E3"/>
    <w:rsid w:val="780072C2"/>
    <w:rsid w:val="78187523"/>
    <w:rsid w:val="78801D54"/>
    <w:rsid w:val="794520F9"/>
    <w:rsid w:val="799E1A43"/>
    <w:rsid w:val="7B791ACC"/>
    <w:rsid w:val="7DFD6248"/>
    <w:rsid w:val="7E933D3D"/>
    <w:rsid w:val="DDD63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40" w:firstLineChars="200"/>
      <w:jc w:val="both"/>
    </w:pPr>
    <w:rPr>
      <w:rFonts w:ascii="Times New Roman" w:hAnsi="Times New Roman" w:eastAsia="宋体" w:cs="Times New Roman"/>
      <w:kern w:val="2"/>
      <w:sz w:val="24"/>
      <w:lang w:val="en-US" w:eastAsia="zh-CN" w:bidi="ar-SA"/>
    </w:rPr>
  </w:style>
  <w:style w:type="paragraph" w:styleId="3">
    <w:name w:val="heading 1"/>
    <w:basedOn w:val="1"/>
    <w:next w:val="1"/>
    <w:link w:val="27"/>
    <w:qFormat/>
    <w:uiPriority w:val="0"/>
    <w:pPr>
      <w:keepNext/>
      <w:keepLines/>
      <w:spacing w:line="240" w:lineRule="auto"/>
      <w:ind w:firstLine="0" w:firstLineChars="0"/>
      <w:jc w:val="center"/>
      <w:outlineLvl w:val="0"/>
    </w:pPr>
    <w:rPr>
      <w:b/>
      <w:kern w:val="44"/>
      <w:sz w:val="32"/>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paragraph" w:styleId="5">
    <w:name w:val="heading 3"/>
    <w:basedOn w:val="1"/>
    <w:next w:val="1"/>
    <w:qFormat/>
    <w:uiPriority w:val="0"/>
    <w:pPr>
      <w:keepNext/>
      <w:keepLines/>
      <w:ind w:firstLine="0" w:firstLineChars="0"/>
      <w:jc w:val="left"/>
      <w:outlineLvl w:val="2"/>
    </w:pPr>
    <w:rPr>
      <w:b/>
      <w:sz w:val="28"/>
    </w:rPr>
  </w:style>
  <w:style w:type="paragraph" w:styleId="6">
    <w:name w:val="heading 4"/>
    <w:basedOn w:val="1"/>
    <w:next w:val="1"/>
    <w:qFormat/>
    <w:uiPriority w:val="0"/>
    <w:pPr>
      <w:keepNext/>
      <w:keepLines/>
      <w:ind w:firstLine="0" w:firstLineChars="0"/>
      <w:outlineLvl w:val="3"/>
    </w:pPr>
    <w:rPr>
      <w:b/>
    </w:rPr>
  </w:style>
  <w:style w:type="character" w:default="1" w:styleId="24">
    <w:name w:val="Default Paragraph Font"/>
    <w:semiHidden/>
    <w:unhideWhenUsed/>
    <w:qFormat/>
    <w:uiPriority w:val="1"/>
  </w:style>
  <w:style w:type="table" w:default="1" w:styleId="2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7">
    <w:name w:val="Normal Indent"/>
    <w:basedOn w:val="1"/>
    <w:next w:val="1"/>
    <w:qFormat/>
    <w:uiPriority w:val="0"/>
    <w:pPr>
      <w:ind w:firstLine="420"/>
      <w:jc w:val="left"/>
    </w:pPr>
    <w:rPr>
      <w:rFonts w:ascii="Times New Roman" w:hAnsi="Times New Roman" w:eastAsia="宋体"/>
      <w:kern w:val="0"/>
      <w:sz w:val="24"/>
    </w:rPr>
  </w:style>
  <w:style w:type="paragraph" w:styleId="8">
    <w:name w:val="caption"/>
    <w:basedOn w:val="1"/>
    <w:next w:val="1"/>
    <w:semiHidden/>
    <w:unhideWhenUsed/>
    <w:qFormat/>
    <w:uiPriority w:val="0"/>
    <w:pPr>
      <w:spacing w:line="240" w:lineRule="auto"/>
      <w:ind w:firstLine="0" w:firstLineChars="0"/>
      <w:jc w:val="center"/>
    </w:pPr>
    <w:rPr>
      <w:rFonts w:ascii="Arial" w:hAnsi="Arial" w:eastAsia="黑体"/>
      <w:sz w:val="24"/>
    </w:rPr>
  </w:style>
  <w:style w:type="paragraph" w:styleId="9">
    <w:name w:val="annotation text"/>
    <w:basedOn w:val="1"/>
    <w:link w:val="52"/>
    <w:unhideWhenUsed/>
    <w:qFormat/>
    <w:uiPriority w:val="99"/>
    <w:pPr>
      <w:jc w:val="left"/>
    </w:pPr>
  </w:style>
  <w:style w:type="paragraph" w:styleId="10">
    <w:name w:val="Body Text"/>
    <w:basedOn w:val="1"/>
    <w:next w:val="11"/>
    <w:qFormat/>
    <w:uiPriority w:val="0"/>
    <w:pPr>
      <w:widowControl/>
      <w:snapToGrid w:val="0"/>
      <w:spacing w:before="60" w:after="160" w:line="259" w:lineRule="auto"/>
      <w:ind w:right="113" w:firstLine="0" w:firstLineChars="0"/>
    </w:pPr>
    <w:rPr>
      <w:kern w:val="0"/>
      <w:sz w:val="18"/>
    </w:rPr>
  </w:style>
  <w:style w:type="paragraph" w:customStyle="1" w:styleId="11">
    <w:name w:val="默认段落"/>
    <w:basedOn w:val="1"/>
    <w:qFormat/>
    <w:uiPriority w:val="0"/>
    <w:rPr>
      <w:rFonts w:ascii="Calibri" w:hAnsi="Calibri" w:eastAsia="宋体"/>
    </w:rPr>
  </w:style>
  <w:style w:type="paragraph" w:styleId="12">
    <w:name w:val="Body Text Indent"/>
    <w:basedOn w:val="1"/>
    <w:next w:val="13"/>
    <w:unhideWhenUsed/>
    <w:qFormat/>
    <w:uiPriority w:val="0"/>
    <w:pPr>
      <w:spacing w:after="120"/>
      <w:ind w:left="420"/>
    </w:pPr>
  </w:style>
  <w:style w:type="paragraph" w:styleId="13">
    <w:name w:val="Body Text Indent 2"/>
    <w:basedOn w:val="1"/>
    <w:next w:val="14"/>
    <w:qFormat/>
    <w:uiPriority w:val="0"/>
    <w:pPr>
      <w:spacing w:after="120" w:line="480" w:lineRule="auto"/>
      <w:ind w:left="420" w:leftChars="200"/>
    </w:pPr>
  </w:style>
  <w:style w:type="paragraph" w:styleId="14">
    <w:name w:val="Body Text First Indent 2"/>
    <w:basedOn w:val="12"/>
    <w:next w:val="1"/>
    <w:qFormat/>
    <w:uiPriority w:val="0"/>
    <w:pPr>
      <w:ind w:left="200" w:leftChars="200" w:firstLine="420"/>
    </w:pPr>
    <w:rPr>
      <w:sz w:val="21"/>
      <w:szCs w:val="21"/>
    </w:rPr>
  </w:style>
  <w:style w:type="paragraph" w:styleId="15">
    <w:name w:val="Plain Text"/>
    <w:basedOn w:val="1"/>
    <w:qFormat/>
    <w:uiPriority w:val="0"/>
    <w:pPr>
      <w:spacing w:before="120" w:after="120" w:line="560" w:lineRule="exact"/>
    </w:pPr>
    <w:rPr>
      <w:rFonts w:ascii="宋体" w:hAnsi="Courier New" w:eastAsia="仿宋"/>
      <w:sz w:val="32"/>
    </w:rPr>
  </w:style>
  <w:style w:type="paragraph" w:styleId="16">
    <w:name w:val="Balloon Text"/>
    <w:basedOn w:val="1"/>
    <w:link w:val="51"/>
    <w:qFormat/>
    <w:uiPriority w:val="0"/>
    <w:pPr>
      <w:spacing w:line="240" w:lineRule="auto"/>
    </w:pPr>
    <w:rPr>
      <w:sz w:val="18"/>
      <w:szCs w:val="18"/>
    </w:rPr>
  </w:style>
  <w:style w:type="paragraph" w:styleId="17">
    <w:name w:val="footer"/>
    <w:basedOn w:val="1"/>
    <w:unhideWhenUsed/>
    <w:qFormat/>
    <w:uiPriority w:val="0"/>
    <w:pPr>
      <w:tabs>
        <w:tab w:val="center" w:pos="4153"/>
        <w:tab w:val="right" w:pos="8306"/>
      </w:tabs>
      <w:snapToGrid w:val="0"/>
      <w:jc w:val="left"/>
    </w:pPr>
    <w:rPr>
      <w:sz w:val="18"/>
    </w:rPr>
  </w:style>
  <w:style w:type="paragraph" w:styleId="18">
    <w:name w:val="toc 1"/>
    <w:basedOn w:val="1"/>
    <w:next w:val="1"/>
    <w:qFormat/>
    <w:uiPriority w:val="0"/>
  </w:style>
  <w:style w:type="paragraph" w:styleId="19">
    <w:name w:val="Body Text 2"/>
    <w:basedOn w:val="1"/>
    <w:next w:val="1"/>
    <w:qFormat/>
    <w:uiPriority w:val="99"/>
    <w:pPr>
      <w:spacing w:after="120" w:line="480" w:lineRule="auto"/>
    </w:pPr>
    <w:rPr>
      <w:kern w:val="0"/>
      <w:sz w:val="20"/>
    </w:rPr>
  </w:style>
  <w:style w:type="paragraph" w:styleId="20">
    <w:name w:val="Normal (Web)"/>
    <w:basedOn w:val="1"/>
    <w:qFormat/>
    <w:uiPriority w:val="0"/>
    <w:pPr>
      <w:spacing w:beforeAutospacing="1" w:afterAutospacing="1"/>
      <w:jc w:val="left"/>
    </w:pPr>
    <w:rPr>
      <w:kern w:val="0"/>
    </w:rPr>
  </w:style>
  <w:style w:type="paragraph" w:styleId="21">
    <w:name w:val="annotation subject"/>
    <w:basedOn w:val="9"/>
    <w:next w:val="9"/>
    <w:link w:val="53"/>
    <w:qFormat/>
    <w:uiPriority w:val="0"/>
    <w:rPr>
      <w:b/>
      <w:bCs/>
    </w:rPr>
  </w:style>
  <w:style w:type="table" w:styleId="23">
    <w:name w:val="Table Grid"/>
    <w:basedOn w:val="22"/>
    <w:unhideWhenUsed/>
    <w:qFormat/>
    <w:uiPriority w:val="3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5">
    <w:name w:val="Hyperlink"/>
    <w:basedOn w:val="24"/>
    <w:qFormat/>
    <w:uiPriority w:val="0"/>
    <w:rPr>
      <w:color w:val="0000FF"/>
      <w:u w:val="single"/>
    </w:rPr>
  </w:style>
  <w:style w:type="character" w:styleId="26">
    <w:name w:val="annotation reference"/>
    <w:basedOn w:val="24"/>
    <w:qFormat/>
    <w:uiPriority w:val="0"/>
    <w:rPr>
      <w:sz w:val="21"/>
      <w:szCs w:val="21"/>
    </w:rPr>
  </w:style>
  <w:style w:type="character" w:customStyle="1" w:styleId="27">
    <w:name w:val="标题 1 Char"/>
    <w:link w:val="3"/>
    <w:qFormat/>
    <w:uiPriority w:val="0"/>
    <w:rPr>
      <w:rFonts w:ascii="Times New Roman" w:hAnsi="Times New Roman"/>
      <w:b/>
      <w:kern w:val="44"/>
      <w:sz w:val="32"/>
    </w:rPr>
  </w:style>
  <w:style w:type="paragraph" w:customStyle="1" w:styleId="28">
    <w:name w:val="表格"/>
    <w:basedOn w:val="1"/>
    <w:next w:val="1"/>
    <w:qFormat/>
    <w:uiPriority w:val="0"/>
    <w:pPr>
      <w:adjustRightInd w:val="0"/>
      <w:snapToGrid w:val="0"/>
      <w:spacing w:line="240" w:lineRule="auto"/>
      <w:ind w:firstLine="0" w:firstLineChars="0"/>
      <w:jc w:val="center"/>
    </w:pPr>
    <w:rPr>
      <w:rFonts w:ascii="宋体" w:hAnsi="宋体" w:eastAsia="宋体"/>
      <w:kern w:val="0"/>
      <w:sz w:val="21"/>
    </w:rPr>
  </w:style>
  <w:style w:type="paragraph" w:customStyle="1" w:styleId="29">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0">
    <w:name w:val="表格标题"/>
    <w:basedOn w:val="1"/>
    <w:next w:val="31"/>
    <w:qFormat/>
    <w:uiPriority w:val="0"/>
    <w:pPr>
      <w:spacing w:line="240" w:lineRule="auto"/>
      <w:ind w:firstLine="0" w:firstLineChars="0"/>
      <w:jc w:val="center"/>
    </w:pPr>
    <w:rPr>
      <w:b/>
      <w:sz w:val="21"/>
    </w:rPr>
  </w:style>
  <w:style w:type="paragraph" w:customStyle="1" w:styleId="31">
    <w:name w:val="表格内容"/>
    <w:basedOn w:val="30"/>
    <w:next w:val="1"/>
    <w:qFormat/>
    <w:uiPriority w:val="0"/>
    <w:pPr>
      <w:spacing w:line="240" w:lineRule="atLeast"/>
    </w:pPr>
    <w:rPr>
      <w:b w:val="0"/>
    </w:rPr>
  </w:style>
  <w:style w:type="paragraph" w:customStyle="1" w:styleId="32">
    <w:name w:val="表格正文"/>
    <w:basedOn w:val="1"/>
    <w:qFormat/>
    <w:uiPriority w:val="0"/>
    <w:pPr>
      <w:widowControl/>
      <w:spacing w:line="240" w:lineRule="auto"/>
      <w:ind w:firstLine="0" w:firstLineChars="0"/>
      <w:jc w:val="center"/>
    </w:pPr>
    <w:rPr>
      <w:sz w:val="21"/>
      <w:lang w:eastAsia="en-US"/>
    </w:rPr>
  </w:style>
  <w:style w:type="paragraph" w:customStyle="1" w:styleId="33">
    <w:name w:val="Default"/>
    <w:basedOn w:val="34"/>
    <w:next w:val="35"/>
    <w:qFormat/>
    <w:uiPriority w:val="0"/>
    <w:pPr>
      <w:autoSpaceDE w:val="0"/>
      <w:autoSpaceDN w:val="0"/>
    </w:pPr>
    <w:rPr>
      <w:rFonts w:cs="宋体"/>
      <w:color w:val="000000"/>
      <w:szCs w:val="24"/>
    </w:rPr>
  </w:style>
  <w:style w:type="paragraph" w:customStyle="1" w:styleId="34">
    <w:name w:val="纯文本1"/>
    <w:basedOn w:val="1"/>
    <w:qFormat/>
    <w:uiPriority w:val="0"/>
    <w:pPr>
      <w:adjustRightInd w:val="0"/>
    </w:pPr>
    <w:rPr>
      <w:rFonts w:ascii="宋体" w:hAnsi="Courier New"/>
    </w:rPr>
  </w:style>
  <w:style w:type="paragraph" w:customStyle="1" w:styleId="35">
    <w:name w:val="Char Char Char Char Char Char1 Char Char Char Char"/>
    <w:basedOn w:val="1"/>
    <w:next w:val="1"/>
    <w:semiHidden/>
    <w:qFormat/>
    <w:uiPriority w:val="0"/>
    <w:pPr>
      <w:ind w:firstLine="200"/>
    </w:pPr>
    <w:rPr>
      <w:rFonts w:ascii="宋体" w:hAnsi="宋体" w:cs="宋体"/>
      <w:szCs w:val="21"/>
    </w:rPr>
  </w:style>
  <w:style w:type="paragraph" w:customStyle="1" w:styleId="36">
    <w:name w:val="1正文段落"/>
    <w:basedOn w:val="1"/>
    <w:qFormat/>
    <w:uiPriority w:val="0"/>
    <w:pPr>
      <w:ind w:firstLine="480"/>
      <w:jc w:val="left"/>
    </w:pPr>
    <w:rPr>
      <w:snapToGrid w:val="0"/>
      <w:kern w:val="0"/>
    </w:rPr>
  </w:style>
  <w:style w:type="paragraph" w:customStyle="1" w:styleId="37">
    <w:name w:val="Table Paragraph"/>
    <w:basedOn w:val="1"/>
    <w:qFormat/>
    <w:uiPriority w:val="1"/>
    <w:rPr>
      <w:rFonts w:ascii="宋体" w:hAnsi="宋体" w:cs="宋体"/>
      <w:lang w:val="zh-CN" w:bidi="zh-CN"/>
    </w:rPr>
  </w:style>
  <w:style w:type="paragraph" w:customStyle="1" w:styleId="38">
    <w:name w:val="Table Text"/>
    <w:basedOn w:val="1"/>
    <w:semiHidden/>
    <w:qFormat/>
    <w:uiPriority w:val="0"/>
    <w:rPr>
      <w:rFonts w:ascii="宋体" w:hAnsi="宋体" w:cs="宋体"/>
      <w:sz w:val="28"/>
      <w:szCs w:val="28"/>
      <w:lang w:eastAsia="en-US"/>
    </w:r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简单回函地址"/>
    <w:basedOn w:val="1"/>
    <w:qFormat/>
    <w:uiPriority w:val="0"/>
  </w:style>
  <w:style w:type="paragraph" w:customStyle="1" w:styleId="41">
    <w:name w:val="1-正文"/>
    <w:basedOn w:val="1"/>
    <w:qFormat/>
    <w:uiPriority w:val="0"/>
    <w:pPr>
      <w:widowControl/>
      <w:ind w:firstLine="200"/>
    </w:pPr>
    <w:rPr>
      <w:rFonts w:cs="Arial"/>
      <w:szCs w:val="22"/>
    </w:rPr>
  </w:style>
  <w:style w:type="paragraph" w:customStyle="1" w:styleId="42">
    <w:name w:val="正文修改"/>
    <w:basedOn w:val="1"/>
    <w:qFormat/>
    <w:uiPriority w:val="0"/>
    <w:pPr>
      <w:ind w:firstLine="480"/>
    </w:pPr>
    <w:rPr>
      <w:rFonts w:cs="宋体"/>
      <w:kern w:val="0"/>
    </w:rPr>
  </w:style>
  <w:style w:type="paragraph" w:customStyle="1" w:styleId="43">
    <w:name w:val="4正文"/>
    <w:basedOn w:val="1"/>
    <w:qFormat/>
    <w:uiPriority w:val="0"/>
    <w:pPr>
      <w:ind w:firstLine="480"/>
    </w:pPr>
  </w:style>
  <w:style w:type="paragraph" w:customStyle="1" w:styleId="44">
    <w:name w:val="段"/>
    <w:next w:val="1"/>
    <w:qFormat/>
    <w:uiPriority w:val="99"/>
    <w:pPr>
      <w:autoSpaceDE w:val="0"/>
      <w:autoSpaceDN w:val="0"/>
      <w:ind w:firstLine="200"/>
      <w:jc w:val="both"/>
    </w:pPr>
    <w:rPr>
      <w:rFonts w:ascii="宋体" w:hAnsi="Times New Roman" w:eastAsia="宋体" w:cs="Times New Roman"/>
      <w:sz w:val="21"/>
      <w:szCs w:val="22"/>
      <w:lang w:val="en-US" w:eastAsia="zh-CN" w:bidi="ar-SA"/>
    </w:rPr>
  </w:style>
  <w:style w:type="paragraph" w:customStyle="1" w:styleId="45">
    <w:name w:val="首行缩进:  2 字符"/>
    <w:basedOn w:val="1"/>
    <w:qFormat/>
    <w:uiPriority w:val="0"/>
    <w:pPr>
      <w:spacing w:line="440" w:lineRule="exact"/>
      <w:ind w:firstLine="200"/>
    </w:pPr>
    <w:rPr>
      <w:rFonts w:eastAsia="仿宋_GB2312" w:cs="宋体"/>
    </w:rPr>
  </w:style>
  <w:style w:type="paragraph" w:customStyle="1" w:styleId="46">
    <w:name w:val="正式文本"/>
    <w:basedOn w:val="1"/>
    <w:qFormat/>
    <w:uiPriority w:val="0"/>
    <w:pPr>
      <w:adjustRightInd w:val="0"/>
      <w:snapToGrid w:val="0"/>
      <w:ind w:firstLine="420"/>
      <w:jc w:val="left"/>
    </w:pPr>
    <w:rPr>
      <w:bCs/>
      <w:szCs w:val="21"/>
    </w:rPr>
  </w:style>
  <w:style w:type="paragraph" w:customStyle="1" w:styleId="47">
    <w:name w:val="1 Char Char Char Char Char Char Char Char Char Char Char Char Char"/>
    <w:basedOn w:val="1"/>
    <w:qFormat/>
    <w:uiPriority w:val="0"/>
    <w:pPr>
      <w:widowControl/>
      <w:jc w:val="left"/>
    </w:pPr>
    <w:rPr>
      <w:rFonts w:hint="eastAsia" w:ascii="宋体" w:hAnsi="宋体"/>
      <w:kern w:val="0"/>
      <w:szCs w:val="24"/>
    </w:rPr>
  </w:style>
  <w:style w:type="paragraph" w:customStyle="1" w:styleId="48">
    <w:name w:val="五号表格"/>
    <w:basedOn w:val="1"/>
    <w:qFormat/>
    <w:uiPriority w:val="0"/>
    <w:pPr>
      <w:jc w:val="center"/>
    </w:pPr>
    <w:rPr>
      <w:color w:val="000000"/>
      <w:sz w:val="21"/>
      <w:szCs w:val="21"/>
    </w:rPr>
  </w:style>
  <w:style w:type="paragraph" w:customStyle="1" w:styleId="49">
    <w:name w:val="表头标题"/>
    <w:basedOn w:val="1"/>
    <w:qFormat/>
    <w:uiPriority w:val="0"/>
    <w:pPr>
      <w:spacing w:line="240" w:lineRule="auto"/>
      <w:ind w:firstLine="480"/>
      <w:jc w:val="center"/>
    </w:pPr>
    <w:rPr>
      <w:b/>
      <w:bCs/>
      <w:sz w:val="21"/>
    </w:rPr>
  </w:style>
  <w:style w:type="paragraph" w:customStyle="1" w:styleId="50">
    <w:name w:val="表格888"/>
    <w:basedOn w:val="1"/>
    <w:qFormat/>
    <w:uiPriority w:val="0"/>
    <w:pPr>
      <w:spacing w:line="240" w:lineRule="auto"/>
      <w:ind w:firstLine="0" w:firstLineChars="0"/>
      <w:jc w:val="center"/>
    </w:pPr>
    <w:rPr>
      <w:bCs/>
      <w:sz w:val="21"/>
    </w:rPr>
  </w:style>
  <w:style w:type="character" w:customStyle="1" w:styleId="51">
    <w:name w:val="批注框文本 Char"/>
    <w:basedOn w:val="24"/>
    <w:link w:val="16"/>
    <w:qFormat/>
    <w:uiPriority w:val="0"/>
    <w:rPr>
      <w:kern w:val="2"/>
      <w:sz w:val="18"/>
      <w:szCs w:val="18"/>
    </w:rPr>
  </w:style>
  <w:style w:type="character" w:customStyle="1" w:styleId="52">
    <w:name w:val="批注文字 Char"/>
    <w:basedOn w:val="24"/>
    <w:link w:val="9"/>
    <w:qFormat/>
    <w:uiPriority w:val="99"/>
    <w:rPr>
      <w:kern w:val="2"/>
      <w:sz w:val="24"/>
    </w:rPr>
  </w:style>
  <w:style w:type="character" w:customStyle="1" w:styleId="53">
    <w:name w:val="批注主题 Char"/>
    <w:basedOn w:val="52"/>
    <w:link w:val="21"/>
    <w:qFormat/>
    <w:uiPriority w:val="0"/>
  </w:style>
  <w:style w:type="character" w:customStyle="1" w:styleId="54">
    <w:name w:val="font11"/>
    <w:basedOn w:val="24"/>
    <w:qFormat/>
    <w:uiPriority w:val="0"/>
    <w:rPr>
      <w:rFonts w:hint="eastAsia" w:ascii="宋体" w:hAnsi="宋体" w:eastAsia="宋体" w:cs="宋体"/>
      <w:color w:val="000000"/>
      <w:sz w:val="21"/>
      <w:szCs w:val="21"/>
      <w:u w:val="none"/>
    </w:rPr>
  </w:style>
  <w:style w:type="character" w:customStyle="1" w:styleId="55">
    <w:name w:val="font21"/>
    <w:basedOn w:val="24"/>
    <w:qFormat/>
    <w:uiPriority w:val="0"/>
    <w:rPr>
      <w:rFonts w:hint="default" w:ascii="Times New Roman" w:hAnsi="Times New Roman" w:cs="Times New Roman"/>
      <w:color w:val="000000"/>
      <w:sz w:val="21"/>
      <w:szCs w:val="21"/>
      <w:u w:val="none"/>
    </w:rPr>
  </w:style>
  <w:style w:type="character" w:customStyle="1" w:styleId="56">
    <w:name w:val="font31"/>
    <w:basedOn w:val="24"/>
    <w:qFormat/>
    <w:uiPriority w:val="0"/>
    <w:rPr>
      <w:rFonts w:hint="default" w:ascii="Times New Roman" w:hAnsi="Times New Roman" w:cs="Times New Roman"/>
      <w:color w:val="000000"/>
      <w:sz w:val="21"/>
      <w:szCs w:val="21"/>
      <w:u w:val="none"/>
      <w:vertAlign w:val="superscript"/>
    </w:rPr>
  </w:style>
  <w:style w:type="paragraph" w:customStyle="1" w:styleId="57">
    <w:name w:val="样式12"/>
    <w:basedOn w:val="1"/>
    <w:qFormat/>
    <w:uiPriority w:val="0"/>
    <w:pPr>
      <w:jc w:val="center"/>
    </w:pPr>
    <w:rPr>
      <w:szCs w:val="21"/>
    </w:rPr>
  </w:style>
  <w:style w:type="paragraph" w:customStyle="1" w:styleId="58">
    <w:name w:val="表中文字"/>
    <w:basedOn w:val="1"/>
    <w:semiHidden/>
    <w:qFormat/>
    <w:uiPriority w:val="0"/>
    <w:pPr>
      <w:widowControl/>
      <w:snapToGrid w:val="0"/>
      <w:spacing w:line="240" w:lineRule="auto"/>
      <w:jc w:val="center"/>
    </w:pPr>
    <w:rPr>
      <w:rFonts w:ascii="宋体" w:hAnsi="宋体" w:cs="宋体"/>
      <w:snapToGrid w:val="0"/>
      <w:kern w:val="0"/>
      <w:sz w:val="21"/>
      <w:szCs w:val="21"/>
      <w:lang w:eastAsia="zh-TW"/>
    </w:rPr>
  </w:style>
  <w:style w:type="paragraph" w:customStyle="1" w:styleId="59">
    <w:name w:val="@正文缩进"/>
    <w:basedOn w:val="1"/>
    <w:qFormat/>
    <w:uiPriority w:val="0"/>
    <w:pPr>
      <w:pBdr>
        <w:top w:val="none" w:color="auto" w:sz="0" w:space="3"/>
        <w:left w:val="none" w:color="auto" w:sz="0" w:space="4"/>
        <w:bottom w:val="none" w:color="auto" w:sz="0" w:space="1"/>
        <w:right w:val="none" w:color="auto" w:sz="0" w:space="4"/>
      </w:pBdr>
      <w:spacing w:line="360" w:lineRule="auto"/>
      <w:ind w:firstLine="420" w:firstLineChars="200"/>
      <w:textAlignment w:val="baseline"/>
    </w:pPr>
    <w:rPr>
      <w:rFonts w:ascii="Times New Roman" w:hAnsi="Times New Roman" w:eastAsia="宋体"/>
      <w:sz w:val="24"/>
      <w:szCs w:val="24"/>
    </w:rPr>
  </w:style>
  <w:style w:type="character" w:customStyle="1" w:styleId="60">
    <w:name w:val="font51"/>
    <w:basedOn w:val="24"/>
    <w:qFormat/>
    <w:uiPriority w:val="0"/>
    <w:rPr>
      <w:rFonts w:hint="default" w:ascii="Calibri" w:hAnsi="Calibri" w:cs="Calibri"/>
      <w:b/>
      <w:bCs/>
      <w:color w:val="000000"/>
      <w:sz w:val="21"/>
      <w:szCs w:val="21"/>
      <w:u w:val="none"/>
      <w:vertAlign w:val="superscript"/>
    </w:rPr>
  </w:style>
  <w:style w:type="character" w:customStyle="1" w:styleId="61">
    <w:name w:val="font61"/>
    <w:basedOn w:val="24"/>
    <w:qFormat/>
    <w:uiPriority w:val="0"/>
    <w:rPr>
      <w:rFonts w:hint="default" w:ascii="Calibri" w:hAnsi="Calibri" w:cs="Calibri"/>
      <w:color w:val="000000"/>
      <w:sz w:val="21"/>
      <w:szCs w:val="21"/>
      <w:u w:val="none"/>
      <w:vertAlign w:val="superscript"/>
    </w:rPr>
  </w:style>
  <w:style w:type="character" w:customStyle="1" w:styleId="62">
    <w:name w:val="font41"/>
    <w:basedOn w:val="24"/>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2329</Words>
  <Characters>2770</Characters>
  <Lines>1</Lines>
  <Paragraphs>1</Paragraphs>
  <TotalTime>8</TotalTime>
  <ScaleCrop>false</ScaleCrop>
  <LinksUpToDate>false</LinksUpToDate>
  <CharactersWithSpaces>2879</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2025-08-13T21:53:00Z</dcterms:created>
  <dc:creator>哈哈哈</dc:creator>
  <cp:lastModifiedBy>user</cp:lastModifiedBy>
  <cp:lastPrinted>2026-08-08T16:55:00Z</cp:lastPrinted>
  <dcterms:modified xsi:type="dcterms:W3CDTF">2026-08-11T19:24:49Z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27AF1A0BF72F42119C41CCCB666E5EFD_13</vt:lpwstr>
  </property>
  <property fmtid="{D5CDD505-2E9C-101B-9397-08002B2CF9AE}" pid="4" name="KSOTemplateDocerSaveRecord">
    <vt:lpwstr>eyJoZGlkIjoiMTE2Y2U1NGFlNjk5OWMxOTlhM2M1MTM1NzEzZTE1NzAiLCJ1c2VySWQiOiIyOTUxMzc3NjYifQ==</vt:lpwstr>
  </property>
</Properties>
</file>