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DF4AD">
      <w:pPr>
        <w:rPr>
          <w:rFonts w:ascii="仿宋_GB2312" w:hAnsi="仿宋_GB2312" w:eastAsia="仿宋_GB2312" w:cs="仿宋_GB2312"/>
          <w:color w:val="auto"/>
          <w:sz w:val="36"/>
          <w:szCs w:val="36"/>
        </w:rPr>
      </w:pPr>
    </w:p>
    <w:p w14:paraId="63890812">
      <w:pPr>
        <w:rPr>
          <w:rFonts w:ascii="仿宋_GB2312" w:hAnsi="仿宋_GB2312" w:eastAsia="仿宋_GB2312" w:cs="仿宋_GB2312"/>
          <w:color w:val="auto"/>
          <w:sz w:val="36"/>
          <w:szCs w:val="36"/>
        </w:rPr>
      </w:pPr>
    </w:p>
    <w:p w14:paraId="41C43685">
      <w:pPr>
        <w:rPr>
          <w:rFonts w:ascii="仿宋_GB2312" w:hAnsi="仿宋_GB2312" w:eastAsia="仿宋_GB2312" w:cs="仿宋_GB2312"/>
          <w:color w:val="auto"/>
          <w:sz w:val="36"/>
          <w:szCs w:val="36"/>
        </w:rPr>
      </w:pPr>
    </w:p>
    <w:p w14:paraId="6992F30A">
      <w:pPr>
        <w:rPr>
          <w:rFonts w:ascii="仿宋_GB2312" w:hAnsi="仿宋_GB2312" w:eastAsia="仿宋_GB2312" w:cs="仿宋_GB2312"/>
          <w:color w:val="auto"/>
          <w:sz w:val="36"/>
          <w:szCs w:val="36"/>
        </w:rPr>
      </w:pPr>
    </w:p>
    <w:p w14:paraId="32A106BE">
      <w:pPr>
        <w:rPr>
          <w:rFonts w:hint="eastAsia" w:ascii="仿宋_GB2312" w:hAnsi="仿宋_GB2312" w:eastAsia="仿宋_GB2312" w:cs="仿宋_GB2312"/>
          <w:color w:val="auto"/>
          <w:sz w:val="36"/>
          <w:szCs w:val="36"/>
        </w:rPr>
      </w:pPr>
    </w:p>
    <w:p w14:paraId="751048FC">
      <w:pPr>
        <w:adjustRightInd w:val="0"/>
        <w:snapToGrid w:val="0"/>
        <w:jc w:val="center"/>
        <w:outlineLvl w:val="0"/>
        <w:rPr>
          <w:rFonts w:hint="eastAsia" w:ascii="方正小标宋_GBK" w:eastAsia="方正小标宋_GBK"/>
          <w:bCs/>
          <w:color w:val="auto"/>
          <w:sz w:val="72"/>
          <w:szCs w:val="72"/>
        </w:rPr>
      </w:pPr>
      <w:bookmarkStart w:id="0" w:name="_Toc8780"/>
      <w:r>
        <w:rPr>
          <w:rFonts w:hint="eastAsia" w:ascii="方正小标宋_GBK" w:eastAsia="方正小标宋_GBK"/>
          <w:bCs/>
          <w:color w:val="auto"/>
          <w:sz w:val="72"/>
          <w:szCs w:val="72"/>
        </w:rPr>
        <w:t>建设项目环境影响报告表</w:t>
      </w:r>
      <w:bookmarkEnd w:id="0"/>
    </w:p>
    <w:p w14:paraId="64BAF46A">
      <w:pPr>
        <w:adjustRightInd w:val="0"/>
        <w:snapToGrid w:val="0"/>
        <w:spacing w:before="192"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589FEA94">
      <w:pPr>
        <w:bidi w:val="0"/>
        <w:rPr>
          <w:color w:val="auto"/>
          <w:sz w:val="72"/>
          <w:szCs w:val="144"/>
        </w:rPr>
      </w:pPr>
    </w:p>
    <w:p w14:paraId="4457F8E3">
      <w:pPr>
        <w:bidi w:val="0"/>
        <w:rPr>
          <w:color w:val="auto"/>
          <w:sz w:val="72"/>
          <w:szCs w:val="144"/>
        </w:rPr>
      </w:pPr>
    </w:p>
    <w:p w14:paraId="0C4A93C1">
      <w:pPr>
        <w:bidi w:val="0"/>
        <w:rPr>
          <w:color w:val="auto"/>
          <w:sz w:val="72"/>
          <w:szCs w:val="144"/>
        </w:rPr>
      </w:pPr>
    </w:p>
    <w:p w14:paraId="28B16353">
      <w:pPr>
        <w:bidi w:val="0"/>
        <w:rPr>
          <w:color w:val="auto"/>
          <w:sz w:val="72"/>
          <w:szCs w:val="144"/>
        </w:rPr>
      </w:pPr>
    </w:p>
    <w:p w14:paraId="48D97B15">
      <w:pPr>
        <w:bidi w:val="0"/>
        <w:rPr>
          <w:color w:val="auto"/>
          <w:sz w:val="72"/>
          <w:szCs w:val="144"/>
        </w:rPr>
      </w:pPr>
    </w:p>
    <w:p w14:paraId="3D531957">
      <w:pPr>
        <w:ind w:firstLine="1040"/>
        <w:rPr>
          <w:rFonts w:eastAsia="仿宋"/>
          <w:color w:val="auto"/>
          <w:sz w:val="44"/>
          <w:szCs w:val="44"/>
        </w:rPr>
      </w:pPr>
    </w:p>
    <w:p w14:paraId="3ACC8916">
      <w:pPr>
        <w:ind w:firstLine="1040"/>
        <w:rPr>
          <w:rFonts w:eastAsia="仿宋"/>
          <w:color w:val="auto"/>
          <w:sz w:val="44"/>
          <w:szCs w:val="44"/>
        </w:rPr>
      </w:pPr>
    </w:p>
    <w:p w14:paraId="62BD51B6">
      <w:pPr>
        <w:ind w:firstLine="1040"/>
        <w:rPr>
          <w:rFonts w:eastAsia="仿宋"/>
          <w:color w:val="auto"/>
          <w:sz w:val="44"/>
          <w:szCs w:val="44"/>
        </w:rPr>
      </w:pPr>
    </w:p>
    <w:p w14:paraId="1DFBC5F1">
      <w:pPr>
        <w:adjustRightInd w:val="0"/>
        <w:snapToGrid w:val="0"/>
        <w:spacing w:line="288" w:lineRule="auto"/>
        <w:rPr>
          <w:rFonts w:hint="default" w:ascii="仿宋_GB2312" w:hAnsi="Times New Roman" w:eastAsia="仿宋_GB2312" w:cs="Times New Roman"/>
          <w:color w:val="auto"/>
          <w:sz w:val="36"/>
          <w:szCs w:val="36"/>
          <w:lang w:val="en-US"/>
        </w:rPr>
      </w:pPr>
      <w:r>
        <w:rPr>
          <w:rFonts w:hint="eastAsia" w:ascii="仿宋_GB2312" w:eastAsia="仿宋_GB2312"/>
          <w:color w:val="auto"/>
          <w:sz w:val="36"/>
          <w:szCs w:val="36"/>
        </w:rPr>
        <w:t>项目名称：</w:t>
      </w:r>
      <w:r>
        <w:rPr>
          <w:rFonts w:hint="eastAsia" w:ascii="仿宋_GB2312" w:hAnsi="Times New Roman" w:eastAsia="仿宋_GB2312" w:cs="Times New Roman"/>
          <w:color w:val="auto"/>
          <w:sz w:val="28"/>
          <w:szCs w:val="28"/>
          <w:u w:val="single"/>
          <w:lang w:val="en-US" w:eastAsia="zh-CN"/>
        </w:rPr>
        <w:t xml:space="preserve">G3033奎屯-独山子-库车高速公路建设项目KDK-TJSG-2标段项目总承包部项目经理2部1#、3#斜井综合场站建设项目          </w:t>
      </w:r>
    </w:p>
    <w:p w14:paraId="064C6482">
      <w:pPr>
        <w:adjustRightInd w:val="0"/>
        <w:snapToGrid w:val="0"/>
        <w:spacing w:line="288" w:lineRule="auto"/>
        <w:rPr>
          <w:rFonts w:hint="default" w:ascii="仿宋_GB2312" w:hAnsi="Times New Roman" w:eastAsia="仿宋_GB2312" w:cs="Times New Roman"/>
          <w:color w:val="auto"/>
          <w:sz w:val="36"/>
          <w:szCs w:val="36"/>
          <w:u w:val="single"/>
          <w:lang w:val="en-US" w:eastAsia="zh-CN"/>
        </w:rPr>
      </w:pPr>
      <w:r>
        <w:rPr>
          <w:rFonts w:hint="eastAsia" w:ascii="仿宋_GB2312" w:eastAsia="仿宋_GB2312"/>
          <w:color w:val="auto"/>
          <w:sz w:val="36"/>
          <w:szCs w:val="36"/>
        </w:rPr>
        <w:t>建设单位：</w:t>
      </w:r>
      <w:r>
        <w:rPr>
          <w:rFonts w:hint="eastAsia" w:ascii="仿宋_GB2312" w:eastAsia="仿宋_GB2312"/>
          <w:color w:val="auto"/>
          <w:sz w:val="36"/>
          <w:szCs w:val="36"/>
          <w:u w:val="single"/>
          <w:lang w:val="en-US" w:eastAsia="zh-CN"/>
        </w:rPr>
        <w:t xml:space="preserve">       </w:t>
      </w:r>
      <w:r>
        <w:rPr>
          <w:rFonts w:hint="eastAsia" w:ascii="仿宋_GB2312" w:hAnsi="Times New Roman" w:eastAsia="仿宋_GB2312" w:cs="Times New Roman"/>
          <w:color w:val="auto"/>
          <w:sz w:val="36"/>
          <w:szCs w:val="36"/>
          <w:u w:val="single"/>
          <w:lang w:val="en-US" w:eastAsia="zh-CN"/>
        </w:rPr>
        <w:t xml:space="preserve">安阳睿耀建筑工程有限公司        </w:t>
      </w:r>
    </w:p>
    <w:p w14:paraId="2D165BED">
      <w:pPr>
        <w:adjustRightInd w:val="0"/>
        <w:snapToGrid w:val="0"/>
        <w:spacing w:line="288" w:lineRule="auto"/>
        <w:rPr>
          <w:rFonts w:hint="eastAsia"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二〇二六年七</w:t>
      </w:r>
      <w:bookmarkStart w:id="12" w:name="_GoBack"/>
      <w:bookmarkEnd w:id="12"/>
      <w:r>
        <w:rPr>
          <w:rFonts w:hint="eastAsia" w:ascii="仿宋_GB2312" w:eastAsia="仿宋_GB2312"/>
          <w:color w:val="auto"/>
          <w:sz w:val="36"/>
          <w:szCs w:val="36"/>
          <w:u w:val="single"/>
          <w:lang w:val="en-US" w:eastAsia="zh-CN"/>
        </w:rPr>
        <w:t>月</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14:paraId="0BCC96DC">
      <w:pPr>
        <w:adjustRightInd w:val="0"/>
        <w:snapToGrid w:val="0"/>
        <w:spacing w:line="288" w:lineRule="auto"/>
        <w:ind w:firstLine="1040"/>
        <w:rPr>
          <w:rFonts w:hint="eastAsia" w:ascii="仿宋_GB2312" w:eastAsia="仿宋_GB2312"/>
          <w:color w:val="auto"/>
          <w:sz w:val="36"/>
          <w:szCs w:val="36"/>
        </w:rPr>
      </w:pPr>
      <w:bookmarkStart w:id="1" w:name="_Hlk57884087"/>
    </w:p>
    <w:bookmarkEnd w:id="1"/>
    <w:p w14:paraId="366AFA6D">
      <w:pPr>
        <w:adjustRightInd w:val="0"/>
        <w:snapToGrid w:val="0"/>
        <w:spacing w:line="288" w:lineRule="auto"/>
        <w:jc w:val="center"/>
        <w:rPr>
          <w:rFonts w:hint="eastAsia" w:ascii="楷体_GB2312" w:eastAsia="楷体_GB2312"/>
          <w:color w:val="auto"/>
          <w:sz w:val="36"/>
          <w:szCs w:val="36"/>
        </w:rPr>
      </w:pPr>
      <w:r>
        <w:rPr>
          <w:rFonts w:hint="eastAsia" w:ascii="楷体_GB2312" w:eastAsia="楷体_GB2312"/>
          <w:color w:val="auto"/>
          <w:sz w:val="36"/>
          <w:szCs w:val="36"/>
        </w:rPr>
        <w:t>中华人民共和国生态环境部制</w:t>
      </w:r>
    </w:p>
    <w:p w14:paraId="75B2392C">
      <w:pPr>
        <w:adjustRightInd w:val="0"/>
        <w:snapToGrid w:val="0"/>
        <w:spacing w:line="288" w:lineRule="auto"/>
        <w:ind w:firstLine="1040"/>
        <w:rPr>
          <w:rFonts w:ascii="仿宋_GB2312" w:eastAsia="仿宋_GB2312"/>
          <w:color w:val="auto"/>
          <w:sz w:val="36"/>
          <w:szCs w:val="36"/>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7ABE96B1">
      <w:pPr>
        <w:bidi w:val="0"/>
        <w:jc w:val="center"/>
        <w:rPr>
          <w:rFonts w:hint="eastAsia" w:eastAsia="宋体"/>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2193C07B">
      <w:pPr>
        <w:spacing w:before="0" w:beforeLines="0" w:after="0" w:afterLines="0" w:line="240" w:lineRule="auto"/>
        <w:ind w:left="0" w:leftChars="0" w:right="0" w:rightChars="0" w:firstLine="0" w:firstLineChars="0"/>
        <w:jc w:val="center"/>
        <w:rPr>
          <w:rFonts w:ascii="宋体" w:hAnsi="宋体" w:eastAsia="宋体"/>
          <w:color w:val="auto"/>
          <w:sz w:val="28"/>
          <w:szCs w:val="36"/>
        </w:rPr>
      </w:pPr>
      <w:r>
        <w:rPr>
          <w:rFonts w:ascii="宋体" w:hAnsi="宋体" w:eastAsia="宋体"/>
          <w:color w:val="auto"/>
          <w:sz w:val="28"/>
          <w:szCs w:val="36"/>
        </w:rPr>
        <w:t>目录</w:t>
      </w:r>
    </w:p>
    <w:p w14:paraId="2A30B174">
      <w:pPr>
        <w:spacing w:before="0" w:beforeLines="0" w:after="0" w:afterLines="0" w:line="240" w:lineRule="auto"/>
        <w:ind w:left="0" w:leftChars="0" w:right="0" w:rightChars="0" w:firstLine="0" w:firstLineChars="0"/>
        <w:jc w:val="center"/>
        <w:rPr>
          <w:rFonts w:ascii="宋体" w:hAnsi="宋体" w:eastAsia="宋体"/>
          <w:color w:val="auto"/>
          <w:sz w:val="28"/>
          <w:szCs w:val="36"/>
        </w:rPr>
      </w:pPr>
    </w:p>
    <w:p w14:paraId="762DCBED">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ascii="仿宋_GB2312" w:eastAsia="仿宋_GB2312"/>
          <w:color w:val="auto"/>
          <w:sz w:val="36"/>
          <w:szCs w:val="36"/>
        </w:rPr>
        <w:fldChar w:fldCharType="begin"/>
      </w:r>
      <w:r>
        <w:rPr>
          <w:rFonts w:ascii="仿宋_GB2312" w:eastAsia="仿宋_GB2312"/>
          <w:color w:val="auto"/>
          <w:sz w:val="36"/>
          <w:szCs w:val="36"/>
        </w:rPr>
        <w:instrText xml:space="preserve">TOC \o "1-1" \h \u </w:instrText>
      </w:r>
      <w:r>
        <w:rPr>
          <w:rFonts w:ascii="仿宋_GB2312" w:eastAsia="仿宋_GB2312"/>
          <w:color w:val="auto"/>
          <w:sz w:val="36"/>
          <w:szCs w:val="36"/>
        </w:rPr>
        <w:fldChar w:fldCharType="separate"/>
      </w: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_Toc19115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一、建设项目基本情况</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_Toc19115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1</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1A305421">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_Toc3690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二、建设项目工程分析</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_Toc3690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7</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2EDDA94F">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_Toc9861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三、区域环境质量现状、环境保护目标及评价标准</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_Toc9861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18</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4893BF1A">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_Toc9822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四、主要环境影响和保护措施</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_Toc9822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26</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13307E84">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_Toc14272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五、环境保护措施监督检查清单</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_Toc14272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46</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0C5EF2A6">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_Toc21635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36"/>
        </w:rPr>
        <w:t>六、结论</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_Toc21635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48</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6FB0747E">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44"/>
        </w:rPr>
        <w:fldChar w:fldCharType="begin"/>
      </w:r>
      <w:r>
        <w:rPr>
          <w:rFonts w:hint="default" w:ascii="Times New Roman" w:hAnsi="Times New Roman" w:eastAsia="宋体" w:cs="Times New Roman"/>
          <w:color w:val="auto"/>
          <w:sz w:val="24"/>
          <w:szCs w:val="44"/>
        </w:rPr>
        <w:instrText xml:space="preserve"> HYPERLINK \l _Toc16497 </w:instrText>
      </w:r>
      <w:r>
        <w:rPr>
          <w:rFonts w:hint="default" w:ascii="Times New Roman" w:hAnsi="Times New Roman" w:eastAsia="宋体" w:cs="Times New Roman"/>
          <w:color w:val="auto"/>
          <w:sz w:val="24"/>
          <w:szCs w:val="44"/>
        </w:rPr>
        <w:fldChar w:fldCharType="separate"/>
      </w:r>
      <w:r>
        <w:rPr>
          <w:rFonts w:hint="default" w:ascii="Times New Roman" w:hAnsi="Times New Roman" w:eastAsia="宋体" w:cs="Times New Roman"/>
          <w:snapToGrid w:val="0"/>
          <w:color w:val="auto"/>
          <w:sz w:val="24"/>
          <w:szCs w:val="40"/>
        </w:rPr>
        <w:t>附表</w:t>
      </w:r>
      <w:r>
        <w:rPr>
          <w:rFonts w:hint="default" w:ascii="Times New Roman" w:hAnsi="Times New Roman" w:eastAsia="宋体" w:cs="Times New Roman"/>
          <w:color w:val="auto"/>
          <w:sz w:val="24"/>
          <w:szCs w:val="32"/>
        </w:rPr>
        <w:tab/>
      </w:r>
      <w:r>
        <w:rPr>
          <w:rFonts w:hint="default" w:ascii="Times New Roman" w:hAnsi="Times New Roman" w:eastAsia="宋体" w:cs="Times New Roman"/>
          <w:color w:val="auto"/>
          <w:sz w:val="24"/>
          <w:szCs w:val="32"/>
        </w:rPr>
        <w:fldChar w:fldCharType="begin"/>
      </w:r>
      <w:r>
        <w:rPr>
          <w:rFonts w:hint="default" w:ascii="Times New Roman" w:hAnsi="Times New Roman" w:eastAsia="宋体" w:cs="Times New Roman"/>
          <w:color w:val="auto"/>
          <w:sz w:val="24"/>
          <w:szCs w:val="32"/>
        </w:rPr>
        <w:instrText xml:space="preserve"> PAGEREF _Toc16497 \h </w:instrText>
      </w:r>
      <w:r>
        <w:rPr>
          <w:rFonts w:hint="default" w:ascii="Times New Roman" w:hAnsi="Times New Roman" w:eastAsia="宋体" w:cs="Times New Roman"/>
          <w:color w:val="auto"/>
          <w:sz w:val="24"/>
          <w:szCs w:val="32"/>
        </w:rPr>
        <w:fldChar w:fldCharType="separate"/>
      </w:r>
      <w:r>
        <w:rPr>
          <w:rFonts w:hint="default" w:ascii="Times New Roman" w:hAnsi="Times New Roman" w:eastAsia="宋体" w:cs="Times New Roman"/>
          <w:color w:val="auto"/>
          <w:sz w:val="24"/>
          <w:szCs w:val="32"/>
        </w:rPr>
        <w:t>49</w:t>
      </w:r>
      <w:r>
        <w:rPr>
          <w:rFonts w:hint="default" w:ascii="Times New Roman" w:hAnsi="Times New Roman" w:eastAsia="宋体" w:cs="Times New Roman"/>
          <w:color w:val="auto"/>
          <w:sz w:val="24"/>
          <w:szCs w:val="32"/>
        </w:rPr>
        <w:fldChar w:fldCharType="end"/>
      </w:r>
      <w:r>
        <w:rPr>
          <w:rFonts w:hint="default" w:ascii="Times New Roman" w:hAnsi="Times New Roman" w:eastAsia="宋体" w:cs="Times New Roman"/>
          <w:color w:val="auto"/>
          <w:sz w:val="24"/>
          <w:szCs w:val="44"/>
        </w:rPr>
        <w:fldChar w:fldCharType="end"/>
      </w:r>
    </w:p>
    <w:p w14:paraId="7C1EF7C9">
      <w:pPr>
        <w:pStyle w:val="21"/>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color w:val="auto"/>
        </w:rPr>
      </w:pPr>
    </w:p>
    <w:p w14:paraId="2D30EBD5">
      <w:pPr>
        <w:adjustRightInd w:val="0"/>
        <w:snapToGrid w:val="0"/>
        <w:spacing w:line="288" w:lineRule="auto"/>
        <w:ind w:firstLine="1040"/>
        <w:rPr>
          <w:rFonts w:ascii="仿宋_GB2312" w:eastAsia="仿宋_GB2312"/>
          <w:color w:val="auto"/>
          <w:szCs w:val="36"/>
        </w:rPr>
      </w:pPr>
      <w:r>
        <w:rPr>
          <w:rFonts w:ascii="仿宋_GB2312" w:eastAsia="仿宋_GB2312"/>
          <w:color w:val="auto"/>
          <w:szCs w:val="36"/>
        </w:rPr>
        <w:fldChar w:fldCharType="end"/>
      </w:r>
    </w:p>
    <w:p w14:paraId="486C870B">
      <w:pPr>
        <w:adjustRightInd w:val="0"/>
        <w:snapToGrid w:val="0"/>
        <w:spacing w:line="288" w:lineRule="auto"/>
        <w:ind w:firstLine="1040"/>
        <w:rPr>
          <w:rFonts w:ascii="仿宋_GB2312" w:eastAsia="仿宋_GB2312"/>
          <w:color w:val="auto"/>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2230F8EC">
      <w:pPr>
        <w:pStyle w:val="24"/>
        <w:jc w:val="center"/>
        <w:outlineLvl w:val="0"/>
        <w:rPr>
          <w:rFonts w:hint="eastAsia" w:ascii="黑体" w:hAnsi="黑体" w:eastAsia="黑体"/>
          <w:snapToGrid w:val="0"/>
          <w:color w:val="auto"/>
          <w:sz w:val="30"/>
          <w:szCs w:val="30"/>
        </w:rPr>
      </w:pPr>
      <w:bookmarkStart w:id="2" w:name="_Toc19115"/>
      <w:r>
        <w:rPr>
          <w:rFonts w:hint="eastAsia" w:ascii="黑体" w:hAnsi="黑体" w:eastAsia="黑体"/>
          <w:snapToGrid w:val="0"/>
          <w:color w:val="auto"/>
          <w:sz w:val="30"/>
          <w:szCs w:val="30"/>
        </w:rPr>
        <w:t>一、建设项目基本情况</w:t>
      </w:r>
      <w:bookmarkEnd w:id="2"/>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82"/>
        <w:gridCol w:w="1637"/>
        <w:gridCol w:w="2212"/>
        <w:gridCol w:w="2639"/>
      </w:tblGrid>
      <w:tr w14:paraId="07F8E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3A6D26B9">
            <w:pPr>
              <w:adjustRightInd w:val="0"/>
              <w:snapToGrid w:val="0"/>
              <w:jc w:val="center"/>
              <w:rPr>
                <w:rFonts w:ascii="宋体" w:hAnsi="宋体" w:cs="宋体"/>
                <w:color w:val="auto"/>
                <w:sz w:val="24"/>
                <w:szCs w:val="24"/>
              </w:rPr>
            </w:pPr>
            <w:r>
              <w:rPr>
                <w:rFonts w:hint="eastAsia" w:ascii="宋体" w:hAnsi="宋体" w:cs="宋体"/>
                <w:color w:val="auto"/>
                <w:sz w:val="24"/>
                <w:szCs w:val="24"/>
              </w:rPr>
              <w:t>建设项目名称</w:t>
            </w:r>
          </w:p>
        </w:tc>
        <w:tc>
          <w:tcPr>
            <w:tcW w:w="6488" w:type="dxa"/>
            <w:gridSpan w:val="3"/>
            <w:noWrap w:val="0"/>
            <w:vAlign w:val="center"/>
          </w:tcPr>
          <w:p w14:paraId="6D110E3C">
            <w:pPr>
              <w:adjustRightInd w:val="0"/>
              <w:snapToGrid w:val="0"/>
              <w:jc w:val="center"/>
              <w:rPr>
                <w:rFonts w:hint="default" w:ascii="宋体" w:hAnsi="宋体" w:cs="宋体"/>
                <w:color w:val="auto"/>
                <w:sz w:val="24"/>
                <w:szCs w:val="24"/>
                <w:lang w:val="en-US"/>
              </w:rPr>
            </w:pPr>
            <w:r>
              <w:rPr>
                <w:rFonts w:hint="eastAsia" w:ascii="Times New Roman" w:hAnsi="Times New Roman" w:eastAsia="宋体" w:cs="Times New Roman"/>
                <w:color w:val="auto"/>
                <w:sz w:val="24"/>
                <w:szCs w:val="32"/>
                <w:lang w:val="en-US" w:eastAsia="zh-CN"/>
              </w:rPr>
              <w:t>G3033奎屯-独山子-库车高速公路建设项目KDK-TJSG-2标段项目总承包部项目经理2部1#、3#斜井综合场站建设项目</w:t>
            </w:r>
          </w:p>
        </w:tc>
      </w:tr>
      <w:tr w14:paraId="0C715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7CA138CB">
            <w:pPr>
              <w:adjustRightInd w:val="0"/>
              <w:snapToGrid w:val="0"/>
              <w:jc w:val="center"/>
              <w:rPr>
                <w:rFonts w:ascii="宋体" w:hAnsi="宋体" w:cs="宋体"/>
                <w:color w:val="auto"/>
                <w:sz w:val="24"/>
                <w:szCs w:val="24"/>
              </w:rPr>
            </w:pPr>
            <w:r>
              <w:rPr>
                <w:rFonts w:hint="eastAsia" w:ascii="宋体" w:hAnsi="宋体" w:cs="宋体"/>
                <w:color w:val="auto"/>
                <w:sz w:val="24"/>
                <w:szCs w:val="24"/>
              </w:rPr>
              <w:t>项目代码</w:t>
            </w:r>
          </w:p>
        </w:tc>
        <w:tc>
          <w:tcPr>
            <w:tcW w:w="6488" w:type="dxa"/>
            <w:gridSpan w:val="3"/>
            <w:noWrap w:val="0"/>
            <w:vAlign w:val="center"/>
          </w:tcPr>
          <w:p w14:paraId="67A55A29">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无</w:t>
            </w:r>
          </w:p>
        </w:tc>
      </w:tr>
      <w:tr w14:paraId="656FE1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778BCC0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建设单位联系人</w:t>
            </w:r>
          </w:p>
        </w:tc>
        <w:tc>
          <w:tcPr>
            <w:tcW w:w="1637" w:type="dxa"/>
            <w:noWrap w:val="0"/>
            <w:vAlign w:val="center"/>
          </w:tcPr>
          <w:p w14:paraId="3BEB9731">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w:t>
            </w:r>
          </w:p>
        </w:tc>
        <w:tc>
          <w:tcPr>
            <w:tcW w:w="2212" w:type="dxa"/>
            <w:noWrap w:val="0"/>
            <w:vAlign w:val="center"/>
          </w:tcPr>
          <w:p w14:paraId="2B903965">
            <w:pPr>
              <w:adjustRightInd w:val="0"/>
              <w:snapToGrid w:val="0"/>
              <w:jc w:val="center"/>
              <w:rPr>
                <w:rFonts w:ascii="宋体" w:hAnsi="宋体" w:cs="宋体"/>
                <w:color w:val="auto"/>
                <w:sz w:val="24"/>
                <w:szCs w:val="24"/>
              </w:rPr>
            </w:pPr>
            <w:r>
              <w:rPr>
                <w:rFonts w:hint="default" w:ascii="Times New Roman" w:hAnsi="Times New Roman" w:cs="Times New Roman"/>
                <w:color w:val="auto"/>
                <w:sz w:val="24"/>
                <w:szCs w:val="24"/>
              </w:rPr>
              <w:t>联系方式</w:t>
            </w:r>
          </w:p>
        </w:tc>
        <w:tc>
          <w:tcPr>
            <w:tcW w:w="2639" w:type="dxa"/>
            <w:noWrap w:val="0"/>
            <w:vAlign w:val="center"/>
          </w:tcPr>
          <w:p w14:paraId="1B43744D">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w:t>
            </w:r>
          </w:p>
        </w:tc>
      </w:tr>
      <w:tr w14:paraId="216F04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6262D4B2">
            <w:pPr>
              <w:adjustRightInd w:val="0"/>
              <w:snapToGrid w:val="0"/>
              <w:jc w:val="center"/>
              <w:rPr>
                <w:rFonts w:ascii="宋体" w:hAnsi="宋体" w:cs="宋体"/>
                <w:color w:val="auto"/>
                <w:sz w:val="24"/>
                <w:szCs w:val="24"/>
              </w:rPr>
            </w:pPr>
            <w:r>
              <w:rPr>
                <w:rFonts w:hint="eastAsia" w:ascii="宋体" w:hAnsi="宋体" w:cs="宋体"/>
                <w:color w:val="auto"/>
                <w:sz w:val="24"/>
                <w:szCs w:val="24"/>
              </w:rPr>
              <w:t>建设地点</w:t>
            </w:r>
          </w:p>
        </w:tc>
        <w:tc>
          <w:tcPr>
            <w:tcW w:w="6488" w:type="dxa"/>
            <w:gridSpan w:val="3"/>
            <w:noWrap w:val="0"/>
            <w:vAlign w:val="center"/>
          </w:tcPr>
          <w:p w14:paraId="5C4D24BE">
            <w:pPr>
              <w:adjustRightInd w:val="0"/>
              <w:snapToGrid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新疆维吾尔自治区塔城地区乌苏市</w:t>
            </w:r>
          </w:p>
        </w:tc>
      </w:tr>
      <w:tr w14:paraId="29AEE5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4" w:hRule="atLeast"/>
          <w:jc w:val="center"/>
        </w:trPr>
        <w:tc>
          <w:tcPr>
            <w:tcW w:w="2382" w:type="dxa"/>
            <w:noWrap w:val="0"/>
            <w:tcMar>
              <w:top w:w="16" w:type="dxa"/>
              <w:left w:w="16" w:type="dxa"/>
              <w:right w:w="16" w:type="dxa"/>
            </w:tcMar>
            <w:vAlign w:val="center"/>
          </w:tcPr>
          <w:p w14:paraId="25185021">
            <w:pPr>
              <w:adjustRightInd w:val="0"/>
              <w:snapToGrid w:val="0"/>
              <w:jc w:val="center"/>
              <w:rPr>
                <w:rFonts w:ascii="宋体" w:hAnsi="宋体" w:cs="宋体"/>
                <w:color w:val="auto"/>
                <w:sz w:val="24"/>
                <w:szCs w:val="24"/>
              </w:rPr>
            </w:pPr>
            <w:r>
              <w:rPr>
                <w:rFonts w:hint="eastAsia" w:ascii="宋体" w:hAnsi="宋体" w:cs="宋体"/>
                <w:color w:val="auto"/>
                <w:sz w:val="24"/>
                <w:szCs w:val="24"/>
              </w:rPr>
              <w:t>地理坐标</w:t>
            </w:r>
          </w:p>
        </w:tc>
        <w:tc>
          <w:tcPr>
            <w:tcW w:w="6488" w:type="dxa"/>
            <w:gridSpan w:val="3"/>
            <w:noWrap w:val="0"/>
            <w:vAlign w:val="center"/>
          </w:tcPr>
          <w:p w14:paraId="334C44AF">
            <w:pPr>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1号综合场站：东经</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度</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分</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秒</w:t>
            </w:r>
            <w:r>
              <w:rPr>
                <w:rFonts w:hint="default" w:ascii="Times New Roman" w:hAnsi="Times New Roman" w:cs="Times New Roman"/>
                <w:color w:val="auto"/>
                <w:sz w:val="21"/>
                <w:szCs w:val="21"/>
                <w:lang w:val="en-US" w:eastAsia="zh-CN"/>
              </w:rPr>
              <w:t>，北纬</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度</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分</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秒</w:t>
            </w:r>
          </w:p>
          <w:p w14:paraId="0E1FC13F">
            <w:pPr>
              <w:jc w:val="left"/>
              <w:rPr>
                <w:rFonts w:hint="default" w:ascii="宋体" w:hAnsi="宋体" w:cs="宋体"/>
                <w:color w:val="auto"/>
                <w:sz w:val="24"/>
                <w:szCs w:val="24"/>
                <w:lang w:val="en-US" w:eastAsia="zh-CN"/>
              </w:rPr>
            </w:pPr>
            <w:r>
              <w:rPr>
                <w:rFonts w:hint="default" w:ascii="Times New Roman" w:hAnsi="Times New Roman" w:cs="Times New Roman"/>
                <w:color w:val="auto"/>
                <w:sz w:val="21"/>
                <w:szCs w:val="21"/>
                <w:lang w:val="en-US" w:eastAsia="zh-CN"/>
              </w:rPr>
              <w:t>3号综合场站：东经</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度</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分</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秒</w:t>
            </w:r>
            <w:r>
              <w:rPr>
                <w:rFonts w:hint="default" w:ascii="Times New Roman" w:hAnsi="Times New Roman" w:cs="Times New Roman"/>
                <w:color w:val="auto"/>
                <w:sz w:val="21"/>
                <w:szCs w:val="21"/>
                <w:lang w:val="en-US" w:eastAsia="zh-CN"/>
              </w:rPr>
              <w:t>，北纬</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度</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分</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秒</w:t>
            </w:r>
          </w:p>
        </w:tc>
      </w:tr>
      <w:tr w14:paraId="3246C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noWrap w:val="0"/>
            <w:tcMar>
              <w:top w:w="16" w:type="dxa"/>
              <w:left w:w="16" w:type="dxa"/>
              <w:right w:w="16" w:type="dxa"/>
            </w:tcMar>
            <w:vAlign w:val="center"/>
          </w:tcPr>
          <w:p w14:paraId="5B58E5E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国民经济</w:t>
            </w:r>
          </w:p>
          <w:p w14:paraId="7939F700">
            <w:pPr>
              <w:adjustRightInd w:val="0"/>
              <w:snapToGrid w:val="0"/>
              <w:jc w:val="center"/>
              <w:rPr>
                <w:rFonts w:ascii="宋体" w:hAnsi="宋体" w:cs="宋体"/>
                <w:color w:val="auto"/>
                <w:sz w:val="24"/>
                <w:szCs w:val="24"/>
              </w:rPr>
            </w:pPr>
            <w:r>
              <w:rPr>
                <w:rFonts w:hint="eastAsia" w:ascii="宋体" w:hAnsi="宋体" w:cs="宋体"/>
                <w:color w:val="auto"/>
                <w:sz w:val="24"/>
                <w:szCs w:val="24"/>
              </w:rPr>
              <w:t>行业类别</w:t>
            </w:r>
          </w:p>
        </w:tc>
        <w:tc>
          <w:tcPr>
            <w:tcW w:w="1637" w:type="dxa"/>
            <w:noWrap w:val="0"/>
            <w:vAlign w:val="center"/>
          </w:tcPr>
          <w:p w14:paraId="51FEB7D0">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C3021水泥制品制造</w:t>
            </w:r>
          </w:p>
        </w:tc>
        <w:tc>
          <w:tcPr>
            <w:tcW w:w="2212" w:type="dxa"/>
            <w:noWrap w:val="0"/>
            <w:vAlign w:val="center"/>
          </w:tcPr>
          <w:p w14:paraId="6089A201">
            <w:pPr>
              <w:adjustRightInd w:val="0"/>
              <w:snapToGrid w:val="0"/>
              <w:jc w:val="center"/>
              <w:rPr>
                <w:rFonts w:ascii="宋体" w:hAnsi="宋体" w:cs="宋体"/>
                <w:color w:val="auto"/>
                <w:sz w:val="24"/>
                <w:szCs w:val="24"/>
              </w:rPr>
            </w:pPr>
            <w:bookmarkStart w:id="3" w:name="_Hlk49843745"/>
            <w:r>
              <w:rPr>
                <w:rFonts w:hint="eastAsia" w:ascii="宋体" w:hAnsi="宋体" w:cs="宋体"/>
                <w:color w:val="auto"/>
                <w:sz w:val="24"/>
                <w:szCs w:val="24"/>
              </w:rPr>
              <w:t>建设项目</w:t>
            </w:r>
          </w:p>
          <w:p w14:paraId="3E9936E6">
            <w:pPr>
              <w:adjustRightInd w:val="0"/>
              <w:snapToGrid w:val="0"/>
              <w:jc w:val="center"/>
              <w:rPr>
                <w:rFonts w:ascii="宋体" w:hAnsi="宋体" w:cs="宋体"/>
                <w:color w:val="auto"/>
                <w:sz w:val="24"/>
                <w:szCs w:val="24"/>
              </w:rPr>
            </w:pPr>
            <w:r>
              <w:rPr>
                <w:rFonts w:hint="eastAsia" w:ascii="宋体" w:hAnsi="宋体" w:cs="宋体"/>
                <w:color w:val="auto"/>
                <w:sz w:val="24"/>
                <w:szCs w:val="24"/>
              </w:rPr>
              <w:t>行业类别</w:t>
            </w:r>
            <w:bookmarkEnd w:id="3"/>
          </w:p>
        </w:tc>
        <w:tc>
          <w:tcPr>
            <w:tcW w:w="2639" w:type="dxa"/>
            <w:noWrap w:val="0"/>
            <w:vAlign w:val="center"/>
          </w:tcPr>
          <w:p w14:paraId="52EB598D">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55石膏、水泥制品及类似制品制造</w:t>
            </w:r>
          </w:p>
        </w:tc>
      </w:tr>
      <w:tr w14:paraId="72196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noWrap w:val="0"/>
            <w:tcMar>
              <w:top w:w="16" w:type="dxa"/>
              <w:left w:w="16" w:type="dxa"/>
              <w:right w:w="16" w:type="dxa"/>
            </w:tcMar>
            <w:vAlign w:val="center"/>
          </w:tcPr>
          <w:p w14:paraId="4AFA9C7B">
            <w:pPr>
              <w:adjustRightInd w:val="0"/>
              <w:snapToGrid w:val="0"/>
              <w:jc w:val="center"/>
              <w:rPr>
                <w:rFonts w:ascii="宋体" w:hAnsi="宋体" w:cs="宋体"/>
                <w:color w:val="auto"/>
                <w:sz w:val="24"/>
                <w:szCs w:val="24"/>
              </w:rPr>
            </w:pPr>
            <w:r>
              <w:rPr>
                <w:rFonts w:hint="eastAsia" w:ascii="宋体" w:hAnsi="宋体" w:cs="宋体"/>
                <w:color w:val="auto"/>
                <w:sz w:val="24"/>
                <w:szCs w:val="24"/>
              </w:rPr>
              <w:t>建设性质</w:t>
            </w:r>
          </w:p>
        </w:tc>
        <w:tc>
          <w:tcPr>
            <w:tcW w:w="1637" w:type="dxa"/>
            <w:noWrap w:val="0"/>
            <w:vAlign w:val="center"/>
          </w:tcPr>
          <w:p w14:paraId="3B2C03DF">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新建（迁建）</w:t>
            </w:r>
          </w:p>
          <w:p w14:paraId="27E3FE85">
            <w:pPr>
              <w:jc w:val="left"/>
              <w:rPr>
                <w:rFonts w:hint="eastAsia" w:ascii="宋体" w:hAnsi="宋体" w:cs="宋体"/>
                <w:color w:val="auto"/>
                <w:sz w:val="24"/>
                <w:szCs w:val="24"/>
              </w:rPr>
            </w:pPr>
            <w:r>
              <w:rPr>
                <w:rFonts w:hint="eastAsia" w:ascii="宋体" w:hAnsi="宋体" w:cs="宋体"/>
                <w:color w:val="auto"/>
                <w:sz w:val="24"/>
                <w:szCs w:val="24"/>
              </w:rPr>
              <w:t>□改建</w:t>
            </w:r>
          </w:p>
          <w:p w14:paraId="26C93543">
            <w:pPr>
              <w:jc w:val="left"/>
              <w:rPr>
                <w:rFonts w:hint="eastAsia" w:ascii="宋体" w:hAnsi="宋体" w:cs="宋体"/>
                <w:color w:val="auto"/>
                <w:sz w:val="24"/>
                <w:szCs w:val="24"/>
              </w:rPr>
            </w:pPr>
            <w:r>
              <w:rPr>
                <w:rFonts w:hint="eastAsia" w:ascii="宋体" w:hAnsi="宋体" w:cs="宋体"/>
                <w:color w:val="auto"/>
                <w:sz w:val="24"/>
                <w:szCs w:val="24"/>
              </w:rPr>
              <w:t>□扩建</w:t>
            </w:r>
          </w:p>
          <w:p w14:paraId="1A2CBD3D">
            <w:pPr>
              <w:jc w:val="left"/>
              <w:rPr>
                <w:rFonts w:ascii="宋体" w:hAnsi="宋体" w:cs="宋体"/>
                <w:color w:val="auto"/>
                <w:sz w:val="24"/>
                <w:szCs w:val="24"/>
              </w:rPr>
            </w:pPr>
            <w:r>
              <w:rPr>
                <w:rFonts w:hint="eastAsia" w:ascii="宋体" w:hAnsi="宋体" w:cs="宋体"/>
                <w:color w:val="auto"/>
                <w:sz w:val="24"/>
                <w:szCs w:val="24"/>
              </w:rPr>
              <w:t>□技术改造</w:t>
            </w:r>
          </w:p>
        </w:tc>
        <w:tc>
          <w:tcPr>
            <w:tcW w:w="2212" w:type="dxa"/>
            <w:noWrap w:val="0"/>
            <w:vAlign w:val="center"/>
          </w:tcPr>
          <w:p w14:paraId="150317E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建设项目</w:t>
            </w:r>
          </w:p>
          <w:p w14:paraId="7F40BE63">
            <w:pPr>
              <w:adjustRightInd w:val="0"/>
              <w:snapToGrid w:val="0"/>
              <w:jc w:val="center"/>
              <w:rPr>
                <w:rFonts w:ascii="宋体" w:hAnsi="宋体" w:cs="宋体"/>
                <w:color w:val="auto"/>
                <w:sz w:val="24"/>
                <w:szCs w:val="24"/>
              </w:rPr>
            </w:pPr>
            <w:r>
              <w:rPr>
                <w:rFonts w:hint="eastAsia" w:ascii="宋体" w:hAnsi="宋体" w:cs="宋体"/>
                <w:color w:val="auto"/>
                <w:sz w:val="24"/>
                <w:szCs w:val="24"/>
              </w:rPr>
              <w:t>申报情形</w:t>
            </w:r>
          </w:p>
        </w:tc>
        <w:tc>
          <w:tcPr>
            <w:tcW w:w="2639" w:type="dxa"/>
            <w:noWrap w:val="0"/>
            <w:vAlign w:val="center"/>
          </w:tcPr>
          <w:p w14:paraId="676CE91C">
            <w:pPr>
              <w:jc w:val="left"/>
              <w:rPr>
                <w:rFonts w:ascii="宋体" w:hAnsi="宋体" w:cs="宋体"/>
                <w:color w:val="auto"/>
                <w:sz w:val="24"/>
                <w:szCs w:val="24"/>
              </w:rPr>
            </w:pPr>
            <w:r>
              <w:rPr>
                <w:rFonts w:hint="eastAsia" w:ascii="宋体" w:hAnsi="宋体" w:cs="宋体"/>
                <w:color w:val="auto"/>
                <w:sz w:val="24"/>
                <w:szCs w:val="24"/>
              </w:rPr>
              <w:sym w:font="Wingdings 2" w:char="0052"/>
            </w:r>
            <w:r>
              <w:rPr>
                <w:rFonts w:hint="eastAsia" w:ascii="宋体" w:hAnsi="宋体" w:cs="宋体"/>
                <w:color w:val="auto"/>
                <w:sz w:val="24"/>
                <w:szCs w:val="24"/>
              </w:rPr>
              <w:t>首次申报项目</w:t>
            </w:r>
            <w:r>
              <w:rPr>
                <w:rFonts w:ascii="宋体" w:hAnsi="宋体" w:cs="宋体"/>
                <w:color w:val="auto"/>
                <w:sz w:val="24"/>
                <w:szCs w:val="24"/>
              </w:rPr>
              <w:t xml:space="preserve">             </w:t>
            </w:r>
          </w:p>
          <w:p w14:paraId="7F9010E4">
            <w:pPr>
              <w:jc w:val="left"/>
              <w:rPr>
                <w:rFonts w:ascii="宋体" w:hAnsi="宋体" w:cs="宋体"/>
                <w:color w:val="auto"/>
                <w:sz w:val="24"/>
                <w:szCs w:val="24"/>
              </w:rPr>
            </w:pPr>
            <w:r>
              <w:rPr>
                <w:rFonts w:hint="eastAsia" w:ascii="宋体" w:hAnsi="宋体" w:cs="宋体"/>
                <w:color w:val="auto"/>
                <w:sz w:val="24"/>
                <w:szCs w:val="24"/>
              </w:rPr>
              <w:t>□不予批准后再次申报项目</w:t>
            </w:r>
          </w:p>
          <w:p w14:paraId="1780DC1C">
            <w:pPr>
              <w:jc w:val="left"/>
              <w:rPr>
                <w:rFonts w:ascii="宋体" w:hAnsi="宋体" w:cs="宋体"/>
                <w:color w:val="auto"/>
                <w:sz w:val="24"/>
                <w:szCs w:val="24"/>
              </w:rPr>
            </w:pPr>
            <w:r>
              <w:rPr>
                <w:rFonts w:hint="eastAsia" w:ascii="宋体" w:hAnsi="宋体" w:cs="宋体"/>
                <w:color w:val="auto"/>
                <w:sz w:val="24"/>
                <w:szCs w:val="24"/>
              </w:rPr>
              <w:sym w:font="Wingdings 2" w:char="00A3"/>
            </w:r>
            <w:r>
              <w:rPr>
                <w:rFonts w:hint="eastAsia" w:ascii="宋体" w:hAnsi="宋体" w:cs="宋体"/>
                <w:color w:val="auto"/>
                <w:sz w:val="24"/>
                <w:szCs w:val="24"/>
              </w:rPr>
              <w:t>超五年重新审核项目</w:t>
            </w:r>
            <w:r>
              <w:rPr>
                <w:rFonts w:ascii="宋体" w:hAnsi="宋体" w:cs="宋体"/>
                <w:color w:val="auto"/>
                <w:sz w:val="24"/>
                <w:szCs w:val="24"/>
              </w:rPr>
              <w:t xml:space="preserve">     </w:t>
            </w:r>
          </w:p>
          <w:p w14:paraId="185F0290">
            <w:pPr>
              <w:jc w:val="left"/>
              <w:rPr>
                <w:rFonts w:ascii="宋体" w:hAnsi="宋体" w:cs="宋体"/>
                <w:color w:val="auto"/>
                <w:sz w:val="24"/>
                <w:szCs w:val="24"/>
              </w:rPr>
            </w:pPr>
            <w:r>
              <w:rPr>
                <w:rFonts w:hint="eastAsia" w:ascii="宋体" w:hAnsi="宋体" w:cs="宋体"/>
                <w:color w:val="auto"/>
                <w:sz w:val="24"/>
                <w:szCs w:val="24"/>
              </w:rPr>
              <w:t>□重大变动重新报批项目</w:t>
            </w:r>
          </w:p>
        </w:tc>
      </w:tr>
      <w:tr w14:paraId="09A89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noWrap w:val="0"/>
            <w:tcMar>
              <w:top w:w="16" w:type="dxa"/>
              <w:left w:w="16" w:type="dxa"/>
              <w:right w:w="16" w:type="dxa"/>
            </w:tcMar>
            <w:vAlign w:val="center"/>
          </w:tcPr>
          <w:p w14:paraId="3BC65CF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项目审批（核准</w:t>
            </w:r>
            <w:r>
              <w:rPr>
                <w:rFonts w:ascii="宋体" w:hAnsi="宋体" w:cs="宋体"/>
                <w:color w:val="auto"/>
                <w:sz w:val="24"/>
                <w:szCs w:val="24"/>
              </w:rPr>
              <w:t>/</w:t>
            </w:r>
          </w:p>
          <w:p w14:paraId="6470171A">
            <w:pPr>
              <w:adjustRightInd w:val="0"/>
              <w:snapToGrid w:val="0"/>
              <w:jc w:val="center"/>
              <w:rPr>
                <w:rFonts w:ascii="宋体" w:hAnsi="宋体" w:cs="宋体"/>
                <w:color w:val="auto"/>
                <w:sz w:val="24"/>
                <w:szCs w:val="24"/>
              </w:rPr>
            </w:pPr>
            <w:r>
              <w:rPr>
                <w:rFonts w:hint="eastAsia" w:ascii="宋体" w:hAnsi="宋体" w:cs="宋体"/>
                <w:color w:val="auto"/>
                <w:sz w:val="24"/>
                <w:szCs w:val="24"/>
              </w:rPr>
              <w:t>备案）部门（选填）</w:t>
            </w:r>
          </w:p>
        </w:tc>
        <w:tc>
          <w:tcPr>
            <w:tcW w:w="1637" w:type="dxa"/>
            <w:noWrap w:val="0"/>
            <w:vAlign w:val="center"/>
          </w:tcPr>
          <w:p w14:paraId="33882422">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2212" w:type="dxa"/>
            <w:noWrap w:val="0"/>
            <w:vAlign w:val="center"/>
          </w:tcPr>
          <w:p w14:paraId="5A857EF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项目审批（核准</w:t>
            </w:r>
            <w:r>
              <w:rPr>
                <w:rFonts w:ascii="宋体" w:hAnsi="宋体" w:cs="宋体"/>
                <w:color w:val="auto"/>
                <w:sz w:val="24"/>
                <w:szCs w:val="24"/>
              </w:rPr>
              <w:t>/</w:t>
            </w:r>
          </w:p>
          <w:p w14:paraId="5D94BCB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备案）文号（选填）</w:t>
            </w:r>
          </w:p>
        </w:tc>
        <w:tc>
          <w:tcPr>
            <w:tcW w:w="2639" w:type="dxa"/>
            <w:noWrap w:val="0"/>
            <w:vAlign w:val="center"/>
          </w:tcPr>
          <w:p w14:paraId="0D2C5CE8">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r>
      <w:tr w14:paraId="39066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13559E96">
            <w:pPr>
              <w:adjustRightInd w:val="0"/>
              <w:snapToGrid w:val="0"/>
              <w:jc w:val="center"/>
              <w:rPr>
                <w:rFonts w:ascii="宋体" w:hAnsi="宋体" w:cs="宋体"/>
                <w:color w:val="auto"/>
                <w:sz w:val="24"/>
                <w:szCs w:val="24"/>
              </w:rPr>
            </w:pPr>
            <w:r>
              <w:rPr>
                <w:rFonts w:hint="eastAsia" w:ascii="宋体" w:hAnsi="宋体" w:cs="宋体"/>
                <w:color w:val="auto"/>
                <w:sz w:val="24"/>
                <w:szCs w:val="24"/>
              </w:rPr>
              <w:t>总投资（万元）</w:t>
            </w:r>
          </w:p>
        </w:tc>
        <w:tc>
          <w:tcPr>
            <w:tcW w:w="1637" w:type="dxa"/>
            <w:noWrap w:val="0"/>
            <w:vAlign w:val="center"/>
          </w:tcPr>
          <w:p w14:paraId="66209E62">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2230.0</w:t>
            </w:r>
          </w:p>
        </w:tc>
        <w:tc>
          <w:tcPr>
            <w:tcW w:w="2212" w:type="dxa"/>
            <w:noWrap w:val="0"/>
            <w:tcMar>
              <w:top w:w="16" w:type="dxa"/>
              <w:left w:w="16" w:type="dxa"/>
              <w:right w:w="16" w:type="dxa"/>
            </w:tcMar>
            <w:vAlign w:val="center"/>
          </w:tcPr>
          <w:p w14:paraId="40924AD9">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环保投资（万元）</w:t>
            </w:r>
          </w:p>
        </w:tc>
        <w:tc>
          <w:tcPr>
            <w:tcW w:w="2639" w:type="dxa"/>
            <w:noWrap w:val="0"/>
            <w:vAlign w:val="center"/>
          </w:tcPr>
          <w:p w14:paraId="0520215A">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w:t>
            </w:r>
            <w:r>
              <w:rPr>
                <w:rFonts w:hint="eastAsia" w:cs="Times New Roman"/>
                <w:color w:val="auto"/>
                <w:sz w:val="24"/>
                <w:szCs w:val="24"/>
                <w:lang w:val="en-US" w:eastAsia="zh-CN"/>
              </w:rPr>
              <w:t>7</w:t>
            </w:r>
            <w:r>
              <w:rPr>
                <w:rFonts w:hint="eastAsia" w:ascii="Times New Roman" w:hAnsi="Times New Roman" w:cs="Times New Roman"/>
                <w:color w:val="auto"/>
                <w:sz w:val="24"/>
                <w:szCs w:val="24"/>
                <w:lang w:val="en-US" w:eastAsia="zh-CN"/>
              </w:rPr>
              <w:t>9.0</w:t>
            </w:r>
          </w:p>
        </w:tc>
      </w:tr>
      <w:tr w14:paraId="234CB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4096E7B4">
            <w:pPr>
              <w:adjustRightInd w:val="0"/>
              <w:snapToGrid w:val="0"/>
              <w:jc w:val="center"/>
              <w:rPr>
                <w:rFonts w:ascii="宋体" w:hAnsi="宋体" w:cs="宋体"/>
                <w:color w:val="auto"/>
                <w:sz w:val="24"/>
                <w:szCs w:val="24"/>
              </w:rPr>
            </w:pPr>
            <w:r>
              <w:rPr>
                <w:rFonts w:hint="eastAsia" w:ascii="宋体" w:hAnsi="宋体" w:cs="宋体"/>
                <w:color w:val="auto"/>
                <w:sz w:val="24"/>
                <w:szCs w:val="24"/>
              </w:rPr>
              <w:t>环保投资占比（</w:t>
            </w:r>
            <w:r>
              <w:rPr>
                <w:rFonts w:ascii="宋体" w:hAnsi="宋体" w:cs="宋体"/>
                <w:color w:val="auto"/>
                <w:sz w:val="24"/>
                <w:szCs w:val="24"/>
              </w:rPr>
              <w:t>%</w:t>
            </w:r>
            <w:r>
              <w:rPr>
                <w:rFonts w:hint="eastAsia" w:ascii="宋体" w:hAnsi="宋体" w:cs="宋体"/>
                <w:color w:val="auto"/>
                <w:sz w:val="24"/>
                <w:szCs w:val="24"/>
              </w:rPr>
              <w:t>）</w:t>
            </w:r>
          </w:p>
        </w:tc>
        <w:tc>
          <w:tcPr>
            <w:tcW w:w="1637" w:type="dxa"/>
            <w:noWrap w:val="0"/>
            <w:vAlign w:val="center"/>
          </w:tcPr>
          <w:p w14:paraId="67CD4A9F">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w:t>
            </w:r>
            <w:r>
              <w:rPr>
                <w:rFonts w:hint="eastAsia" w:cs="Times New Roman"/>
                <w:color w:val="auto"/>
                <w:sz w:val="24"/>
                <w:szCs w:val="24"/>
                <w:lang w:val="en-US" w:eastAsia="zh-CN"/>
              </w:rPr>
              <w:t>0</w:t>
            </w:r>
          </w:p>
        </w:tc>
        <w:tc>
          <w:tcPr>
            <w:tcW w:w="2212" w:type="dxa"/>
            <w:noWrap w:val="0"/>
            <w:tcMar>
              <w:top w:w="16" w:type="dxa"/>
              <w:left w:w="16" w:type="dxa"/>
              <w:right w:w="16" w:type="dxa"/>
            </w:tcMar>
            <w:vAlign w:val="center"/>
          </w:tcPr>
          <w:p w14:paraId="644F1014">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2639" w:type="dxa"/>
            <w:noWrap w:val="0"/>
            <w:vAlign w:val="center"/>
          </w:tcPr>
          <w:p w14:paraId="107599EC">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1个月</w:t>
            </w:r>
          </w:p>
        </w:tc>
      </w:tr>
      <w:tr w14:paraId="54D4E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105BE3D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是否开工建设</w:t>
            </w:r>
          </w:p>
        </w:tc>
        <w:tc>
          <w:tcPr>
            <w:tcW w:w="1637" w:type="dxa"/>
            <w:noWrap w:val="0"/>
            <w:vAlign w:val="center"/>
          </w:tcPr>
          <w:p w14:paraId="751A5BCF">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52"/>
            </w:r>
            <w:r>
              <w:rPr>
                <w:rFonts w:hint="default" w:ascii="Times New Roman" w:hAnsi="Times New Roman" w:cs="Times New Roman"/>
                <w:color w:val="auto"/>
                <w:sz w:val="24"/>
                <w:szCs w:val="24"/>
              </w:rPr>
              <w:t>否</w:t>
            </w:r>
          </w:p>
          <w:p w14:paraId="358D350C">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u w:val="single"/>
              </w:rPr>
              <w:t xml:space="preserve">             </w:t>
            </w:r>
          </w:p>
        </w:tc>
        <w:tc>
          <w:tcPr>
            <w:tcW w:w="2212" w:type="dxa"/>
            <w:noWrap w:val="0"/>
            <w:tcMar>
              <w:top w:w="16" w:type="dxa"/>
              <w:left w:w="16" w:type="dxa"/>
              <w:right w:w="16" w:type="dxa"/>
            </w:tcMar>
            <w:vAlign w:val="center"/>
          </w:tcPr>
          <w:p w14:paraId="60E4780D">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14:paraId="0155C4A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639" w:type="dxa"/>
            <w:noWrap w:val="0"/>
            <w:vAlign w:val="center"/>
          </w:tcPr>
          <w:p w14:paraId="1F485B8A">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81163</w:t>
            </w:r>
          </w:p>
        </w:tc>
      </w:tr>
      <w:tr w14:paraId="437B0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290658A1">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专项评价设置情况</w:t>
            </w:r>
          </w:p>
        </w:tc>
        <w:tc>
          <w:tcPr>
            <w:tcW w:w="6488" w:type="dxa"/>
            <w:gridSpan w:val="3"/>
            <w:noWrap w:val="0"/>
            <w:vAlign w:val="center"/>
          </w:tcPr>
          <w:p w14:paraId="40D6ED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对照《建设项目环境影响报告表编制技术指南（污染影响类）（试行）》中专项评价设置原则表，本项目具体情况见表1-1。</w:t>
            </w:r>
          </w:p>
          <w:p w14:paraId="737F0EB3">
            <w:pPr>
              <w:autoSpaceDE w:val="0"/>
              <w:autoSpaceDN w:val="0"/>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cs="Times New Roman"/>
                <w:b/>
                <w:bCs/>
                <w:color w:val="auto"/>
                <w:kern w:val="0"/>
                <w:sz w:val="21"/>
                <w:szCs w:val="21"/>
                <w:lang w:val="en-US" w:eastAsia="zh-CN"/>
              </w:rPr>
              <w:t>表1-1  本项目专项评价设置情况一览表</w:t>
            </w:r>
          </w:p>
          <w:tbl>
            <w:tblPr>
              <w:tblStyle w:val="28"/>
              <w:tblW w:w="628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015"/>
              <w:gridCol w:w="2375"/>
            </w:tblGrid>
            <w:tr w14:paraId="77FE8C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20DAA88D">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auto"/>
                      <w:spacing w:val="0"/>
                      <w:kern w:val="21"/>
                      <w:sz w:val="21"/>
                      <w:szCs w:val="21"/>
                    </w:rPr>
                  </w:pPr>
                  <w:r>
                    <w:rPr>
                      <w:rFonts w:hint="default" w:ascii="Times New Roman" w:hAnsi="Times New Roman" w:eastAsia="宋体" w:cs="Times New Roman"/>
                      <w:b/>
                      <w:bCs/>
                      <w:color w:val="auto"/>
                      <w:spacing w:val="0"/>
                      <w:kern w:val="21"/>
                      <w:sz w:val="21"/>
                      <w:szCs w:val="21"/>
                    </w:rPr>
                    <w:t>专项评价的类别</w:t>
                  </w:r>
                </w:p>
              </w:tc>
              <w:tc>
                <w:tcPr>
                  <w:tcW w:w="2398" w:type="pct"/>
                  <w:tcBorders>
                    <w:tl2br w:val="nil"/>
                    <w:tr2bl w:val="nil"/>
                  </w:tcBorders>
                  <w:noWrap w:val="0"/>
                  <w:vAlign w:val="center"/>
                </w:tcPr>
                <w:p w14:paraId="2DD94C3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auto"/>
                      <w:spacing w:val="0"/>
                      <w:kern w:val="21"/>
                      <w:sz w:val="21"/>
                      <w:szCs w:val="21"/>
                    </w:rPr>
                  </w:pPr>
                  <w:r>
                    <w:rPr>
                      <w:rFonts w:hint="default" w:ascii="Times New Roman" w:hAnsi="Times New Roman" w:eastAsia="宋体" w:cs="Times New Roman"/>
                      <w:b/>
                      <w:bCs/>
                      <w:color w:val="auto"/>
                      <w:spacing w:val="0"/>
                      <w:kern w:val="21"/>
                      <w:sz w:val="21"/>
                      <w:szCs w:val="21"/>
                    </w:rPr>
                    <w:t>设置原则</w:t>
                  </w:r>
                </w:p>
              </w:tc>
              <w:tc>
                <w:tcPr>
                  <w:tcW w:w="1889" w:type="pct"/>
                  <w:tcBorders>
                    <w:tl2br w:val="nil"/>
                    <w:tr2bl w:val="nil"/>
                  </w:tcBorders>
                  <w:noWrap w:val="0"/>
                  <w:vAlign w:val="center"/>
                </w:tcPr>
                <w:p w14:paraId="15149C7D">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auto"/>
                      <w:spacing w:val="0"/>
                      <w:kern w:val="21"/>
                      <w:sz w:val="21"/>
                      <w:szCs w:val="21"/>
                      <w:lang w:val="en-US" w:eastAsia="zh-CN"/>
                    </w:rPr>
                  </w:pPr>
                  <w:r>
                    <w:rPr>
                      <w:rFonts w:hint="eastAsia" w:ascii="Times New Roman" w:hAnsi="Times New Roman" w:eastAsia="宋体" w:cs="Times New Roman"/>
                      <w:b/>
                      <w:bCs/>
                      <w:color w:val="auto"/>
                      <w:spacing w:val="0"/>
                      <w:kern w:val="21"/>
                      <w:sz w:val="21"/>
                      <w:szCs w:val="21"/>
                      <w:lang w:val="en-US" w:eastAsia="zh-CN"/>
                    </w:rPr>
                    <w:t>本项目设置情况</w:t>
                  </w:r>
                </w:p>
              </w:tc>
            </w:tr>
            <w:tr w14:paraId="5762D5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5AD0F7EE">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大气</w:t>
                  </w:r>
                </w:p>
              </w:tc>
              <w:tc>
                <w:tcPr>
                  <w:tcW w:w="2398" w:type="pct"/>
                  <w:tcBorders>
                    <w:tl2br w:val="nil"/>
                    <w:tr2bl w:val="nil"/>
                  </w:tcBorders>
                  <w:noWrap w:val="0"/>
                  <w:vAlign w:val="center"/>
                </w:tcPr>
                <w:p w14:paraId="25967937">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排放废气含有毒有害污染物</w:t>
                  </w:r>
                  <w:r>
                    <w:rPr>
                      <w:rFonts w:hint="default" w:ascii="Times New Roman" w:hAnsi="Times New Roman" w:eastAsia="宋体" w:cs="Times New Roman"/>
                      <w:color w:val="auto"/>
                      <w:spacing w:val="0"/>
                      <w:kern w:val="21"/>
                      <w:sz w:val="21"/>
                      <w:szCs w:val="21"/>
                      <w:vertAlign w:val="superscript"/>
                    </w:rPr>
                    <w:t>1</w:t>
                  </w:r>
                  <w:r>
                    <w:rPr>
                      <w:rFonts w:hint="default" w:ascii="Times New Roman" w:hAnsi="Times New Roman" w:eastAsia="宋体" w:cs="Times New Roman"/>
                      <w:color w:val="auto"/>
                      <w:spacing w:val="0"/>
                      <w:kern w:val="21"/>
                      <w:sz w:val="21"/>
                      <w:szCs w:val="21"/>
                    </w:rPr>
                    <w:t>、二噁英、苯并[a]芘、氰化物、氯气且厂界外500米范围内有环境空气保护目标</w:t>
                  </w:r>
                  <w:r>
                    <w:rPr>
                      <w:rFonts w:hint="default" w:ascii="Times New Roman" w:hAnsi="Times New Roman" w:eastAsia="宋体" w:cs="Times New Roman"/>
                      <w:color w:val="auto"/>
                      <w:spacing w:val="0"/>
                      <w:kern w:val="21"/>
                      <w:sz w:val="21"/>
                      <w:szCs w:val="21"/>
                      <w:vertAlign w:val="superscript"/>
                    </w:rPr>
                    <w:t>2</w:t>
                  </w:r>
                  <w:r>
                    <w:rPr>
                      <w:rFonts w:hint="default" w:ascii="Times New Roman" w:hAnsi="Times New Roman" w:eastAsia="宋体" w:cs="Times New Roman"/>
                      <w:color w:val="auto"/>
                      <w:spacing w:val="0"/>
                      <w:kern w:val="21"/>
                      <w:sz w:val="21"/>
                      <w:szCs w:val="21"/>
                    </w:rPr>
                    <w:t>的建设项目</w:t>
                  </w:r>
                </w:p>
              </w:tc>
              <w:tc>
                <w:tcPr>
                  <w:tcW w:w="1889" w:type="pct"/>
                  <w:tcBorders>
                    <w:tl2br w:val="nil"/>
                    <w:tr2bl w:val="nil"/>
                  </w:tcBorders>
                  <w:noWrap w:val="0"/>
                  <w:vAlign w:val="center"/>
                </w:tcPr>
                <w:p w14:paraId="0F4FA7C1">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vertAlign w:val="baseline"/>
                      <w:lang w:val="en-US" w:eastAsia="zh-CN"/>
                    </w:rPr>
                  </w:pPr>
                  <w:r>
                    <w:rPr>
                      <w:rFonts w:hint="eastAsia" w:ascii="Times New Roman" w:hAnsi="Times New Roman" w:eastAsia="宋体" w:cs="Times New Roman"/>
                      <w:color w:val="auto"/>
                      <w:spacing w:val="0"/>
                      <w:kern w:val="21"/>
                      <w:sz w:val="21"/>
                      <w:szCs w:val="21"/>
                      <w:lang w:val="en-US" w:eastAsia="zh-CN"/>
                    </w:rPr>
                    <w:t>本项目不涉及有毒有害污染物</w:t>
                  </w:r>
                  <w:r>
                    <w:rPr>
                      <w:rFonts w:hint="eastAsia" w:ascii="Times New Roman" w:hAnsi="Times New Roman" w:eastAsia="宋体" w:cs="Times New Roman"/>
                      <w:color w:val="auto"/>
                      <w:spacing w:val="0"/>
                      <w:kern w:val="21"/>
                      <w:sz w:val="21"/>
                      <w:szCs w:val="21"/>
                      <w:vertAlign w:val="superscript"/>
                      <w:lang w:val="en-US" w:eastAsia="zh-CN"/>
                    </w:rPr>
                    <w:t>1</w:t>
                  </w:r>
                  <w:r>
                    <w:rPr>
                      <w:rFonts w:hint="eastAsia" w:ascii="Times New Roman" w:hAnsi="Times New Roman" w:eastAsia="宋体" w:cs="Times New Roman"/>
                      <w:color w:val="auto"/>
                      <w:spacing w:val="0"/>
                      <w:kern w:val="21"/>
                      <w:sz w:val="21"/>
                      <w:szCs w:val="21"/>
                      <w:lang w:val="en-US" w:eastAsia="zh-CN"/>
                    </w:rPr>
                    <w:t>、</w:t>
                  </w:r>
                  <w:r>
                    <w:rPr>
                      <w:rFonts w:hint="default" w:ascii="Times New Roman" w:hAnsi="Times New Roman" w:eastAsia="宋体" w:cs="Times New Roman"/>
                      <w:color w:val="auto"/>
                      <w:spacing w:val="0"/>
                      <w:kern w:val="21"/>
                      <w:sz w:val="21"/>
                      <w:szCs w:val="21"/>
                    </w:rPr>
                    <w:t>二噁英、苯并[a]芘、氰化物、氯气且厂界外500米范围内</w:t>
                  </w:r>
                  <w:r>
                    <w:rPr>
                      <w:rFonts w:hint="eastAsia" w:ascii="Times New Roman" w:hAnsi="Times New Roman" w:eastAsia="宋体" w:cs="Times New Roman"/>
                      <w:color w:val="auto"/>
                      <w:spacing w:val="0"/>
                      <w:kern w:val="21"/>
                      <w:sz w:val="21"/>
                      <w:szCs w:val="21"/>
                      <w:lang w:val="en-US" w:eastAsia="zh-CN"/>
                    </w:rPr>
                    <w:t>无</w:t>
                  </w:r>
                  <w:r>
                    <w:rPr>
                      <w:rFonts w:hint="default" w:ascii="Times New Roman" w:hAnsi="Times New Roman" w:eastAsia="宋体" w:cs="Times New Roman"/>
                      <w:color w:val="auto"/>
                      <w:spacing w:val="0"/>
                      <w:kern w:val="21"/>
                      <w:sz w:val="21"/>
                      <w:szCs w:val="21"/>
                    </w:rPr>
                    <w:t>环境空气保护目标</w:t>
                  </w:r>
                  <w:r>
                    <w:rPr>
                      <w:rFonts w:hint="default" w:ascii="Times New Roman" w:hAnsi="Times New Roman" w:eastAsia="宋体" w:cs="Times New Roman"/>
                      <w:color w:val="auto"/>
                      <w:spacing w:val="0"/>
                      <w:kern w:val="21"/>
                      <w:sz w:val="21"/>
                      <w:szCs w:val="21"/>
                      <w:vertAlign w:val="superscript"/>
                    </w:rPr>
                    <w:t>2</w:t>
                  </w:r>
                  <w:r>
                    <w:rPr>
                      <w:rFonts w:hint="eastAsia" w:ascii="Times New Roman" w:hAnsi="Times New Roman" w:eastAsia="宋体" w:cs="Times New Roman"/>
                      <w:color w:val="auto"/>
                      <w:spacing w:val="0"/>
                      <w:kern w:val="21"/>
                      <w:sz w:val="21"/>
                      <w:szCs w:val="21"/>
                      <w:vertAlign w:val="baseline"/>
                      <w:lang w:eastAsia="zh-CN"/>
                    </w:rPr>
                    <w:t>，</w:t>
                  </w:r>
                  <w:r>
                    <w:rPr>
                      <w:rFonts w:hint="eastAsia" w:ascii="Times New Roman" w:hAnsi="Times New Roman" w:eastAsia="宋体" w:cs="Times New Roman"/>
                      <w:color w:val="auto"/>
                      <w:spacing w:val="0"/>
                      <w:kern w:val="21"/>
                      <w:sz w:val="21"/>
                      <w:szCs w:val="21"/>
                      <w:vertAlign w:val="baseline"/>
                      <w:lang w:val="en-US" w:eastAsia="zh-CN"/>
                    </w:rPr>
                    <w:t>无需设置大气专项评价</w:t>
                  </w:r>
                </w:p>
              </w:tc>
            </w:tr>
            <w:tr w14:paraId="4C3837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79DA60B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地表水</w:t>
                  </w:r>
                </w:p>
              </w:tc>
              <w:tc>
                <w:tcPr>
                  <w:tcW w:w="2398" w:type="pct"/>
                  <w:tcBorders>
                    <w:tl2br w:val="nil"/>
                    <w:tr2bl w:val="nil"/>
                  </w:tcBorders>
                  <w:noWrap w:val="0"/>
                  <w:vAlign w:val="center"/>
                </w:tcPr>
                <w:p w14:paraId="5C910235">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新增工业废水直排建设项目（槽罐车外送污水处理厂的除外）；新增废水直排的污水集中处理厂</w:t>
                  </w:r>
                </w:p>
              </w:tc>
              <w:tc>
                <w:tcPr>
                  <w:tcW w:w="1889" w:type="pct"/>
                  <w:tcBorders>
                    <w:tl2br w:val="nil"/>
                    <w:tr2bl w:val="nil"/>
                  </w:tcBorders>
                  <w:noWrap w:val="0"/>
                  <w:vAlign w:val="center"/>
                </w:tcPr>
                <w:p w14:paraId="26CD279B">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本项目不涉及新增废水直排，无需设置地表水专项评价</w:t>
                  </w:r>
                </w:p>
              </w:tc>
            </w:tr>
            <w:tr w14:paraId="036221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031A1926">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环境风险</w:t>
                  </w:r>
                </w:p>
              </w:tc>
              <w:tc>
                <w:tcPr>
                  <w:tcW w:w="2398" w:type="pct"/>
                  <w:tcBorders>
                    <w:tl2br w:val="nil"/>
                    <w:tr2bl w:val="nil"/>
                  </w:tcBorders>
                  <w:noWrap w:val="0"/>
                  <w:vAlign w:val="center"/>
                </w:tcPr>
                <w:p w14:paraId="3549210B">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有毒有害和易燃易爆危险物质存储量超过临界量</w:t>
                  </w:r>
                  <w:r>
                    <w:rPr>
                      <w:rFonts w:hint="default" w:ascii="Times New Roman" w:hAnsi="Times New Roman" w:eastAsia="宋体" w:cs="Times New Roman"/>
                      <w:color w:val="auto"/>
                      <w:spacing w:val="0"/>
                      <w:kern w:val="21"/>
                      <w:sz w:val="21"/>
                      <w:szCs w:val="21"/>
                      <w:vertAlign w:val="superscript"/>
                    </w:rPr>
                    <w:t>3</w:t>
                  </w:r>
                  <w:r>
                    <w:rPr>
                      <w:rFonts w:hint="default" w:ascii="Times New Roman" w:hAnsi="Times New Roman" w:eastAsia="宋体" w:cs="Times New Roman"/>
                      <w:color w:val="auto"/>
                      <w:spacing w:val="0"/>
                      <w:kern w:val="21"/>
                      <w:sz w:val="21"/>
                      <w:szCs w:val="21"/>
                    </w:rPr>
                    <w:t>的建设项目</w:t>
                  </w:r>
                </w:p>
              </w:tc>
              <w:tc>
                <w:tcPr>
                  <w:tcW w:w="1889" w:type="pct"/>
                  <w:tcBorders>
                    <w:tl2br w:val="nil"/>
                    <w:tr2bl w:val="nil"/>
                  </w:tcBorders>
                  <w:noWrap w:val="0"/>
                  <w:vAlign w:val="center"/>
                </w:tcPr>
                <w:p w14:paraId="39052521">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本项目</w:t>
                  </w:r>
                  <w:r>
                    <w:rPr>
                      <w:rFonts w:hint="eastAsia" w:cs="Times New Roman"/>
                      <w:color w:val="auto"/>
                      <w:spacing w:val="0"/>
                      <w:kern w:val="21"/>
                      <w:sz w:val="21"/>
                      <w:szCs w:val="21"/>
                      <w:lang w:val="en-US" w:eastAsia="zh-CN"/>
                    </w:rPr>
                    <w:t>涉及机油，未超过临界量</w:t>
                  </w:r>
                  <w:r>
                    <w:rPr>
                      <w:rFonts w:hint="eastAsia" w:ascii="Times New Roman" w:hAnsi="Times New Roman" w:eastAsia="宋体" w:cs="Times New Roman"/>
                      <w:color w:val="auto"/>
                      <w:spacing w:val="0"/>
                      <w:kern w:val="21"/>
                      <w:sz w:val="21"/>
                      <w:szCs w:val="21"/>
                      <w:lang w:val="en-US" w:eastAsia="zh-CN"/>
                    </w:rPr>
                    <w:t>，无需设置环境风险专项评价</w:t>
                  </w:r>
                </w:p>
              </w:tc>
            </w:tr>
            <w:tr w14:paraId="1F6513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260264F9">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生态</w:t>
                  </w:r>
                </w:p>
              </w:tc>
              <w:tc>
                <w:tcPr>
                  <w:tcW w:w="2398" w:type="pct"/>
                  <w:tcBorders>
                    <w:tl2br w:val="nil"/>
                    <w:tr2bl w:val="nil"/>
                  </w:tcBorders>
                  <w:noWrap w:val="0"/>
                  <w:vAlign w:val="center"/>
                </w:tcPr>
                <w:p w14:paraId="3BC8BFED">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取水口下游500米范围内有重要水生生物的自然产卵场、索饵场、越冬场和洄游通道的新增河道取水的污染类建设项目</w:t>
                  </w:r>
                </w:p>
              </w:tc>
              <w:tc>
                <w:tcPr>
                  <w:tcW w:w="1889" w:type="pct"/>
                  <w:tcBorders>
                    <w:tl2br w:val="nil"/>
                    <w:tr2bl w:val="nil"/>
                  </w:tcBorders>
                  <w:noWrap w:val="0"/>
                  <w:vAlign w:val="center"/>
                </w:tcPr>
                <w:p w14:paraId="4DE39F06">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本项目</w:t>
                  </w:r>
                  <w:r>
                    <w:rPr>
                      <w:rFonts w:hint="eastAsia" w:cs="Times New Roman"/>
                      <w:color w:val="auto"/>
                      <w:spacing w:val="0"/>
                      <w:kern w:val="21"/>
                      <w:sz w:val="21"/>
                      <w:szCs w:val="21"/>
                      <w:lang w:val="en-US" w:eastAsia="zh-CN"/>
                    </w:rPr>
                    <w:t>生产用水由罐车就近拉运，不设固定取水口，</w:t>
                  </w:r>
                  <w:r>
                    <w:rPr>
                      <w:rFonts w:hint="eastAsia" w:ascii="Times New Roman" w:hAnsi="Times New Roman" w:eastAsia="宋体" w:cs="Times New Roman"/>
                      <w:color w:val="auto"/>
                      <w:spacing w:val="0"/>
                      <w:kern w:val="21"/>
                      <w:sz w:val="21"/>
                      <w:szCs w:val="21"/>
                      <w:lang w:val="en-US" w:eastAsia="zh-CN"/>
                    </w:rPr>
                    <w:t>不涉及河道取水，无需设置生态专项评价</w:t>
                  </w:r>
                </w:p>
              </w:tc>
            </w:tr>
            <w:tr w14:paraId="564C4B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712" w:type="pct"/>
                  <w:tcBorders>
                    <w:tl2br w:val="nil"/>
                    <w:tr2bl w:val="nil"/>
                  </w:tcBorders>
                  <w:noWrap w:val="0"/>
                  <w:vAlign w:val="center"/>
                </w:tcPr>
                <w:p w14:paraId="3915FC9C">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海洋</w:t>
                  </w:r>
                </w:p>
              </w:tc>
              <w:tc>
                <w:tcPr>
                  <w:tcW w:w="2398" w:type="pct"/>
                  <w:tcBorders>
                    <w:tl2br w:val="nil"/>
                    <w:tr2bl w:val="nil"/>
                  </w:tcBorders>
                  <w:noWrap w:val="0"/>
                  <w:vAlign w:val="center"/>
                </w:tcPr>
                <w:p w14:paraId="5B8B4506">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直接向海排放污染物的海洋工程建设项目</w:t>
                  </w:r>
                </w:p>
              </w:tc>
              <w:tc>
                <w:tcPr>
                  <w:tcW w:w="1889" w:type="pct"/>
                  <w:tcBorders>
                    <w:tl2br w:val="nil"/>
                    <w:tr2bl w:val="nil"/>
                  </w:tcBorders>
                  <w:noWrap w:val="0"/>
                  <w:vAlign w:val="center"/>
                </w:tcPr>
                <w:p w14:paraId="3B286EE8">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本项目不涉及向海洋排放污染物且不属于海洋工程建设项目，无需设置海洋专项评价</w:t>
                  </w:r>
                </w:p>
              </w:tc>
            </w:tr>
            <w:tr w14:paraId="4A828B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 w:hRule="atLeast"/>
                <w:jc w:val="center"/>
              </w:trPr>
              <w:tc>
                <w:tcPr>
                  <w:tcW w:w="5000" w:type="pct"/>
                  <w:gridSpan w:val="3"/>
                  <w:tcBorders>
                    <w:tl2br w:val="nil"/>
                    <w:tr2bl w:val="nil"/>
                  </w:tcBorders>
                  <w:noWrap w:val="0"/>
                  <w:vAlign w:val="center"/>
                </w:tcPr>
                <w:p w14:paraId="3B5188DD">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注：1.废气中有毒有害污染物指纳入《有毒有害大气污染物名录》的污染物（不包括无排放标准的污染物）。</w:t>
                  </w:r>
                </w:p>
                <w:p w14:paraId="0B810776">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2.环境空气保护目标指自然保护区、风景名胜区、居住区、文化区和农村地区人群较集中的区域。</w:t>
                  </w:r>
                </w:p>
                <w:p w14:paraId="7D62FE78">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eastAsia="宋体" w:cs="Times New Roman"/>
                      <w:color w:val="auto"/>
                      <w:spacing w:val="0"/>
                      <w:kern w:val="21"/>
                      <w:sz w:val="21"/>
                      <w:szCs w:val="21"/>
                      <w:lang w:val="en-US" w:eastAsia="zh-CN"/>
                    </w:rPr>
                    <w:t>3.临界量及其计算方法可参考《建设项目环境风险评价技术导则》（HJ169）附录B、附录C。</w:t>
                  </w:r>
                </w:p>
              </w:tc>
            </w:tr>
          </w:tbl>
          <w:p w14:paraId="1B33844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ascii="宋体" w:hAnsi="宋体" w:cs="宋体"/>
                <w:color w:val="auto"/>
                <w:kern w:val="0"/>
                <w:sz w:val="24"/>
                <w:szCs w:val="24"/>
              </w:rPr>
            </w:pPr>
            <w:r>
              <w:rPr>
                <w:rFonts w:hint="eastAsia" w:ascii="Times New Roman" w:hAnsi="Times New Roman" w:cs="Times New Roman"/>
                <w:color w:val="auto"/>
                <w:kern w:val="0"/>
                <w:sz w:val="24"/>
                <w:szCs w:val="24"/>
                <w:lang w:val="en-US" w:eastAsia="zh-CN"/>
              </w:rPr>
              <w:t>综上所述，本项目无需设置专项评价。</w:t>
            </w:r>
          </w:p>
        </w:tc>
      </w:tr>
      <w:tr w14:paraId="49D15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29DDA9C8">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规划情况</w:t>
            </w:r>
          </w:p>
        </w:tc>
        <w:tc>
          <w:tcPr>
            <w:tcW w:w="6488" w:type="dxa"/>
            <w:gridSpan w:val="3"/>
            <w:noWrap w:val="0"/>
            <w:vAlign w:val="center"/>
          </w:tcPr>
          <w:p w14:paraId="5C6F452A">
            <w:pPr>
              <w:autoSpaceDE w:val="0"/>
              <w:autoSpaceDN w:val="0"/>
              <w:adjustRightInd w:val="0"/>
              <w:snapToGrid w:val="0"/>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无</w:t>
            </w:r>
          </w:p>
        </w:tc>
      </w:tr>
      <w:tr w14:paraId="3C4EA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4972681C">
            <w:pPr>
              <w:adjustRightInd w:val="0"/>
              <w:snapToGrid w:val="0"/>
              <w:jc w:val="center"/>
              <w:rPr>
                <w:rFonts w:ascii="宋体" w:hAnsi="宋体" w:cs="宋体"/>
                <w:color w:val="auto"/>
                <w:sz w:val="24"/>
                <w:szCs w:val="24"/>
              </w:rPr>
            </w:pPr>
            <w:r>
              <w:rPr>
                <w:rFonts w:hint="eastAsia" w:ascii="宋体" w:hAnsi="宋体" w:cs="宋体"/>
                <w:color w:val="auto"/>
                <w:sz w:val="24"/>
                <w:szCs w:val="24"/>
              </w:rPr>
              <w:t>规划环境影响</w:t>
            </w:r>
          </w:p>
          <w:p w14:paraId="487EFD8D">
            <w:pPr>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评价情况</w:t>
            </w:r>
          </w:p>
        </w:tc>
        <w:tc>
          <w:tcPr>
            <w:tcW w:w="6488" w:type="dxa"/>
            <w:gridSpan w:val="3"/>
            <w:noWrap w:val="0"/>
            <w:vAlign w:val="center"/>
          </w:tcPr>
          <w:p w14:paraId="4585D327">
            <w:pPr>
              <w:autoSpaceDE w:val="0"/>
              <w:autoSpaceDN w:val="0"/>
              <w:adjustRightInd w:val="0"/>
              <w:snapToGrid w:val="0"/>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无</w:t>
            </w:r>
          </w:p>
        </w:tc>
      </w:tr>
      <w:tr w14:paraId="6616B7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6DD63C39">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规划及规划环境</w:t>
            </w:r>
          </w:p>
          <w:p w14:paraId="07C7C394">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影响评价符合性分析</w:t>
            </w:r>
          </w:p>
        </w:tc>
        <w:tc>
          <w:tcPr>
            <w:tcW w:w="6488" w:type="dxa"/>
            <w:gridSpan w:val="3"/>
            <w:noWrap w:val="0"/>
            <w:vAlign w:val="center"/>
          </w:tcPr>
          <w:p w14:paraId="72006150">
            <w:pPr>
              <w:autoSpaceDE w:val="0"/>
              <w:autoSpaceDN w:val="0"/>
              <w:adjustRightInd w:val="0"/>
              <w:snapToGrid w:val="0"/>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无</w:t>
            </w:r>
          </w:p>
        </w:tc>
      </w:tr>
      <w:tr w14:paraId="322453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68CF57DB">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其他符合性分析</w:t>
            </w:r>
          </w:p>
        </w:tc>
        <w:tc>
          <w:tcPr>
            <w:tcW w:w="6488" w:type="dxa"/>
            <w:gridSpan w:val="3"/>
            <w:noWrap w:val="0"/>
            <w:vAlign w:val="center"/>
          </w:tcPr>
          <w:p w14:paraId="3BACD78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1.1产业政策符合性分析</w:t>
            </w:r>
          </w:p>
          <w:p w14:paraId="4B41457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r>
              <w:rPr>
                <w:rFonts w:hint="eastAsia" w:ascii="宋体" w:hAnsi="宋体" w:cs="宋体"/>
                <w:color w:val="auto"/>
                <w:kern w:val="0"/>
                <w:sz w:val="24"/>
                <w:szCs w:val="24"/>
                <w:lang w:val="en-US" w:eastAsia="zh-CN"/>
              </w:rPr>
              <w:t>本项目为商品混凝土搅拌站项目，根据</w:t>
            </w:r>
            <w:r>
              <w:rPr>
                <w:color w:val="auto"/>
                <w:kern w:val="0"/>
                <w:sz w:val="24"/>
              </w:rPr>
              <w:t>《产业结构调整指导目录（</w:t>
            </w:r>
            <w:r>
              <w:rPr>
                <w:rFonts w:hint="eastAsia"/>
                <w:color w:val="auto"/>
                <w:kern w:val="0"/>
                <w:sz w:val="24"/>
                <w:lang w:val="en-US" w:eastAsia="zh-CN"/>
              </w:rPr>
              <w:t>2024</w:t>
            </w:r>
            <w:r>
              <w:rPr>
                <w:color w:val="auto"/>
                <w:kern w:val="0"/>
                <w:sz w:val="24"/>
              </w:rPr>
              <w:t>年本）》</w:t>
            </w:r>
            <w:r>
              <w:rPr>
                <w:rFonts w:hint="eastAsia"/>
                <w:color w:val="auto"/>
                <w:kern w:val="0"/>
                <w:sz w:val="24"/>
                <w:lang w:val="en-US" w:eastAsia="zh-CN"/>
              </w:rPr>
              <w:t>中</w:t>
            </w:r>
            <w:r>
              <w:rPr>
                <w:color w:val="auto"/>
                <w:kern w:val="0"/>
                <w:sz w:val="24"/>
              </w:rPr>
              <w:t>的</w:t>
            </w:r>
            <w:r>
              <w:rPr>
                <w:rFonts w:hint="eastAsia"/>
                <w:color w:val="auto"/>
                <w:kern w:val="0"/>
                <w:sz w:val="24"/>
                <w:lang w:val="en-US" w:eastAsia="zh-CN"/>
              </w:rPr>
              <w:t>限制</w:t>
            </w:r>
            <w:r>
              <w:rPr>
                <w:color w:val="auto"/>
                <w:kern w:val="0"/>
                <w:sz w:val="24"/>
              </w:rPr>
              <w:t>类、鼓励类和淘汰类项目，属于允许类，符合国家产业政策要求。</w:t>
            </w:r>
          </w:p>
          <w:p w14:paraId="33DBC4FF">
            <w:pPr>
              <w:autoSpaceDE w:val="0"/>
              <w:autoSpaceDN w:val="0"/>
              <w:adjustRightInd w:val="0"/>
              <w:snapToGrid w:val="0"/>
              <w:spacing w:line="360" w:lineRule="auto"/>
              <w:jc w:val="left"/>
              <w:rPr>
                <w:b/>
                <w:bCs/>
                <w:color w:val="auto"/>
                <w:kern w:val="0"/>
                <w:sz w:val="24"/>
              </w:rPr>
            </w:pPr>
            <w:r>
              <w:rPr>
                <w:rFonts w:hint="eastAsia"/>
                <w:b/>
                <w:bCs/>
                <w:color w:val="auto"/>
                <w:kern w:val="0"/>
                <w:sz w:val="24"/>
                <w:lang w:val="en-US" w:eastAsia="zh-CN"/>
              </w:rPr>
              <w:t>1.</w:t>
            </w:r>
            <w:r>
              <w:rPr>
                <w:b/>
                <w:bCs/>
                <w:color w:val="auto"/>
                <w:kern w:val="0"/>
                <w:sz w:val="24"/>
              </w:rPr>
              <w:t>2</w:t>
            </w:r>
            <w:r>
              <w:rPr>
                <w:rFonts w:hint="eastAsia"/>
                <w:b/>
                <w:bCs/>
                <w:color w:val="auto"/>
                <w:kern w:val="0"/>
                <w:sz w:val="24"/>
                <w:lang w:val="en-US" w:eastAsia="zh-CN"/>
              </w:rPr>
              <w:t>与</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val="en-US" w:eastAsia="zh-CN"/>
              </w:rPr>
              <w:t>塔城地区生态环境分区管控</w:t>
            </w:r>
            <w:r>
              <w:rPr>
                <w:rFonts w:hint="eastAsia" w:ascii="宋体" w:hAnsi="宋体" w:eastAsia="宋体" w:cs="宋体"/>
                <w:b/>
                <w:bCs/>
                <w:color w:val="auto"/>
                <w:kern w:val="0"/>
                <w:sz w:val="24"/>
              </w:rPr>
              <w:t>”符</w:t>
            </w:r>
            <w:r>
              <w:rPr>
                <w:b/>
                <w:bCs/>
                <w:color w:val="auto"/>
                <w:kern w:val="0"/>
                <w:sz w:val="24"/>
              </w:rPr>
              <w:t>合性分析</w:t>
            </w:r>
          </w:p>
          <w:p w14:paraId="40754DF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宋体" w:hAnsi="宋体" w:eastAsia="宋体" w:cs="宋体"/>
                <w:color w:val="auto"/>
                <w:kern w:val="0"/>
                <w:sz w:val="24"/>
                <w:szCs w:val="24"/>
                <w:lang w:val="en-US" w:eastAsia="zh-CN"/>
              </w:rPr>
            </w:pPr>
            <w:r>
              <w:rPr>
                <w:rFonts w:ascii="Times New Roman" w:hAnsi="Times New Roman" w:eastAsia="宋体" w:cs="Times New Roman"/>
                <w:color w:val="auto"/>
                <w:kern w:val="0"/>
                <w:sz w:val="24"/>
              </w:rPr>
              <w:t>根据</w:t>
            </w:r>
            <w:r>
              <w:rPr>
                <w:rFonts w:hint="eastAsia" w:ascii="Times New Roman" w:hAnsi="Times New Roman" w:eastAsia="宋体" w:cs="Times New Roman"/>
                <w:color w:val="auto"/>
                <w:kern w:val="0"/>
                <w:sz w:val="24"/>
                <w:lang w:val="en-US" w:eastAsia="zh-CN"/>
              </w:rPr>
              <w:t>新疆维吾尔自治区管控要求成果数据</w:t>
            </w:r>
            <w:r>
              <w:rPr>
                <w:rFonts w:hint="eastAsia" w:ascii="Times New Roman" w:hAnsi="Times New Roman" w:eastAsia="宋体" w:cs="Times New Roman"/>
                <w:color w:val="auto"/>
                <w:kern w:val="0"/>
                <w:sz w:val="24"/>
                <w:lang w:eastAsia="zh-CN"/>
              </w:rPr>
              <w:t>，</w:t>
            </w:r>
            <w:r>
              <w:rPr>
                <w:rFonts w:ascii="Times New Roman" w:hAnsi="Times New Roman" w:eastAsia="宋体" w:cs="Times New Roman"/>
                <w:color w:val="auto"/>
                <w:kern w:val="0"/>
                <w:sz w:val="24"/>
              </w:rPr>
              <w:t>本项目</w:t>
            </w:r>
            <w:r>
              <w:rPr>
                <w:rFonts w:hint="eastAsia" w:ascii="Times New Roman" w:hAnsi="Times New Roman" w:eastAsia="宋体" w:cs="Times New Roman"/>
                <w:color w:val="auto"/>
                <w:kern w:val="0"/>
                <w:sz w:val="24"/>
                <w:lang w:val="en-US" w:eastAsia="zh-CN"/>
              </w:rPr>
              <w:t>区域</w:t>
            </w:r>
            <w:r>
              <w:rPr>
                <w:rFonts w:ascii="Times New Roman" w:hAnsi="Times New Roman" w:eastAsia="宋体" w:cs="Times New Roman"/>
                <w:color w:val="auto"/>
                <w:kern w:val="0"/>
                <w:sz w:val="24"/>
              </w:rPr>
              <w:t>属于</w:t>
            </w:r>
            <w:r>
              <w:rPr>
                <w:rFonts w:hint="eastAsia" w:ascii="Times New Roman" w:hAnsi="Times New Roman" w:eastAsia="宋体" w:cs="Times New Roman"/>
                <w:color w:val="auto"/>
                <w:kern w:val="0"/>
                <w:sz w:val="24"/>
                <w:lang w:val="en-US" w:eastAsia="zh-CN"/>
              </w:rPr>
              <w:t>塔城地区乌苏市优先保护单元</w:t>
            </w:r>
            <w:r>
              <w:rPr>
                <w:rFonts w:ascii="Times New Roman" w:hAnsi="Times New Roman" w:eastAsia="宋体" w:cs="Times New Roman"/>
                <w:color w:val="auto"/>
                <w:kern w:val="0"/>
                <w:sz w:val="24"/>
              </w:rPr>
              <w:t>（编码：</w:t>
            </w:r>
            <w:r>
              <w:rPr>
                <w:rFonts w:hint="eastAsia" w:ascii="Times New Roman" w:hAnsi="Times New Roman" w:eastAsia="宋体" w:cs="Times New Roman"/>
                <w:color w:val="auto"/>
                <w:kern w:val="0"/>
                <w:sz w:val="24"/>
                <w:lang w:eastAsia="zh-CN"/>
              </w:rPr>
              <w:t>ZH65</w:t>
            </w:r>
            <w:r>
              <w:rPr>
                <w:rFonts w:hint="eastAsia" w:ascii="Times New Roman" w:hAnsi="Times New Roman" w:eastAsia="宋体" w:cs="Times New Roman"/>
                <w:color w:val="auto"/>
                <w:kern w:val="0"/>
                <w:sz w:val="24"/>
                <w:lang w:val="en-US" w:eastAsia="zh-CN"/>
              </w:rPr>
              <w:t>420210001</w:t>
            </w:r>
            <w:r>
              <w:rPr>
                <w:rFonts w:ascii="Times New Roman" w:hAnsi="Times New Roman" w:eastAsia="宋体" w:cs="Times New Roman"/>
                <w:color w:val="auto"/>
                <w:kern w:val="0"/>
                <w:sz w:val="24"/>
              </w:rPr>
              <w:t>），具体管控要求见下表。</w:t>
            </w:r>
          </w:p>
          <w:p w14:paraId="48BDF6AF">
            <w:pPr>
              <w:autoSpaceDE w:val="0"/>
              <w:autoSpaceDN w:val="0"/>
              <w:adjustRightInd w:val="0"/>
              <w:snapToGrid w:val="0"/>
              <w:jc w:val="center"/>
              <w:rPr>
                <w:b/>
                <w:bCs/>
                <w:color w:val="auto"/>
                <w:szCs w:val="21"/>
              </w:rPr>
            </w:pPr>
          </w:p>
          <w:p w14:paraId="38CCB2A4">
            <w:pPr>
              <w:autoSpaceDE w:val="0"/>
              <w:autoSpaceDN w:val="0"/>
              <w:adjustRightInd w:val="0"/>
              <w:snapToGrid w:val="0"/>
              <w:jc w:val="center"/>
              <w:rPr>
                <w:b/>
                <w:bCs/>
                <w:color w:val="auto"/>
                <w:szCs w:val="21"/>
              </w:rPr>
            </w:pPr>
          </w:p>
          <w:p w14:paraId="0CEC492A">
            <w:pPr>
              <w:autoSpaceDE w:val="0"/>
              <w:autoSpaceDN w:val="0"/>
              <w:adjustRightInd w:val="0"/>
              <w:snapToGrid w:val="0"/>
              <w:jc w:val="center"/>
              <w:rPr>
                <w:b/>
                <w:bCs/>
                <w:color w:val="auto"/>
                <w:sz w:val="24"/>
              </w:rPr>
            </w:pPr>
            <w:r>
              <w:rPr>
                <w:b/>
                <w:bCs/>
                <w:color w:val="auto"/>
                <w:szCs w:val="21"/>
              </w:rPr>
              <w:t>表1-</w:t>
            </w:r>
            <w:r>
              <w:rPr>
                <w:rFonts w:hint="eastAsia"/>
                <w:b/>
                <w:bCs/>
                <w:color w:val="auto"/>
                <w:szCs w:val="21"/>
                <w:lang w:val="en-US" w:eastAsia="zh-CN"/>
              </w:rPr>
              <w:t>2</w:t>
            </w:r>
            <w:r>
              <w:rPr>
                <w:b/>
                <w:bCs/>
                <w:color w:val="auto"/>
                <w:szCs w:val="21"/>
              </w:rPr>
              <w:t xml:space="preserve"> 环境管控单元管控要求一览表</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329"/>
              <w:gridCol w:w="4263"/>
            </w:tblGrid>
            <w:tr w14:paraId="5E8E27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2" w:type="pct"/>
                  <w:noWrap w:val="0"/>
                  <w:vAlign w:val="center"/>
                </w:tcPr>
                <w:p w14:paraId="5C6B8954">
                  <w:pPr>
                    <w:bidi w:val="0"/>
                    <w:jc w:val="center"/>
                    <w:rPr>
                      <w:b/>
                      <w:bCs/>
                      <w:color w:val="auto"/>
                    </w:rPr>
                  </w:pPr>
                  <w:r>
                    <w:rPr>
                      <w:b/>
                      <w:bCs/>
                      <w:color w:val="auto"/>
                    </w:rPr>
                    <w:t>管控类别</w:t>
                  </w:r>
                </w:p>
              </w:tc>
              <w:tc>
                <w:tcPr>
                  <w:tcW w:w="1059" w:type="pct"/>
                  <w:noWrap w:val="0"/>
                  <w:vAlign w:val="center"/>
                </w:tcPr>
                <w:p w14:paraId="49383547">
                  <w:pPr>
                    <w:bidi w:val="0"/>
                    <w:jc w:val="center"/>
                    <w:rPr>
                      <w:b/>
                      <w:bCs/>
                      <w:color w:val="auto"/>
                    </w:rPr>
                  </w:pPr>
                  <w:r>
                    <w:rPr>
                      <w:b/>
                      <w:bCs/>
                      <w:color w:val="auto"/>
                    </w:rPr>
                    <w:t>管控要求</w:t>
                  </w:r>
                </w:p>
              </w:tc>
              <w:tc>
                <w:tcPr>
                  <w:tcW w:w="3398" w:type="pct"/>
                  <w:noWrap w:val="0"/>
                  <w:vAlign w:val="center"/>
                </w:tcPr>
                <w:p w14:paraId="7D0D874A">
                  <w:pPr>
                    <w:bidi w:val="0"/>
                    <w:jc w:val="center"/>
                    <w:rPr>
                      <w:b/>
                      <w:bCs/>
                      <w:color w:val="auto"/>
                    </w:rPr>
                  </w:pPr>
                  <w:r>
                    <w:rPr>
                      <w:b/>
                      <w:bCs/>
                      <w:color w:val="auto"/>
                    </w:rPr>
                    <w:t>项目符合性</w:t>
                  </w:r>
                </w:p>
              </w:tc>
            </w:tr>
            <w:tr w14:paraId="4FBCBC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3"/>
                  <w:noWrap w:val="0"/>
                  <w:vAlign w:val="center"/>
                </w:tcPr>
                <w:p w14:paraId="20F8FE09">
                  <w:pPr>
                    <w:bidi w:val="0"/>
                    <w:jc w:val="center"/>
                    <w:rPr>
                      <w:rFonts w:hint="default"/>
                      <w:color w:val="auto"/>
                      <w:lang w:val="en-US" w:eastAsia="zh-CN"/>
                    </w:rPr>
                  </w:pPr>
                  <w:r>
                    <w:rPr>
                      <w:rFonts w:hint="eastAsia"/>
                      <w:color w:val="auto"/>
                      <w:lang w:val="en-US" w:eastAsia="zh-CN"/>
                    </w:rPr>
                    <w:t>乌苏市优先管控单元01（ZH65420210001）</w:t>
                  </w:r>
                </w:p>
              </w:tc>
            </w:tr>
            <w:tr w14:paraId="020F4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3"/>
                  <w:noWrap w:val="0"/>
                  <w:vAlign w:val="center"/>
                </w:tcPr>
                <w:p w14:paraId="25963269">
                  <w:pPr>
                    <w:bidi w:val="0"/>
                    <w:jc w:val="center"/>
                    <w:rPr>
                      <w:rFonts w:hint="default"/>
                      <w:color w:val="auto"/>
                      <w:lang w:val="en-US" w:eastAsia="zh-CN"/>
                    </w:rPr>
                  </w:pPr>
                  <w:r>
                    <w:rPr>
                      <w:rFonts w:hint="eastAsia"/>
                      <w:color w:val="auto"/>
                      <w:lang w:val="en-US" w:eastAsia="zh-CN"/>
                    </w:rPr>
                    <w:t>空间布局约束</w:t>
                  </w:r>
                </w:p>
              </w:tc>
            </w:tr>
            <w:tr w14:paraId="405D4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1" w:type="pct"/>
                  <w:gridSpan w:val="2"/>
                  <w:noWrap w:val="0"/>
                  <w:vAlign w:val="center"/>
                </w:tcPr>
                <w:p w14:paraId="15660473">
                  <w:pPr>
                    <w:bidi w:val="0"/>
                    <w:rPr>
                      <w:rFonts w:hint="default"/>
                      <w:color w:val="auto"/>
                      <w:lang w:val="en-US" w:eastAsia="zh-CN"/>
                    </w:rPr>
                  </w:pPr>
                  <w:r>
                    <w:rPr>
                      <w:rFonts w:hint="default"/>
                      <w:color w:val="auto"/>
                    </w:rPr>
                    <w:t>1.</w:t>
                  </w:r>
                  <w:r>
                    <w:rPr>
                      <w:rFonts w:hint="eastAsia"/>
                      <w:color w:val="auto"/>
                    </w:rPr>
                    <w:t>生态保护红线内自然保护地核心保护区外，禁止开发性、生产性建设活动，在符合法律法规的前提下，仅允许对生态功能不造成破坏的有限人为活动。</w:t>
                  </w:r>
                </w:p>
              </w:tc>
              <w:tc>
                <w:tcPr>
                  <w:tcW w:w="3398" w:type="pct"/>
                  <w:noWrap w:val="0"/>
                  <w:vAlign w:val="center"/>
                </w:tcPr>
                <w:p w14:paraId="1C35BE0D">
                  <w:pPr>
                    <w:bidi w:val="0"/>
                    <w:jc w:val="both"/>
                    <w:rPr>
                      <w:rFonts w:hint="default"/>
                      <w:color w:val="auto"/>
                      <w:lang w:val="en-US" w:eastAsia="zh-CN"/>
                    </w:rPr>
                  </w:pPr>
                  <w:r>
                    <w:rPr>
                      <w:rFonts w:hint="eastAsia"/>
                      <w:color w:val="auto"/>
                      <w:lang w:val="en-US" w:eastAsia="zh-CN"/>
                    </w:rPr>
                    <w:t>本项目属于G3033奎屯-独山子-库车高速公路的配套项目，生态保护红线的类型为天山水源涵养与生物多样性维护生态保护红线区，不涉及核心保护区和各类自然保护地核心管控区域，随着本标段高速公路的完工本项目也随之拆除，为有限人为活动，服务期满后进行生态恢复，不会对生态保护红线的生态功能造成长期不利影响。乌苏市自然资源局、乌苏市林业和草原局、塔城地区生态环境局乌苏市分局对临时占压生态保护红线无法避让的情况已进行审查并取得乌苏市人民政府关于该标段临时用地的认定意见。</w:t>
                  </w:r>
                </w:p>
              </w:tc>
            </w:tr>
          </w:tbl>
          <w:p w14:paraId="0B83C19A">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1.</w:t>
            </w:r>
            <w:r>
              <w:rPr>
                <w:rFonts w:hint="eastAsia" w:cs="Times New Roman"/>
                <w:b/>
                <w:bCs/>
                <w:color w:val="auto"/>
                <w:kern w:val="0"/>
                <w:sz w:val="24"/>
                <w:szCs w:val="24"/>
                <w:lang w:val="en-US" w:eastAsia="zh-CN"/>
              </w:rPr>
              <w:t>3</w:t>
            </w:r>
            <w:r>
              <w:rPr>
                <w:rFonts w:hint="default" w:ascii="Times New Roman" w:hAnsi="Times New Roman" w:cs="Times New Roman"/>
                <w:b/>
                <w:bCs/>
                <w:color w:val="auto"/>
                <w:kern w:val="0"/>
                <w:sz w:val="24"/>
                <w:szCs w:val="24"/>
                <w:lang w:val="en-US" w:eastAsia="zh-CN"/>
              </w:rPr>
              <w:t>与《空气质量持续改善行动计划》（国发</w:t>
            </w:r>
            <w:r>
              <w:rPr>
                <w:rFonts w:hint="default" w:ascii="Times New Roman" w:hAnsi="Times New Roman" w:eastAsia="宋体" w:cs="Times New Roman"/>
                <w:b/>
                <w:bCs/>
                <w:color w:val="auto"/>
                <w:kern w:val="0"/>
                <w:sz w:val="24"/>
                <w:szCs w:val="24"/>
                <w:lang w:val="en-US" w:eastAsia="zh-CN"/>
              </w:rPr>
              <w:t>〔2023〕24号</w:t>
            </w:r>
            <w:r>
              <w:rPr>
                <w:rFonts w:hint="default" w:ascii="Times New Roman" w:hAnsi="Times New Roman" w:cs="Times New Roman"/>
                <w:b/>
                <w:bCs/>
                <w:color w:val="auto"/>
                <w:kern w:val="0"/>
                <w:sz w:val="24"/>
                <w:szCs w:val="24"/>
                <w:lang w:val="en-US" w:eastAsia="zh-CN"/>
              </w:rPr>
              <w:t>）</w:t>
            </w:r>
            <w:r>
              <w:rPr>
                <w:rFonts w:hint="eastAsia" w:ascii="Times New Roman" w:hAnsi="Times New Roman" w:cs="Times New Roman"/>
                <w:b/>
                <w:bCs/>
                <w:color w:val="auto"/>
                <w:kern w:val="0"/>
                <w:sz w:val="24"/>
                <w:szCs w:val="24"/>
                <w:lang w:val="en-US" w:eastAsia="zh-CN"/>
              </w:rPr>
              <w:t>的</w:t>
            </w:r>
            <w:r>
              <w:rPr>
                <w:rFonts w:hint="default" w:ascii="Times New Roman" w:hAnsi="Times New Roman" w:cs="Times New Roman"/>
                <w:b/>
                <w:bCs/>
                <w:color w:val="auto"/>
                <w:kern w:val="0"/>
                <w:sz w:val="24"/>
                <w:szCs w:val="24"/>
                <w:lang w:val="en-US" w:eastAsia="zh-CN"/>
              </w:rPr>
              <w:t>符合性分析</w:t>
            </w:r>
          </w:p>
          <w:p w14:paraId="342171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根据</w:t>
            </w:r>
            <w:r>
              <w:rPr>
                <w:rFonts w:hint="default" w:ascii="Times New Roman" w:hAnsi="Times New Roman" w:cs="Times New Roman"/>
                <w:b w:val="0"/>
                <w:bCs w:val="0"/>
                <w:color w:val="auto"/>
                <w:kern w:val="0"/>
                <w:sz w:val="24"/>
                <w:szCs w:val="24"/>
                <w:lang w:val="en-US" w:eastAsia="zh-CN"/>
              </w:rPr>
              <w:t>《空气质量持续改善行动计划》（国发</w:t>
            </w:r>
            <w:r>
              <w:rPr>
                <w:rFonts w:hint="default" w:ascii="Times New Roman" w:hAnsi="Times New Roman" w:eastAsia="宋体" w:cs="Times New Roman"/>
                <w:b w:val="0"/>
                <w:bCs w:val="0"/>
                <w:color w:val="auto"/>
                <w:kern w:val="0"/>
                <w:sz w:val="24"/>
                <w:szCs w:val="24"/>
                <w:lang w:val="en-US" w:eastAsia="zh-CN"/>
              </w:rPr>
              <w:t>〔2023〕24号</w:t>
            </w:r>
            <w:r>
              <w:rPr>
                <w:rFonts w:hint="default" w:ascii="Times New Roman" w:hAnsi="Times New Roman" w:cs="Times New Roman"/>
                <w:b w:val="0"/>
                <w:bCs w:val="0"/>
                <w:color w:val="auto"/>
                <w:kern w:val="0"/>
                <w:sz w:val="24"/>
                <w:szCs w:val="24"/>
                <w:lang w:val="en-US" w:eastAsia="zh-CN"/>
              </w:rPr>
              <w:t>）</w:t>
            </w:r>
            <w:r>
              <w:rPr>
                <w:rFonts w:hint="eastAsia" w:ascii="Times New Roman" w:hAnsi="Times New Roman" w:cs="Times New Roman"/>
                <w:b w:val="0"/>
                <w:bCs w:val="0"/>
                <w:color w:val="auto"/>
                <w:kern w:val="0"/>
                <w:sz w:val="24"/>
                <w:szCs w:val="24"/>
                <w:lang w:val="en-US" w:eastAsia="zh-CN"/>
              </w:rPr>
              <w:t>中</w:t>
            </w:r>
            <w:r>
              <w:rPr>
                <w:rFonts w:hint="default" w:ascii="Times New Roman" w:hAnsi="Times New Roman" w:cs="Times New Roman"/>
                <w:b w:val="0"/>
                <w:bCs w:val="0"/>
                <w:color w:val="auto"/>
                <w:kern w:val="0"/>
                <w:sz w:val="24"/>
                <w:szCs w:val="24"/>
                <w:lang w:val="en-US" w:eastAsia="zh-CN"/>
              </w:rPr>
              <w:t>的相关内</w:t>
            </w:r>
            <w:r>
              <w:rPr>
                <w:rFonts w:hint="eastAsia" w:ascii="宋体" w:hAnsi="宋体" w:eastAsia="宋体" w:cs="宋体"/>
                <w:b w:val="0"/>
                <w:bCs w:val="0"/>
                <w:color w:val="auto"/>
                <w:kern w:val="0"/>
                <w:sz w:val="24"/>
                <w:szCs w:val="24"/>
                <w:lang w:val="en-US" w:eastAsia="zh-CN"/>
              </w:rPr>
              <w:t>容“</w:t>
            </w:r>
            <w:r>
              <w:rPr>
                <w:rFonts w:hint="default" w:ascii="Times New Roman" w:hAnsi="Times New Roman" w:cs="Times New Roman"/>
                <w:b w:val="0"/>
                <w:bCs w:val="0"/>
                <w:color w:val="auto"/>
                <w:kern w:val="0"/>
                <w:sz w:val="24"/>
                <w:szCs w:val="24"/>
                <w:lang w:val="en-US" w:eastAsia="zh-CN"/>
              </w:rPr>
              <w:t>（一）指导思想。</w:t>
            </w:r>
            <w:r>
              <w:rPr>
                <w:rFonts w:hint="default" w:ascii="Times New Roman" w:hAnsi="Times New Roman" w:eastAsia="宋体" w:cs="Times New Roman"/>
                <w:color w:val="auto"/>
                <w:sz w:val="24"/>
                <w:szCs w:val="24"/>
              </w:rPr>
              <w:t>以习近平新时代中国特色社会主义思想为指导</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全面贯彻党的二十大精神，深入贯彻习近平生态文明思想</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落实全国生态环境保护大会部署，坚持稳中求进工作总基调，协同推进降碳</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减污、扩绿、增长，以改善空气质量为核心，以减少重污染天气和解决人民群众身边的突出大气环境问题为重点，以降低细颗粒物（PM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）浓度为主线，大力推动氮氧化物和挥发性有机物（VOCs）减排；开展区域协同治理，突出精准、科学、依法治污，完善大气环境管理体系提升污染防治能力</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远近结合研究谋划大气污染防治路径，扎实推进产业、能源、交通绿色低碳转型，强化面源污染治理，加强源头防控加快形成绿色低碳生产生活方式，实现环境效益、经济效益和社会效益多赢</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w:t>
            </w:r>
          </w:p>
          <w:p w14:paraId="289916A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ascii="宋体" w:hAnsi="宋体" w:eastAsia="宋体" w:cs="宋体"/>
                <w:color w:val="auto"/>
                <w:sz w:val="24"/>
                <w:szCs w:val="24"/>
              </w:rPr>
              <w:t>本项目产生的废气主要为颗粒物，项目运营过程中产</w:t>
            </w:r>
            <w:r>
              <w:rPr>
                <w:rFonts w:hint="eastAsia" w:ascii="宋体" w:hAnsi="宋体" w:eastAsia="宋体" w:cs="宋体"/>
                <w:color w:val="auto"/>
                <w:sz w:val="24"/>
                <w:szCs w:val="24"/>
                <w:lang w:eastAsia="zh-CN"/>
              </w:rPr>
              <w:t>生的</w:t>
            </w:r>
            <w:r>
              <w:rPr>
                <w:rFonts w:ascii="宋体" w:hAnsi="宋体" w:eastAsia="宋体" w:cs="宋体"/>
                <w:color w:val="auto"/>
                <w:sz w:val="24"/>
                <w:szCs w:val="24"/>
              </w:rPr>
              <w:t>搅拌粉尘、筒仓粉尘、料场扬尘及运输扬尘均采取有效的环保治理措施进行处理，处理后的废气均能满足排放标准，对周围的环境影响不大。因此，项目的建设符合《空气质量持续改善行动计划》</w:t>
            </w:r>
            <w:r>
              <w:rPr>
                <w:rFonts w:hint="default" w:ascii="Times New Roman" w:hAnsi="Times New Roman" w:cs="Times New Roman"/>
                <w:b w:val="0"/>
                <w:bCs w:val="0"/>
                <w:color w:val="auto"/>
                <w:kern w:val="0"/>
                <w:sz w:val="24"/>
                <w:szCs w:val="24"/>
                <w:lang w:val="en-US" w:eastAsia="zh-CN"/>
              </w:rPr>
              <w:t>（国发</w:t>
            </w:r>
            <w:r>
              <w:rPr>
                <w:rFonts w:hint="default" w:ascii="Times New Roman" w:hAnsi="Times New Roman" w:eastAsia="宋体" w:cs="Times New Roman"/>
                <w:b w:val="0"/>
                <w:bCs w:val="0"/>
                <w:color w:val="auto"/>
                <w:kern w:val="0"/>
                <w:sz w:val="24"/>
                <w:szCs w:val="24"/>
                <w:lang w:val="en-US" w:eastAsia="zh-CN"/>
              </w:rPr>
              <w:t>〔2023〕24号</w:t>
            </w:r>
            <w:r>
              <w:rPr>
                <w:rFonts w:hint="default" w:ascii="Times New Roman" w:hAnsi="Times New Roman" w:cs="Times New Roman"/>
                <w:b w:val="0"/>
                <w:bCs w:val="0"/>
                <w:color w:val="auto"/>
                <w:kern w:val="0"/>
                <w:sz w:val="24"/>
                <w:szCs w:val="24"/>
                <w:lang w:val="en-US" w:eastAsia="zh-CN"/>
              </w:rPr>
              <w:t>）</w:t>
            </w:r>
            <w:r>
              <w:rPr>
                <w:rFonts w:hint="eastAsia" w:ascii="Times New Roman" w:hAnsi="Times New Roman" w:cs="Times New Roman"/>
                <w:b w:val="0"/>
                <w:bCs w:val="0"/>
                <w:color w:val="auto"/>
                <w:kern w:val="0"/>
                <w:sz w:val="24"/>
                <w:szCs w:val="24"/>
                <w:lang w:val="en-US" w:eastAsia="zh-CN"/>
              </w:rPr>
              <w:t>。</w:t>
            </w:r>
          </w:p>
          <w:p w14:paraId="37F35365">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1.</w:t>
            </w:r>
            <w:r>
              <w:rPr>
                <w:rFonts w:hint="eastAsia" w:cs="Times New Roman"/>
                <w:b/>
                <w:bCs/>
                <w:color w:val="auto"/>
                <w:kern w:val="0"/>
                <w:sz w:val="24"/>
                <w:szCs w:val="24"/>
                <w:lang w:val="en-US" w:eastAsia="zh-CN"/>
              </w:rPr>
              <w:t>4</w:t>
            </w:r>
            <w:r>
              <w:rPr>
                <w:rFonts w:hint="eastAsia" w:ascii="Times New Roman" w:hAnsi="Times New Roman" w:cs="Times New Roman"/>
                <w:b/>
                <w:bCs/>
                <w:color w:val="auto"/>
                <w:kern w:val="0"/>
                <w:sz w:val="24"/>
                <w:szCs w:val="24"/>
                <w:lang w:val="en-US" w:eastAsia="zh-CN"/>
              </w:rPr>
              <w:t>与《关于深入打好污染防治攻坚战的实施方案》的符合性分析</w:t>
            </w:r>
          </w:p>
          <w:p w14:paraId="637BC7B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ascii="宋体" w:hAnsi="宋体" w:eastAsia="宋体" w:cs="宋体"/>
                <w:color w:val="auto"/>
                <w:sz w:val="24"/>
                <w:szCs w:val="24"/>
              </w:rPr>
              <w:t>根据《关于深入打好污染防治攻坚战的实施方案》中的相关内容：“（七）坚决遏制高耗能高排放低水平项目盲目发展。严把高耗能高排放低水平项目准入关口，严格落实污染物排放区域削减要求，对不符合规定的项目坚决停批停建。依法依规淘汰落后产能和化解过剩产能；（十四）加强大气面源和噪声污染治理。提升城市精细化管理水平，强化施工、道路、堆场、裸露地面等扬尘管控，加强城市保洁和清扫。加大餐饮油烟污染、恶臭异味治理力度。强化秸秆综合利用和禁烧管控。深化消耗臭氧层物质和氢氟碳化物环境管理。实施噪声污染防治行动，畅通噪声污染投诉渠道，加快解决群众关心的突出噪声问题。”</w:t>
            </w:r>
          </w:p>
          <w:p w14:paraId="577419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ascii="宋体" w:hAnsi="宋体" w:eastAsia="宋体" w:cs="宋体"/>
                <w:color w:val="auto"/>
                <w:sz w:val="24"/>
                <w:szCs w:val="24"/>
              </w:rPr>
              <w:t>本项目严格控制生产能耗和污染排放，不属于高耗能高排放低水平项目，不属于《产业结构调整指导目录</w:t>
            </w:r>
            <w:r>
              <w:rPr>
                <w:rFonts w:hint="default" w:ascii="Times New Roman" w:hAnsi="Times New Roman" w:eastAsia="宋体" w:cs="Times New Roman"/>
                <w:color w:val="auto"/>
                <w:sz w:val="24"/>
                <w:szCs w:val="24"/>
              </w:rPr>
              <w:t>（2024年本</w:t>
            </w:r>
            <w:r>
              <w:rPr>
                <w:rFonts w:ascii="宋体" w:hAnsi="宋体" w:eastAsia="宋体" w:cs="宋体"/>
                <w:color w:val="auto"/>
                <w:sz w:val="24"/>
                <w:szCs w:val="24"/>
              </w:rPr>
              <w:t>）》中的淘汰类项目；施工期和运营期由施工、道路、堆场、裸露地面产生的扬尘均采取有效的环保治理措施进行处理，处理后的废气均能满足排放标准；机械设备定期进行维护</w:t>
            </w:r>
            <w:r>
              <w:rPr>
                <w:rFonts w:hint="eastAsia" w:ascii="宋体" w:hAnsi="宋体" w:cs="宋体"/>
                <w:color w:val="auto"/>
                <w:sz w:val="24"/>
                <w:szCs w:val="24"/>
                <w:lang w:val="en-US" w:eastAsia="zh-CN"/>
              </w:rPr>
              <w:t>保养</w:t>
            </w:r>
            <w:r>
              <w:rPr>
                <w:rFonts w:ascii="宋体" w:hAnsi="宋体" w:eastAsia="宋体" w:cs="宋体"/>
                <w:color w:val="auto"/>
                <w:sz w:val="24"/>
                <w:szCs w:val="24"/>
              </w:rPr>
              <w:t>以减少噪声的排放，经过生产车间的墙体及其他控制措施等对声源削减，噪声排放能满足相关排放标准。因此，项目的建设符合《关于深入打好污染防治攻坚战的实施方案》。</w:t>
            </w:r>
          </w:p>
          <w:p w14:paraId="648B43E1">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1.</w:t>
            </w:r>
            <w:r>
              <w:rPr>
                <w:rFonts w:hint="eastAsia" w:cs="Times New Roman"/>
                <w:b/>
                <w:bCs/>
                <w:color w:val="auto"/>
                <w:kern w:val="0"/>
                <w:sz w:val="24"/>
                <w:szCs w:val="24"/>
                <w:lang w:val="en-US" w:eastAsia="zh-CN"/>
              </w:rPr>
              <w:t>5</w:t>
            </w:r>
            <w:r>
              <w:rPr>
                <w:rFonts w:hint="eastAsia" w:ascii="Times New Roman" w:hAnsi="Times New Roman" w:cs="Times New Roman"/>
                <w:b/>
                <w:bCs/>
                <w:color w:val="auto"/>
                <w:kern w:val="0"/>
                <w:sz w:val="24"/>
                <w:szCs w:val="24"/>
                <w:lang w:val="en-US" w:eastAsia="zh-CN"/>
              </w:rPr>
              <w:t>与《大气污染防治行动计划》（国发</w:t>
            </w:r>
            <w:r>
              <w:rPr>
                <w:rFonts w:hint="default" w:ascii="Times New Roman" w:hAnsi="Times New Roman" w:eastAsia="宋体" w:cs="Times New Roman"/>
                <w:b/>
                <w:bCs/>
                <w:color w:val="auto"/>
                <w:kern w:val="0"/>
                <w:sz w:val="24"/>
                <w:szCs w:val="24"/>
                <w:lang w:val="en-US" w:eastAsia="zh-CN"/>
              </w:rPr>
              <w:t>〔20</w:t>
            </w:r>
            <w:r>
              <w:rPr>
                <w:rFonts w:hint="eastAsia" w:ascii="Times New Roman" w:hAnsi="Times New Roman" w:eastAsia="宋体" w:cs="Times New Roman"/>
                <w:b/>
                <w:bCs/>
                <w:color w:val="auto"/>
                <w:kern w:val="0"/>
                <w:sz w:val="24"/>
                <w:szCs w:val="24"/>
                <w:lang w:val="en-US" w:eastAsia="zh-CN"/>
              </w:rPr>
              <w:t>13</w:t>
            </w:r>
            <w:r>
              <w:rPr>
                <w:rFonts w:hint="default" w:ascii="Times New Roman" w:hAnsi="Times New Roman" w:eastAsia="宋体" w:cs="Times New Roman"/>
                <w:b/>
                <w:bCs/>
                <w:color w:val="auto"/>
                <w:kern w:val="0"/>
                <w:sz w:val="24"/>
                <w:szCs w:val="24"/>
                <w:lang w:val="en-US" w:eastAsia="zh-CN"/>
              </w:rPr>
              <w:t>〕</w:t>
            </w:r>
            <w:r>
              <w:rPr>
                <w:rFonts w:hint="eastAsia" w:ascii="Times New Roman" w:hAnsi="Times New Roman" w:eastAsia="宋体" w:cs="Times New Roman"/>
                <w:b/>
                <w:bCs/>
                <w:color w:val="auto"/>
                <w:kern w:val="0"/>
                <w:sz w:val="24"/>
                <w:szCs w:val="24"/>
                <w:lang w:val="en-US" w:eastAsia="zh-CN"/>
              </w:rPr>
              <w:t>37</w:t>
            </w:r>
            <w:r>
              <w:rPr>
                <w:rFonts w:hint="default" w:ascii="Times New Roman" w:hAnsi="Times New Roman" w:eastAsia="宋体" w:cs="Times New Roman"/>
                <w:b/>
                <w:bCs/>
                <w:color w:val="auto"/>
                <w:kern w:val="0"/>
                <w:sz w:val="24"/>
                <w:szCs w:val="24"/>
                <w:lang w:val="en-US" w:eastAsia="zh-CN"/>
              </w:rPr>
              <w:t>号</w:t>
            </w:r>
            <w:r>
              <w:rPr>
                <w:rFonts w:hint="eastAsia" w:ascii="Times New Roman" w:hAnsi="Times New Roman" w:cs="Times New Roman"/>
                <w:b/>
                <w:bCs/>
                <w:color w:val="auto"/>
                <w:kern w:val="0"/>
                <w:sz w:val="24"/>
                <w:szCs w:val="24"/>
                <w:lang w:val="en-US" w:eastAsia="zh-CN"/>
              </w:rPr>
              <w:t>）的符合性分析</w:t>
            </w:r>
          </w:p>
          <w:p w14:paraId="36899D8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宋体" w:hAnsi="宋体" w:eastAsia="宋体" w:cs="宋体"/>
                <w:color w:val="auto"/>
                <w:sz w:val="24"/>
                <w:szCs w:val="24"/>
              </w:rPr>
            </w:pPr>
            <w:r>
              <w:rPr>
                <w:rFonts w:ascii="宋体" w:hAnsi="宋体" w:eastAsia="宋体" w:cs="宋体"/>
                <w:color w:val="auto"/>
                <w:sz w:val="24"/>
                <w:szCs w:val="24"/>
              </w:rPr>
              <w:t>根据国务院发布的《关于印发大气污染防治行动计划的通知》</w:t>
            </w:r>
            <w:r>
              <w:rPr>
                <w:rFonts w:hint="eastAsia" w:ascii="宋体" w:hAnsi="宋体" w:eastAsia="宋体" w:cs="宋体"/>
                <w:color w:val="auto"/>
                <w:sz w:val="24"/>
                <w:szCs w:val="24"/>
                <w:lang w:eastAsia="zh-CN"/>
              </w:rPr>
              <w:t>（</w:t>
            </w:r>
            <w:r>
              <w:rPr>
                <w:rFonts w:ascii="宋体" w:hAnsi="宋体" w:eastAsia="宋体" w:cs="宋体"/>
                <w:color w:val="auto"/>
                <w:sz w:val="24"/>
                <w:szCs w:val="24"/>
              </w:rPr>
              <w:t>国发</w:t>
            </w:r>
            <w:r>
              <w:rPr>
                <w:rFonts w:hint="default" w:ascii="Times New Roman" w:hAnsi="Times New Roman" w:eastAsia="宋体" w:cs="Times New Roman"/>
                <w:color w:val="auto"/>
                <w:sz w:val="24"/>
                <w:szCs w:val="24"/>
              </w:rPr>
              <w:t>〔2013〕37</w:t>
            </w:r>
            <w:r>
              <w:rPr>
                <w:rFonts w:ascii="宋体" w:hAnsi="宋体" w:eastAsia="宋体" w:cs="宋体"/>
                <w:color w:val="auto"/>
                <w:sz w:val="24"/>
                <w:szCs w:val="24"/>
              </w:rPr>
              <w:t>号</w:t>
            </w:r>
            <w:r>
              <w:rPr>
                <w:rFonts w:hint="eastAsia" w:ascii="宋体" w:hAnsi="宋体" w:eastAsia="宋体" w:cs="宋体"/>
                <w:color w:val="auto"/>
                <w:sz w:val="24"/>
                <w:szCs w:val="24"/>
                <w:lang w:eastAsia="zh-CN"/>
              </w:rPr>
              <w:t>）</w:t>
            </w:r>
            <w:r>
              <w:rPr>
                <w:rFonts w:ascii="宋体" w:hAnsi="宋体" w:eastAsia="宋体" w:cs="宋体"/>
                <w:color w:val="auto"/>
                <w:sz w:val="24"/>
                <w:szCs w:val="24"/>
              </w:rPr>
              <w:t>，第一条为加大综合治理力度，减少多污染物排放，明确要求深化面源污染治理。渣土运输车辆应采取密闭措施，并逐步安装卫星定位系统。推行道路机械化清扫等低尘作业方式。大型煤堆、料堆要实现封闭储存或建设防风抑尘设施。推进城市及周边绿化和防风防沙林建设，扩大城市建成区绿地规模。</w:t>
            </w:r>
          </w:p>
          <w:p w14:paraId="763DAC1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ascii="宋体" w:hAnsi="宋体" w:eastAsia="宋体" w:cs="宋体"/>
                <w:color w:val="auto"/>
                <w:sz w:val="24"/>
                <w:szCs w:val="24"/>
              </w:rPr>
              <w:t>本项目已实现封闭储存，同时建设防尘抑尘等环保措施，能够有效减少污染物产生，经各项治理措施，项目产生的污染物可达标排放。因此，本项目符合《大气污染防治行动计划》</w:t>
            </w:r>
            <w:r>
              <w:rPr>
                <w:rFonts w:hint="eastAsia" w:ascii="宋体" w:hAnsi="宋体" w:eastAsia="宋体" w:cs="宋体"/>
                <w:color w:val="auto"/>
                <w:sz w:val="24"/>
                <w:szCs w:val="24"/>
                <w:lang w:eastAsia="zh-CN"/>
              </w:rPr>
              <w:t>（</w:t>
            </w:r>
            <w:r>
              <w:rPr>
                <w:rFonts w:ascii="宋体" w:hAnsi="宋体" w:eastAsia="宋体" w:cs="宋体"/>
                <w:color w:val="auto"/>
                <w:sz w:val="24"/>
                <w:szCs w:val="24"/>
              </w:rPr>
              <w:t>国发</w:t>
            </w:r>
            <w:r>
              <w:rPr>
                <w:rFonts w:hint="default" w:ascii="Times New Roman" w:hAnsi="Times New Roman" w:eastAsia="宋体" w:cs="Times New Roman"/>
                <w:color w:val="auto"/>
                <w:sz w:val="24"/>
                <w:szCs w:val="24"/>
              </w:rPr>
              <w:t>〔2013〕37</w:t>
            </w:r>
            <w:r>
              <w:rPr>
                <w:rFonts w:ascii="宋体" w:hAnsi="宋体" w:eastAsia="宋体" w:cs="宋体"/>
                <w:color w:val="auto"/>
                <w:sz w:val="24"/>
                <w:szCs w:val="24"/>
              </w:rPr>
              <w:t>号</w:t>
            </w:r>
            <w:r>
              <w:rPr>
                <w:rFonts w:hint="eastAsia" w:ascii="宋体" w:hAnsi="宋体" w:eastAsia="宋体" w:cs="宋体"/>
                <w:color w:val="auto"/>
                <w:sz w:val="24"/>
                <w:szCs w:val="24"/>
                <w:lang w:eastAsia="zh-CN"/>
              </w:rPr>
              <w:t>）</w:t>
            </w:r>
            <w:r>
              <w:rPr>
                <w:rFonts w:ascii="宋体" w:hAnsi="宋体" w:eastAsia="宋体" w:cs="宋体"/>
                <w:color w:val="auto"/>
                <w:sz w:val="24"/>
                <w:szCs w:val="24"/>
              </w:rPr>
              <w:t>中相关要求。</w:t>
            </w:r>
          </w:p>
          <w:p w14:paraId="50585F18">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1.</w:t>
            </w:r>
            <w:r>
              <w:rPr>
                <w:rFonts w:hint="eastAsia" w:cs="Times New Roman"/>
                <w:b/>
                <w:bCs/>
                <w:color w:val="auto"/>
                <w:kern w:val="0"/>
                <w:sz w:val="24"/>
                <w:szCs w:val="24"/>
                <w:lang w:val="en-US" w:eastAsia="zh-CN"/>
              </w:rPr>
              <w:t>6</w:t>
            </w:r>
            <w:r>
              <w:rPr>
                <w:rFonts w:hint="eastAsia" w:ascii="Times New Roman" w:hAnsi="Times New Roman" w:cs="Times New Roman"/>
                <w:b/>
                <w:bCs/>
                <w:color w:val="auto"/>
                <w:kern w:val="0"/>
                <w:sz w:val="24"/>
                <w:szCs w:val="24"/>
                <w:lang w:val="en-US" w:eastAsia="zh-CN"/>
              </w:rPr>
              <w:t>与《工业料堆场扬尘整治规范》（DB65/T4061-2017）的符合性分析</w:t>
            </w:r>
          </w:p>
          <w:p w14:paraId="2BB515E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ascii="宋体" w:hAnsi="宋体" w:eastAsia="宋体" w:cs="宋体"/>
                <w:color w:val="auto"/>
                <w:sz w:val="24"/>
                <w:szCs w:val="24"/>
              </w:rPr>
              <w:t>根据《工业料堆场扬尘整治规范》</w:t>
            </w:r>
            <w:r>
              <w:rPr>
                <w:rFonts w:hint="default" w:ascii="Times New Roman" w:hAnsi="Times New Roman" w:eastAsia="宋体" w:cs="Times New Roman"/>
                <w:color w:val="auto"/>
                <w:sz w:val="24"/>
                <w:szCs w:val="24"/>
              </w:rPr>
              <w:t>（DB65/T4061-2017）</w:t>
            </w:r>
            <w:r>
              <w:rPr>
                <w:rFonts w:ascii="宋体" w:hAnsi="宋体" w:eastAsia="宋体" w:cs="宋体"/>
                <w:color w:val="auto"/>
                <w:sz w:val="24"/>
                <w:szCs w:val="24"/>
              </w:rPr>
              <w:t>的文件要求：“</w:t>
            </w:r>
            <w:r>
              <w:rPr>
                <w:rFonts w:hint="default" w:ascii="Times New Roman" w:hAnsi="Times New Roman" w:eastAsia="宋体" w:cs="Times New Roman"/>
                <w:color w:val="auto"/>
                <w:sz w:val="24"/>
                <w:szCs w:val="24"/>
              </w:rPr>
              <w:t>5.7工业料堆场内应采用连续输送设备将物料送往用户，避免二次中转倒运。5.8对工业料堆场内装卸、运输等作业过程中，易产生扬尘污染的</w:t>
            </w:r>
            <w:r>
              <w:rPr>
                <w:rFonts w:ascii="宋体" w:hAnsi="宋体" w:eastAsia="宋体" w:cs="宋体"/>
                <w:color w:val="auto"/>
                <w:sz w:val="24"/>
                <w:szCs w:val="24"/>
              </w:rPr>
              <w:t>物料必须采取封闭、遮盖、洒水降尘措施，密闭输送物料必须在装料、卸料处配备吸尘、喷淋防尘措施。”</w:t>
            </w:r>
          </w:p>
          <w:p w14:paraId="23BF9EA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ascii="宋体" w:hAnsi="宋体" w:eastAsia="宋体" w:cs="宋体"/>
                <w:color w:val="auto"/>
                <w:sz w:val="24"/>
                <w:szCs w:val="24"/>
              </w:rPr>
              <w:t>根据《工业料堆场扬尘整治规范》</w:t>
            </w:r>
            <w:r>
              <w:rPr>
                <w:rFonts w:hint="default" w:ascii="Times New Roman" w:hAnsi="Times New Roman" w:eastAsia="宋体" w:cs="Times New Roman"/>
                <w:color w:val="auto"/>
                <w:sz w:val="24"/>
                <w:szCs w:val="24"/>
              </w:rPr>
              <w:t>（DB65/T4061-2017）</w:t>
            </w:r>
            <w:r>
              <w:rPr>
                <w:rFonts w:hint="eastAsia" w:ascii="Times New Roman" w:hAnsi="Times New Roman" w:eastAsia="宋体" w:cs="Times New Roman"/>
                <w:color w:val="auto"/>
                <w:sz w:val="24"/>
                <w:szCs w:val="24"/>
                <w:lang w:val="en-US" w:eastAsia="zh-CN"/>
              </w:rPr>
              <w:t>中表2工业料堆场扬尘整治方案选择参考表见表1-3。</w:t>
            </w:r>
          </w:p>
          <w:p w14:paraId="6895A34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cs="Times New Roman"/>
                <w:b/>
                <w:bCs/>
                <w:color w:val="auto"/>
                <w:kern w:val="0"/>
                <w:sz w:val="21"/>
                <w:szCs w:val="21"/>
                <w:lang w:val="en-US" w:eastAsia="zh-CN"/>
              </w:rPr>
              <w:t>表1-3  工业料堆场扬尘整治方案选择参考表</w:t>
            </w:r>
          </w:p>
          <w:tbl>
            <w:tblPr>
              <w:tblStyle w:val="29"/>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2100"/>
              <w:gridCol w:w="1668"/>
              <w:gridCol w:w="1255"/>
            </w:tblGrid>
            <w:tr w14:paraId="1998A6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tcBorders>
                    <w:tl2br w:val="nil"/>
                    <w:tr2bl w:val="nil"/>
                  </w:tcBorders>
                  <w:noWrap w:val="0"/>
                  <w:vAlign w:val="center"/>
                </w:tcPr>
                <w:p w14:paraId="6B2AA9C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工业料堆场类型</w:t>
                  </w:r>
                </w:p>
              </w:tc>
              <w:tc>
                <w:tcPr>
                  <w:tcW w:w="3004" w:type="pct"/>
                  <w:gridSpan w:val="2"/>
                  <w:tcBorders>
                    <w:tl2br w:val="nil"/>
                    <w:tr2bl w:val="nil"/>
                  </w:tcBorders>
                  <w:noWrap w:val="0"/>
                  <w:vAlign w:val="center"/>
                </w:tcPr>
                <w:p w14:paraId="197378F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方案</w:t>
                  </w:r>
                </w:p>
              </w:tc>
              <w:tc>
                <w:tcPr>
                  <w:tcW w:w="1000" w:type="pct"/>
                  <w:tcBorders>
                    <w:tl2br w:val="nil"/>
                    <w:tr2bl w:val="nil"/>
                  </w:tcBorders>
                  <w:noWrap w:val="0"/>
                  <w:vAlign w:val="center"/>
                </w:tcPr>
                <w:p w14:paraId="0CD258D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本项目</w:t>
                  </w:r>
                </w:p>
              </w:tc>
            </w:tr>
            <w:tr w14:paraId="5B920F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restart"/>
                  <w:tcBorders>
                    <w:tl2br w:val="nil"/>
                    <w:tr2bl w:val="nil"/>
                  </w:tcBorders>
                  <w:noWrap w:val="0"/>
                  <w:vAlign w:val="center"/>
                </w:tcPr>
                <w:p w14:paraId="17D019F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I类料堆场</w:t>
                  </w:r>
                </w:p>
              </w:tc>
              <w:tc>
                <w:tcPr>
                  <w:tcW w:w="3004" w:type="pct"/>
                  <w:gridSpan w:val="2"/>
                  <w:tcBorders>
                    <w:tl2br w:val="nil"/>
                    <w:tr2bl w:val="nil"/>
                  </w:tcBorders>
                  <w:noWrap w:val="0"/>
                  <w:vAlign w:val="center"/>
                </w:tcPr>
                <w:p w14:paraId="7E947A1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1</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筒仓</w:t>
                  </w:r>
                </w:p>
              </w:tc>
              <w:tc>
                <w:tcPr>
                  <w:tcW w:w="1000" w:type="pct"/>
                  <w:vMerge w:val="restart"/>
                  <w:tcBorders>
                    <w:tl2br w:val="nil"/>
                    <w:tr2bl w:val="nil"/>
                  </w:tcBorders>
                  <w:noWrap w:val="0"/>
                  <w:vAlign w:val="center"/>
                </w:tcPr>
                <w:p w14:paraId="53CA2E3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水泥、粉煤灰采用筒仓</w:t>
                  </w:r>
                  <w:r>
                    <w:rPr>
                      <w:rFonts w:hint="eastAsia" w:cs="Times New Roman"/>
                      <w:color w:val="auto"/>
                      <w:kern w:val="0"/>
                      <w:sz w:val="21"/>
                      <w:szCs w:val="21"/>
                      <w:vertAlign w:val="baseline"/>
                      <w:lang w:val="en-US" w:eastAsia="zh-CN"/>
                    </w:rPr>
                    <w:t>、</w:t>
                  </w:r>
                  <w:r>
                    <w:rPr>
                      <w:rFonts w:hint="eastAsia" w:ascii="Times New Roman" w:hAnsi="Times New Roman" w:cs="Times New Roman"/>
                      <w:color w:val="auto"/>
                      <w:kern w:val="0"/>
                      <w:sz w:val="21"/>
                      <w:szCs w:val="21"/>
                      <w:vertAlign w:val="baseline"/>
                      <w:lang w:val="en-US" w:eastAsia="zh-CN"/>
                    </w:rPr>
                    <w:t>砂石料仓全封闭料仓</w:t>
                  </w:r>
                </w:p>
              </w:tc>
            </w:tr>
            <w:tr w14:paraId="440F0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continue"/>
                  <w:tcBorders>
                    <w:tl2br w:val="nil"/>
                    <w:tr2bl w:val="nil"/>
                  </w:tcBorders>
                  <w:noWrap w:val="0"/>
                  <w:vAlign w:val="center"/>
                </w:tcPr>
                <w:p w14:paraId="66D328B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04" w:type="pct"/>
                  <w:gridSpan w:val="2"/>
                  <w:tcBorders>
                    <w:tl2br w:val="nil"/>
                    <w:tr2bl w:val="nil"/>
                  </w:tcBorders>
                  <w:noWrap w:val="0"/>
                  <w:vAlign w:val="center"/>
                </w:tcPr>
                <w:p w14:paraId="2D13A18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2</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圆形料仓</w:t>
                  </w:r>
                </w:p>
              </w:tc>
              <w:tc>
                <w:tcPr>
                  <w:tcW w:w="1000" w:type="pct"/>
                  <w:vMerge w:val="continue"/>
                  <w:tcBorders>
                    <w:tl2br w:val="nil"/>
                    <w:tr2bl w:val="nil"/>
                  </w:tcBorders>
                  <w:noWrap w:val="0"/>
                  <w:vAlign w:val="center"/>
                </w:tcPr>
                <w:p w14:paraId="6F13502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rPr>
                  </w:pPr>
                </w:p>
              </w:tc>
            </w:tr>
            <w:tr w14:paraId="6D1361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continue"/>
                  <w:tcBorders>
                    <w:tl2br w:val="nil"/>
                    <w:tr2bl w:val="nil"/>
                  </w:tcBorders>
                  <w:noWrap w:val="0"/>
                  <w:vAlign w:val="center"/>
                </w:tcPr>
                <w:p w14:paraId="0AB7162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color w:val="auto"/>
                      <w:kern w:val="0"/>
                      <w:sz w:val="21"/>
                      <w:szCs w:val="21"/>
                      <w:vertAlign w:val="baseline"/>
                      <w:lang w:val="en-US" w:eastAsia="zh-CN"/>
                    </w:rPr>
                  </w:pPr>
                </w:p>
              </w:tc>
              <w:tc>
                <w:tcPr>
                  <w:tcW w:w="3004" w:type="pct"/>
                  <w:gridSpan w:val="2"/>
                  <w:tcBorders>
                    <w:tl2br w:val="nil"/>
                    <w:tr2bl w:val="nil"/>
                  </w:tcBorders>
                  <w:noWrap w:val="0"/>
                  <w:vAlign w:val="center"/>
                </w:tcPr>
                <w:p w14:paraId="672DCA7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3</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其它全封闭性仓库</w:t>
                  </w:r>
                </w:p>
              </w:tc>
              <w:tc>
                <w:tcPr>
                  <w:tcW w:w="1000" w:type="pct"/>
                  <w:vMerge w:val="continue"/>
                  <w:tcBorders>
                    <w:tl2br w:val="nil"/>
                    <w:tr2bl w:val="nil"/>
                  </w:tcBorders>
                  <w:noWrap w:val="0"/>
                  <w:vAlign w:val="center"/>
                </w:tcPr>
                <w:p w14:paraId="3CF4FB9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rPr>
                  </w:pPr>
                </w:p>
              </w:tc>
            </w:tr>
            <w:tr w14:paraId="171D4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restart"/>
                  <w:tcBorders>
                    <w:tl2br w:val="nil"/>
                    <w:tr2bl w:val="nil"/>
                  </w:tcBorders>
                  <w:noWrap w:val="0"/>
                  <w:vAlign w:val="center"/>
                </w:tcPr>
                <w:p w14:paraId="286338B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lang w:val="en-US" w:eastAsia="zh-CN"/>
                    </w:rPr>
                    <w:t>Ⅱ</w:t>
                  </w:r>
                  <w:r>
                    <w:rPr>
                      <w:rFonts w:hint="eastAsia" w:ascii="Times New Roman" w:hAnsi="Times New Roman" w:cs="Times New Roman"/>
                      <w:color w:val="auto"/>
                      <w:kern w:val="0"/>
                      <w:sz w:val="21"/>
                      <w:szCs w:val="21"/>
                      <w:vertAlign w:val="baseline"/>
                      <w:lang w:val="en-US" w:eastAsia="zh-CN"/>
                    </w:rPr>
                    <w:t>类料堆场</w:t>
                  </w:r>
                </w:p>
              </w:tc>
              <w:tc>
                <w:tcPr>
                  <w:tcW w:w="3004" w:type="pct"/>
                  <w:gridSpan w:val="2"/>
                  <w:tcBorders>
                    <w:tl2br w:val="nil"/>
                    <w:tr2bl w:val="nil"/>
                  </w:tcBorders>
                  <w:noWrap w:val="0"/>
                  <w:vAlign w:val="center"/>
                </w:tcPr>
                <w:p w14:paraId="2A74DDA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4</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可用I类料堆场防治方案</w:t>
                  </w:r>
                </w:p>
              </w:tc>
              <w:tc>
                <w:tcPr>
                  <w:tcW w:w="1000" w:type="pct"/>
                  <w:vMerge w:val="restart"/>
                  <w:tcBorders>
                    <w:tl2br w:val="nil"/>
                    <w:tr2bl w:val="nil"/>
                  </w:tcBorders>
                  <w:noWrap w:val="0"/>
                  <w:vAlign w:val="center"/>
                </w:tcPr>
                <w:p w14:paraId="334B47B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喷洒水措施</w:t>
                  </w:r>
                </w:p>
              </w:tc>
            </w:tr>
            <w:tr w14:paraId="5C8559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continue"/>
                  <w:tcBorders>
                    <w:tl2br w:val="nil"/>
                    <w:tr2bl w:val="nil"/>
                  </w:tcBorders>
                  <w:noWrap w:val="0"/>
                  <w:vAlign w:val="center"/>
                </w:tcPr>
                <w:p w14:paraId="42D2B29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color w:val="auto"/>
                      <w:kern w:val="0"/>
                      <w:sz w:val="21"/>
                      <w:szCs w:val="21"/>
                      <w:vertAlign w:val="baseline"/>
                      <w:lang w:val="en-US" w:eastAsia="zh-CN"/>
                    </w:rPr>
                  </w:pPr>
                </w:p>
              </w:tc>
              <w:tc>
                <w:tcPr>
                  <w:tcW w:w="1674" w:type="pct"/>
                  <w:tcBorders>
                    <w:tl2br w:val="nil"/>
                    <w:tr2bl w:val="nil"/>
                  </w:tcBorders>
                  <w:noWrap w:val="0"/>
                  <w:vAlign w:val="center"/>
                </w:tcPr>
                <w:p w14:paraId="091E793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5</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半封闭仓库+</w:t>
                  </w:r>
                </w:p>
              </w:tc>
              <w:tc>
                <w:tcPr>
                  <w:tcW w:w="1330" w:type="pct"/>
                  <w:vMerge w:val="restart"/>
                  <w:tcBorders>
                    <w:tl2br w:val="nil"/>
                    <w:tr2bl w:val="nil"/>
                  </w:tcBorders>
                  <w:noWrap w:val="0"/>
                  <w:vAlign w:val="center"/>
                </w:tcPr>
                <w:p w14:paraId="66CB298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a</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喷洒水</w:t>
                  </w:r>
                </w:p>
                <w:p w14:paraId="539A8A5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b）覆盖</w:t>
                  </w:r>
                </w:p>
                <w:p w14:paraId="4E3C335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c）喷洒抑制剂</w:t>
                  </w:r>
                </w:p>
                <w:p w14:paraId="579F399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d）干雾抑尘</w:t>
                  </w:r>
                </w:p>
              </w:tc>
              <w:tc>
                <w:tcPr>
                  <w:tcW w:w="1000" w:type="pct"/>
                  <w:vMerge w:val="continue"/>
                  <w:tcBorders>
                    <w:tl2br w:val="nil"/>
                    <w:tr2bl w:val="nil"/>
                  </w:tcBorders>
                  <w:noWrap w:val="0"/>
                  <w:vAlign w:val="center"/>
                </w:tcPr>
                <w:p w14:paraId="736312D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rPr>
                  </w:pPr>
                </w:p>
              </w:tc>
            </w:tr>
            <w:tr w14:paraId="27745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continue"/>
                  <w:tcBorders>
                    <w:tl2br w:val="nil"/>
                    <w:tr2bl w:val="nil"/>
                  </w:tcBorders>
                  <w:noWrap w:val="0"/>
                  <w:vAlign w:val="center"/>
                </w:tcPr>
                <w:p w14:paraId="2553DC6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color w:val="auto"/>
                      <w:kern w:val="0"/>
                      <w:sz w:val="21"/>
                      <w:szCs w:val="21"/>
                      <w:vertAlign w:val="baseline"/>
                      <w:lang w:val="en-US" w:eastAsia="zh-CN"/>
                    </w:rPr>
                  </w:pPr>
                </w:p>
              </w:tc>
              <w:tc>
                <w:tcPr>
                  <w:tcW w:w="1674" w:type="pct"/>
                  <w:tcBorders>
                    <w:tl2br w:val="nil"/>
                    <w:tr2bl w:val="nil"/>
                  </w:tcBorders>
                  <w:noWrap w:val="0"/>
                  <w:vAlign w:val="center"/>
                </w:tcPr>
                <w:p w14:paraId="6059A0A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6</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防风抑尘网（墙）+</w:t>
                  </w:r>
                </w:p>
              </w:tc>
              <w:tc>
                <w:tcPr>
                  <w:tcW w:w="1330" w:type="pct"/>
                  <w:vMerge w:val="continue"/>
                  <w:tcBorders>
                    <w:tl2br w:val="nil"/>
                    <w:tr2bl w:val="nil"/>
                  </w:tcBorders>
                  <w:noWrap w:val="0"/>
                  <w:vAlign w:val="center"/>
                </w:tcPr>
                <w:p w14:paraId="11EB1E1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rPr>
                  </w:pPr>
                </w:p>
              </w:tc>
              <w:tc>
                <w:tcPr>
                  <w:tcW w:w="1000" w:type="pct"/>
                  <w:vMerge w:val="continue"/>
                  <w:tcBorders>
                    <w:tl2br w:val="nil"/>
                    <w:tr2bl w:val="nil"/>
                  </w:tcBorders>
                  <w:noWrap w:val="0"/>
                  <w:vAlign w:val="center"/>
                </w:tcPr>
                <w:p w14:paraId="59BA99C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rPr>
                  </w:pPr>
                </w:p>
              </w:tc>
            </w:tr>
            <w:tr w14:paraId="036A5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restart"/>
                  <w:tcBorders>
                    <w:tl2br w:val="nil"/>
                    <w:tr2bl w:val="nil"/>
                  </w:tcBorders>
                  <w:noWrap w:val="0"/>
                  <w:vAlign w:val="center"/>
                </w:tcPr>
                <w:p w14:paraId="02DEADE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lang w:val="en-US" w:eastAsia="zh-CN"/>
                    </w:rPr>
                    <w:t>Ⅲ</w:t>
                  </w:r>
                  <w:r>
                    <w:rPr>
                      <w:rFonts w:hint="eastAsia" w:ascii="Times New Roman" w:hAnsi="Times New Roman" w:cs="Times New Roman"/>
                      <w:color w:val="auto"/>
                      <w:kern w:val="0"/>
                      <w:sz w:val="21"/>
                      <w:szCs w:val="21"/>
                      <w:vertAlign w:val="baseline"/>
                      <w:lang w:val="en-US" w:eastAsia="zh-CN"/>
                    </w:rPr>
                    <w:t>类料堆场</w:t>
                  </w:r>
                </w:p>
              </w:tc>
              <w:tc>
                <w:tcPr>
                  <w:tcW w:w="3004" w:type="pct"/>
                  <w:gridSpan w:val="2"/>
                  <w:tcBorders>
                    <w:tl2br w:val="nil"/>
                    <w:tr2bl w:val="nil"/>
                  </w:tcBorders>
                  <w:noWrap w:val="0"/>
                  <w:vAlign w:val="center"/>
                </w:tcPr>
                <w:p w14:paraId="3AD7D0D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7</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可用I和</w:t>
                  </w:r>
                  <w:r>
                    <w:rPr>
                      <w:rFonts w:hint="default" w:ascii="Times New Roman" w:hAnsi="Times New Roman" w:cs="Times New Roman"/>
                      <w:color w:val="auto"/>
                      <w:kern w:val="0"/>
                      <w:sz w:val="21"/>
                      <w:szCs w:val="21"/>
                      <w:vertAlign w:val="baseline"/>
                      <w:lang w:val="en-US" w:eastAsia="zh-CN"/>
                    </w:rPr>
                    <w:t>Ⅱ</w:t>
                  </w:r>
                  <w:r>
                    <w:rPr>
                      <w:rFonts w:hint="eastAsia" w:ascii="Times New Roman" w:hAnsi="Times New Roman" w:cs="Times New Roman"/>
                      <w:color w:val="auto"/>
                      <w:kern w:val="0"/>
                      <w:sz w:val="21"/>
                      <w:szCs w:val="21"/>
                      <w:vertAlign w:val="baseline"/>
                      <w:lang w:val="en-US" w:eastAsia="zh-CN"/>
                    </w:rPr>
                    <w:t>类料堆场防治方案</w:t>
                  </w:r>
                </w:p>
              </w:tc>
              <w:tc>
                <w:tcPr>
                  <w:tcW w:w="1000" w:type="pct"/>
                  <w:tcBorders>
                    <w:tl2br w:val="nil"/>
                    <w:tr2bl w:val="nil"/>
                  </w:tcBorders>
                  <w:noWrap w:val="0"/>
                  <w:vAlign w:val="center"/>
                </w:tcPr>
                <w:p w14:paraId="681BB77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w:t>
                  </w:r>
                </w:p>
              </w:tc>
            </w:tr>
            <w:tr w14:paraId="69825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5" w:type="pct"/>
                  <w:vMerge w:val="continue"/>
                  <w:tcBorders>
                    <w:tl2br w:val="nil"/>
                    <w:tr2bl w:val="nil"/>
                  </w:tcBorders>
                  <w:noWrap w:val="0"/>
                  <w:vAlign w:val="center"/>
                </w:tcPr>
                <w:p w14:paraId="6895B64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color w:val="auto"/>
                      <w:kern w:val="0"/>
                      <w:sz w:val="21"/>
                      <w:szCs w:val="21"/>
                      <w:vertAlign w:val="baseline"/>
                      <w:lang w:val="en-US" w:eastAsia="zh-CN"/>
                    </w:rPr>
                  </w:pPr>
                </w:p>
              </w:tc>
              <w:tc>
                <w:tcPr>
                  <w:tcW w:w="1674" w:type="pct"/>
                  <w:tcBorders>
                    <w:tl2br w:val="nil"/>
                    <w:tr2bl w:val="nil"/>
                  </w:tcBorders>
                  <w:noWrap w:val="0"/>
                  <w:vAlign w:val="center"/>
                </w:tcPr>
                <w:p w14:paraId="15FAFAC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8</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覆盖+</w:t>
                  </w:r>
                </w:p>
              </w:tc>
              <w:tc>
                <w:tcPr>
                  <w:tcW w:w="1330" w:type="pct"/>
                  <w:tcBorders>
                    <w:tl2br w:val="nil"/>
                    <w:tr2bl w:val="nil"/>
                  </w:tcBorders>
                  <w:noWrap w:val="0"/>
                  <w:vAlign w:val="center"/>
                </w:tcPr>
                <w:p w14:paraId="5E5BF25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a</w:t>
                  </w:r>
                  <w:r>
                    <w:rPr>
                      <w:rFonts w:hint="eastAsia" w:ascii="Times New Roman" w:hAnsi="Times New Roman" w:cs="Times New Roman"/>
                      <w:color w:val="auto"/>
                      <w:kern w:val="0"/>
                      <w:sz w:val="21"/>
                      <w:szCs w:val="21"/>
                      <w:vertAlign w:val="baseline"/>
                      <w:lang w:eastAsia="zh-CN"/>
                    </w:rPr>
                    <w:t>）</w:t>
                  </w:r>
                  <w:r>
                    <w:rPr>
                      <w:rFonts w:hint="eastAsia" w:ascii="Times New Roman" w:hAnsi="Times New Roman" w:cs="Times New Roman"/>
                      <w:color w:val="auto"/>
                      <w:kern w:val="0"/>
                      <w:sz w:val="21"/>
                      <w:szCs w:val="21"/>
                      <w:vertAlign w:val="baseline"/>
                      <w:lang w:val="en-US" w:eastAsia="zh-CN"/>
                    </w:rPr>
                    <w:t>喷洒水</w:t>
                  </w:r>
                </w:p>
                <w:p w14:paraId="48F8C11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b）喷洒抑制剂</w:t>
                  </w:r>
                </w:p>
              </w:tc>
              <w:tc>
                <w:tcPr>
                  <w:tcW w:w="1000" w:type="pct"/>
                  <w:tcBorders>
                    <w:tl2br w:val="nil"/>
                    <w:tr2bl w:val="nil"/>
                  </w:tcBorders>
                  <w:noWrap w:val="0"/>
                  <w:vAlign w:val="center"/>
                </w:tcPr>
                <w:p w14:paraId="12F12A0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w:t>
                  </w:r>
                </w:p>
              </w:tc>
            </w:tr>
          </w:tbl>
          <w:p w14:paraId="75693C0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rPr>
              <w:t>《工业料堆场扬尘整治规范》（DB65/T4061-2017）要</w:t>
            </w:r>
            <w:r>
              <w:rPr>
                <w:rFonts w:ascii="宋体" w:hAnsi="宋体" w:eastAsia="宋体" w:cs="宋体"/>
                <w:color w:val="auto"/>
                <w:sz w:val="24"/>
                <w:szCs w:val="24"/>
              </w:rPr>
              <w:t>求：“对于</w:t>
            </w:r>
            <w:r>
              <w:rPr>
                <w:rFonts w:hint="default" w:ascii="Times New Roman" w:hAnsi="Times New Roman" w:eastAsia="宋体" w:cs="Times New Roman"/>
                <w:color w:val="auto"/>
                <w:sz w:val="24"/>
                <w:szCs w:val="24"/>
                <w:lang w:eastAsia="zh-CN"/>
              </w:rPr>
              <w:t>Ⅱ</w:t>
            </w:r>
            <w:r>
              <w:rPr>
                <w:rFonts w:hint="eastAsia" w:ascii="宋体" w:hAnsi="宋体" w:eastAsia="宋体" w:cs="宋体"/>
                <w:color w:val="auto"/>
                <w:sz w:val="24"/>
                <w:szCs w:val="24"/>
                <w:lang w:eastAsia="zh-CN"/>
              </w:rPr>
              <w:t>类</w:t>
            </w:r>
            <w:r>
              <w:rPr>
                <w:rFonts w:hint="default" w:ascii="Times New Roman" w:hAnsi="Times New Roman" w:eastAsia="宋体" w:cs="Times New Roman"/>
                <w:color w:val="auto"/>
                <w:sz w:val="24"/>
                <w:szCs w:val="24"/>
              </w:rPr>
              <w:t>料堆场，除选取（5）和（6）两种措施之一外，根据物料特性还应至少选取a、b、c和d四种防治措施之一。</w:t>
            </w:r>
            <w:r>
              <w:rPr>
                <w:rFonts w:hint="eastAsia" w:ascii="宋体" w:hAnsi="宋体" w:eastAsia="宋体" w:cs="宋体"/>
                <w:color w:val="auto"/>
                <w:sz w:val="24"/>
                <w:szCs w:val="24"/>
              </w:rPr>
              <w:t>”</w:t>
            </w:r>
          </w:p>
          <w:p w14:paraId="0D967CA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rPr>
            </w:pPr>
            <w:r>
              <w:rPr>
                <w:rFonts w:hint="default" w:ascii="Times New Roman" w:hAnsi="Times New Roman" w:eastAsia="宋体" w:cs="Times New Roman"/>
                <w:color w:val="auto"/>
                <w:sz w:val="24"/>
                <w:szCs w:val="24"/>
              </w:rPr>
              <w:t>本项目料堆场类型为</w:t>
            </w:r>
            <w:r>
              <w:rPr>
                <w:rFonts w:hint="eastAsia" w:cs="Times New Roman"/>
                <w:color w:val="auto"/>
                <w:sz w:val="24"/>
                <w:szCs w:val="24"/>
                <w:lang w:val="en-US" w:eastAsia="zh-CN"/>
              </w:rPr>
              <w:t>I</w:t>
            </w:r>
            <w:r>
              <w:rPr>
                <w:rFonts w:hint="eastAsia" w:ascii="Times New Roman" w:hAnsi="Times New Roman" w:eastAsia="宋体" w:cs="Times New Roman"/>
                <w:color w:val="auto"/>
                <w:sz w:val="24"/>
                <w:szCs w:val="24"/>
                <w:lang w:eastAsia="zh-CN"/>
              </w:rPr>
              <w:t>类</w:t>
            </w:r>
            <w:r>
              <w:rPr>
                <w:rFonts w:hint="default" w:ascii="Times New Roman" w:hAnsi="Times New Roman" w:eastAsia="宋体" w:cs="Times New Roman"/>
                <w:color w:val="auto"/>
                <w:sz w:val="24"/>
                <w:szCs w:val="24"/>
              </w:rPr>
              <w:t>料堆场中的</w:t>
            </w:r>
            <w:r>
              <w:rPr>
                <w:rFonts w:hint="eastAsia" w:ascii="Times New Roman" w:hAnsi="Times New Roman" w:eastAsia="宋体" w:cs="Times New Roman"/>
                <w:color w:val="auto"/>
                <w:sz w:val="24"/>
                <w:szCs w:val="24"/>
                <w:lang w:val="en-US" w:eastAsia="zh-CN"/>
              </w:rPr>
              <w:t>全</w:t>
            </w:r>
            <w:r>
              <w:rPr>
                <w:rFonts w:hint="default" w:ascii="Times New Roman" w:hAnsi="Times New Roman" w:eastAsia="宋体" w:cs="Times New Roman"/>
                <w:color w:val="auto"/>
                <w:sz w:val="24"/>
                <w:szCs w:val="24"/>
              </w:rPr>
              <w:t>封闭仓库，同时采用了</w:t>
            </w:r>
            <w:r>
              <w:rPr>
                <w:rFonts w:hint="eastAsia" w:cs="Times New Roman"/>
                <w:color w:val="auto"/>
                <w:sz w:val="24"/>
                <w:szCs w:val="24"/>
                <w:lang w:val="en-US" w:eastAsia="zh-CN"/>
              </w:rPr>
              <w:t>II类料堆场</w:t>
            </w:r>
            <w:r>
              <w:rPr>
                <w:rFonts w:hint="default" w:ascii="Times New Roman" w:hAnsi="Times New Roman" w:eastAsia="宋体" w:cs="Times New Roman"/>
                <w:color w:val="auto"/>
                <w:sz w:val="24"/>
                <w:szCs w:val="24"/>
              </w:rPr>
              <w:t>a防治措施，即喷洒水。封闭仓库周边的路面均采取硬化，并保持路面湿润。运输车辆全部采用</w:t>
            </w:r>
            <w:r>
              <w:rPr>
                <w:rFonts w:hint="eastAsia" w:cs="Times New Roman"/>
                <w:color w:val="auto"/>
                <w:sz w:val="24"/>
                <w:szCs w:val="24"/>
                <w:lang w:val="en-US" w:eastAsia="zh-CN"/>
              </w:rPr>
              <w:t>密闭运输并</w:t>
            </w:r>
            <w:r>
              <w:rPr>
                <w:rFonts w:hint="default" w:ascii="Times New Roman" w:hAnsi="Times New Roman" w:eastAsia="宋体" w:cs="Times New Roman"/>
                <w:color w:val="auto"/>
                <w:sz w:val="24"/>
                <w:szCs w:val="24"/>
              </w:rPr>
              <w:t>苫盖，规范管理，符合相关运输规范，确保污染物能够达标排放，因此项目的建设符合《工业料堆场扬尘整治规范》（DB65/T4061-2017）的</w:t>
            </w:r>
            <w:r>
              <w:rPr>
                <w:rFonts w:ascii="宋体" w:hAnsi="宋体" w:eastAsia="宋体" w:cs="宋体"/>
                <w:color w:val="auto"/>
                <w:sz w:val="24"/>
                <w:szCs w:val="24"/>
              </w:rPr>
              <w:t>相关要求。</w:t>
            </w:r>
          </w:p>
          <w:p w14:paraId="71F78C8E">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1.</w:t>
            </w:r>
            <w:r>
              <w:rPr>
                <w:rFonts w:hint="eastAsia" w:cs="Times New Roman"/>
                <w:b/>
                <w:bCs/>
                <w:color w:val="auto"/>
                <w:kern w:val="0"/>
                <w:sz w:val="24"/>
                <w:szCs w:val="24"/>
                <w:lang w:val="en-US" w:eastAsia="zh-CN"/>
              </w:rPr>
              <w:t>7</w:t>
            </w:r>
            <w:r>
              <w:rPr>
                <w:rFonts w:hint="default" w:ascii="Times New Roman" w:hAnsi="Times New Roman" w:cs="Times New Roman"/>
                <w:b/>
                <w:bCs/>
                <w:color w:val="auto"/>
                <w:kern w:val="0"/>
                <w:sz w:val="24"/>
                <w:szCs w:val="24"/>
                <w:lang w:val="en-US" w:eastAsia="zh-CN"/>
              </w:rPr>
              <w:t>选址合理性分析</w:t>
            </w:r>
          </w:p>
          <w:p w14:paraId="1466223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宋体" w:hAnsi="宋体" w:cs="宋体"/>
                <w:color w:val="auto"/>
                <w:kern w:val="0"/>
                <w:sz w:val="24"/>
                <w:szCs w:val="24"/>
                <w:lang w:val="en-US" w:eastAsia="zh-CN"/>
              </w:rPr>
              <w:t>本项目位于乌苏市白杨沟镇，选址虽位于</w:t>
            </w:r>
            <w:r>
              <w:rPr>
                <w:rFonts w:hint="eastAsia" w:ascii="Times New Roman" w:hAnsi="Times New Roman" w:eastAsia="宋体" w:cs="Times New Roman"/>
                <w:color w:val="auto"/>
                <w:kern w:val="0"/>
                <w:sz w:val="24"/>
                <w:szCs w:val="24"/>
                <w:lang w:val="en-US" w:eastAsia="zh-CN"/>
              </w:rPr>
              <w:t>乌苏市天山水源涵养与生物多样性维护</w:t>
            </w:r>
            <w:r>
              <w:rPr>
                <w:rFonts w:hint="eastAsia" w:ascii="宋体" w:hAnsi="宋体" w:cs="宋体"/>
                <w:color w:val="auto"/>
                <w:kern w:val="0"/>
                <w:sz w:val="24"/>
                <w:szCs w:val="24"/>
                <w:lang w:val="en-US" w:eastAsia="zh-CN"/>
              </w:rPr>
              <w:t>生态保护红线内，但本项目不占用基本草原，占地属于天然牧草地、裸岩石砾地等，周边无居民点、工矿企业、铁路、输电线路、通航航道等保护目标。本项目</w:t>
            </w:r>
            <w:r>
              <w:rPr>
                <w:rFonts w:hint="default" w:ascii="Times New Roman" w:hAnsi="Times New Roman" w:cs="Times New Roman"/>
                <w:color w:val="auto"/>
                <w:kern w:val="0"/>
                <w:sz w:val="24"/>
                <w:szCs w:val="24"/>
                <w:lang w:val="en-US" w:eastAsia="zh-CN"/>
              </w:rPr>
              <w:t>属于G3033</w:t>
            </w:r>
            <w:r>
              <w:rPr>
                <w:rFonts w:hint="eastAsia" w:ascii="Times New Roman" w:hAnsi="Times New Roman" w:cs="Times New Roman"/>
                <w:color w:val="auto"/>
                <w:kern w:val="0"/>
                <w:sz w:val="24"/>
                <w:szCs w:val="24"/>
                <w:lang w:val="en-US" w:eastAsia="zh-CN"/>
              </w:rPr>
              <w:t>高速公路建设</w:t>
            </w:r>
            <w:r>
              <w:rPr>
                <w:rFonts w:hint="default" w:ascii="Times New Roman" w:hAnsi="Times New Roman" w:cs="Times New Roman"/>
                <w:color w:val="auto"/>
                <w:kern w:val="0"/>
                <w:sz w:val="24"/>
                <w:szCs w:val="24"/>
                <w:lang w:val="en-US" w:eastAsia="zh-CN"/>
              </w:rPr>
              <w:t>的配套辅助工程，</w:t>
            </w:r>
            <w:r>
              <w:rPr>
                <w:rFonts w:hint="default" w:ascii="Times New Roman" w:hAnsi="Times New Roman" w:cs="Times New Roman"/>
                <w:color w:val="auto"/>
                <w:sz w:val="24"/>
                <w:szCs w:val="24"/>
                <w:lang w:val="en-US" w:eastAsia="zh-CN"/>
              </w:rPr>
              <w:t>仅在本标段高速公路建设期间运营，</w:t>
            </w:r>
            <w:r>
              <w:rPr>
                <w:rFonts w:hint="eastAsia" w:cs="Times New Roman"/>
                <w:color w:val="auto"/>
                <w:sz w:val="24"/>
                <w:szCs w:val="24"/>
                <w:lang w:val="en-US" w:eastAsia="zh-CN"/>
              </w:rPr>
              <w:t>高速公路</w:t>
            </w:r>
            <w:r>
              <w:rPr>
                <w:rFonts w:hint="default" w:ascii="Times New Roman" w:hAnsi="Times New Roman" w:cs="Times New Roman"/>
                <w:color w:val="auto"/>
                <w:sz w:val="24"/>
                <w:szCs w:val="24"/>
                <w:lang w:val="en-US" w:eastAsia="zh-CN"/>
              </w:rPr>
              <w:t>建成后本项目随之拆除</w:t>
            </w:r>
            <w:r>
              <w:rPr>
                <w:rFonts w:hint="eastAsia" w:ascii="Times New Roman" w:hAnsi="Times New Roman" w:cs="Times New Roman"/>
                <w:color w:val="auto"/>
                <w:sz w:val="24"/>
                <w:szCs w:val="24"/>
                <w:lang w:val="en-US" w:eastAsia="zh-CN"/>
              </w:rPr>
              <w:t>并进行生态恢复。</w:t>
            </w:r>
          </w:p>
          <w:p w14:paraId="70A3B14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37CAD09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5623A99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40F092C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753E2D2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0264BBB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4F768FC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7DD92B8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rPr>
            </w:pPr>
          </w:p>
          <w:p w14:paraId="4865B5BF">
            <w:pPr>
              <w:autoSpaceDE w:val="0"/>
              <w:autoSpaceDN w:val="0"/>
              <w:adjustRightInd w:val="0"/>
              <w:snapToGrid w:val="0"/>
              <w:jc w:val="center"/>
              <w:rPr>
                <w:rFonts w:ascii="宋体" w:hAnsi="宋体" w:cs="宋体"/>
                <w:color w:val="auto"/>
                <w:kern w:val="0"/>
                <w:sz w:val="24"/>
                <w:szCs w:val="24"/>
              </w:rPr>
            </w:pPr>
          </w:p>
        </w:tc>
      </w:tr>
    </w:tbl>
    <w:p w14:paraId="795CCC8F">
      <w:pPr>
        <w:spacing w:line="360" w:lineRule="auto"/>
        <w:outlineLvl w:val="0"/>
        <w:rPr>
          <w:rFonts w:eastAsia="黑体"/>
          <w:color w:val="auto"/>
          <w:sz w:val="30"/>
        </w:rPr>
        <w:sectPr>
          <w:footerReference r:id="rId4" w:type="default"/>
          <w:pgSz w:w="11906" w:h="16838"/>
          <w:pgMar w:top="1701" w:right="1531" w:bottom="1701" w:left="1531" w:header="851" w:footer="1417" w:gutter="0"/>
          <w:pgBorders>
            <w:top w:val="none" w:sz="0" w:space="0"/>
            <w:left w:val="none" w:sz="0" w:space="0"/>
            <w:bottom w:val="none" w:sz="0" w:space="0"/>
            <w:right w:val="none" w:sz="0" w:space="0"/>
          </w:pgBorders>
          <w:pgNumType w:fmt="decimal" w:start="1"/>
          <w:cols w:space="720" w:num="1"/>
          <w:docGrid w:linePitch="312" w:charSpace="0"/>
        </w:sectPr>
      </w:pPr>
    </w:p>
    <w:p w14:paraId="1A3C9B2B">
      <w:pPr>
        <w:pStyle w:val="24"/>
        <w:jc w:val="center"/>
        <w:outlineLvl w:val="0"/>
        <w:rPr>
          <w:rFonts w:ascii="黑体" w:hAnsi="黑体" w:eastAsia="黑体"/>
          <w:snapToGrid w:val="0"/>
          <w:color w:val="auto"/>
          <w:sz w:val="30"/>
          <w:szCs w:val="30"/>
        </w:rPr>
      </w:pPr>
      <w:bookmarkStart w:id="4" w:name="_Toc3690"/>
      <w:r>
        <w:rPr>
          <w:rFonts w:hint="eastAsia" w:ascii="黑体" w:hAnsi="黑体" w:eastAsia="黑体"/>
          <w:snapToGrid w:val="0"/>
          <w:color w:val="auto"/>
          <w:sz w:val="30"/>
          <w:szCs w:val="30"/>
        </w:rPr>
        <w:t>二、建设项目工程分析</w:t>
      </w:r>
      <w:bookmarkEnd w:id="4"/>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C79B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823" w:type="dxa"/>
            <w:noWrap w:val="0"/>
            <w:vAlign w:val="center"/>
          </w:tcPr>
          <w:p w14:paraId="6A3C2053">
            <w:pPr>
              <w:pStyle w:val="24"/>
              <w:adjustRightInd w:val="0"/>
              <w:snapToGrid w:val="0"/>
              <w:spacing w:before="0" w:beforeAutospacing="0" w:after="0" w:afterAutospacing="0"/>
              <w:jc w:val="center"/>
              <w:rPr>
                <w:rFonts w:cs="宋体"/>
                <w:color w:val="auto"/>
                <w:sz w:val="24"/>
                <w:szCs w:val="24"/>
              </w:rPr>
            </w:pPr>
            <w:r>
              <w:rPr>
                <w:rFonts w:hint="eastAsia" w:cs="宋体"/>
                <w:color w:val="auto"/>
                <w:sz w:val="24"/>
                <w:szCs w:val="24"/>
              </w:rPr>
              <w:t>建设内容</w:t>
            </w:r>
          </w:p>
        </w:tc>
        <w:tc>
          <w:tcPr>
            <w:tcW w:w="8161" w:type="dxa"/>
            <w:noWrap w:val="0"/>
            <w:vAlign w:val="top"/>
          </w:tcPr>
          <w:p w14:paraId="738E5A8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2.1项目背景</w:t>
            </w:r>
          </w:p>
          <w:p w14:paraId="65A7C5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G3033奎屯-独山子-库车高速公路位于伊犁哈萨克自治州、克拉玛依市、塔城地区、巴音郭楞蒙古自治州和阿克苏地区。</w:t>
            </w:r>
            <w:r>
              <w:rPr>
                <w:rFonts w:hint="default" w:ascii="Times New Roman" w:hAnsi="Times New Roman" w:cs="Times New Roman"/>
                <w:color w:val="auto"/>
                <w:sz w:val="24"/>
                <w:szCs w:val="24"/>
              </w:rPr>
              <w:t>跨越天山中部、直联南北疆，为《国家公路网规划》（2022年7月）新增国家高速，是连霍高速（G30）的15条联络线之一，也是《新疆维吾尔自治区公路网规划（2021-2050年）》</w:t>
            </w:r>
            <w:r>
              <w:rPr>
                <w:rFonts w:hint="eastAsia" w:ascii="宋体" w:hAnsi="宋体" w:eastAsia="宋体" w:cs="宋体"/>
                <w:color w:val="auto"/>
                <w:sz w:val="24"/>
                <w:szCs w:val="24"/>
              </w:rPr>
              <w:t>中“两环三横两纵多联络”交</w:t>
            </w:r>
            <w:r>
              <w:rPr>
                <w:rFonts w:hint="default" w:ascii="Times New Roman" w:hAnsi="Times New Roman" w:cs="Times New Roman"/>
                <w:color w:val="auto"/>
                <w:sz w:val="24"/>
                <w:szCs w:val="24"/>
              </w:rPr>
              <w:t>通网主骨架纵一：奎屯-那拉提-库车-和田-康西瓦的重要路段，在国家和区域路网中居重要地位。</w:t>
            </w:r>
            <w:r>
              <w:rPr>
                <w:rFonts w:hint="eastAsia" w:ascii="Times New Roman" w:hAnsi="Times New Roman" w:cs="Times New Roman"/>
                <w:color w:val="auto"/>
                <w:sz w:val="24"/>
                <w:szCs w:val="24"/>
                <w:lang w:val="en-US" w:eastAsia="zh-CN"/>
              </w:rPr>
              <w:t>2025年7月，新疆交投独库高速投资发展有限责任公司委托招商局重庆交通科研设计院有限公司编制完成《</w:t>
            </w:r>
            <w:r>
              <w:rPr>
                <w:rFonts w:hint="default" w:ascii="Times New Roman" w:hAnsi="Times New Roman" w:cs="Times New Roman"/>
                <w:color w:val="auto"/>
                <w:sz w:val="24"/>
                <w:szCs w:val="24"/>
                <w:lang w:val="en-US" w:eastAsia="zh-CN"/>
              </w:rPr>
              <w:t>G3033奎屯-独山子-库车高速公路</w:t>
            </w:r>
            <w:r>
              <w:rPr>
                <w:rFonts w:hint="eastAsia" w:ascii="Times New Roman" w:hAnsi="Times New Roman" w:cs="Times New Roman"/>
                <w:color w:val="auto"/>
                <w:sz w:val="24"/>
                <w:szCs w:val="24"/>
                <w:lang w:val="en-US" w:eastAsia="zh-CN"/>
              </w:rPr>
              <w:t>环境影响报告书》，于2025年9月17日取得《新疆维吾尔自治区生态环境厅关于</w:t>
            </w:r>
            <w:r>
              <w:rPr>
                <w:rFonts w:hint="default" w:ascii="Times New Roman" w:hAnsi="Times New Roman" w:cs="Times New Roman"/>
                <w:color w:val="auto"/>
                <w:sz w:val="24"/>
                <w:szCs w:val="24"/>
                <w:lang w:val="en-US" w:eastAsia="zh-CN"/>
              </w:rPr>
              <w:t>G3033奎屯-独山子-库车高速公路</w:t>
            </w:r>
            <w:r>
              <w:rPr>
                <w:rFonts w:hint="eastAsia" w:ascii="Times New Roman" w:hAnsi="Times New Roman" w:cs="Times New Roman"/>
                <w:color w:val="auto"/>
                <w:sz w:val="24"/>
                <w:szCs w:val="24"/>
                <w:lang w:val="en-US" w:eastAsia="zh-CN"/>
              </w:rPr>
              <w:t>环境影响报告书的批复》（新环审</w:t>
            </w:r>
            <w:r>
              <w:rPr>
                <w:rFonts w:hint="eastAsia" w:ascii="宋体" w:hAnsi="宋体" w:eastAsia="宋体" w:cs="宋体"/>
                <w:color w:val="auto"/>
                <w:sz w:val="24"/>
                <w:szCs w:val="24"/>
                <w:lang w:val="en-US" w:eastAsia="zh-CN"/>
              </w:rPr>
              <w:t>〔</w:t>
            </w:r>
            <w:r>
              <w:rPr>
                <w:rFonts w:hint="eastAsia" w:ascii="Times New Roman" w:hAnsi="Times New Roman" w:cs="Times New Roman"/>
                <w:color w:val="auto"/>
                <w:sz w:val="24"/>
                <w:szCs w:val="24"/>
                <w:lang w:val="en-US" w:eastAsia="zh-CN"/>
              </w:rPr>
              <w:t>2025</w:t>
            </w:r>
            <w:r>
              <w:rPr>
                <w:rFonts w:hint="eastAsia" w:ascii="宋体" w:hAnsi="宋体" w:eastAsia="宋体" w:cs="宋体"/>
                <w:color w:val="auto"/>
                <w:sz w:val="24"/>
                <w:szCs w:val="24"/>
                <w:lang w:val="en-US" w:eastAsia="zh-CN"/>
              </w:rPr>
              <w:t>〕</w:t>
            </w:r>
            <w:r>
              <w:rPr>
                <w:rFonts w:hint="eastAsia" w:ascii="Times New Roman" w:hAnsi="Times New Roman" w:cs="Times New Roman"/>
                <w:color w:val="auto"/>
                <w:sz w:val="24"/>
                <w:szCs w:val="24"/>
                <w:lang w:val="en-US" w:eastAsia="zh-CN"/>
              </w:rPr>
              <w:t>224号）。原主线环评中虽包含商混站，但受线路深化设计以及各标段工程量细化数据等因素制约，未精准核算混凝土总需求量，因此针对新增加的商混站单独进行环境影响评价。</w:t>
            </w:r>
          </w:p>
          <w:p w14:paraId="3585DD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color w:val="auto"/>
                <w:sz w:val="24"/>
                <w:szCs w:val="32"/>
              </w:rPr>
              <w:t>本项目KDK-TJSG-2土建标段线路起点位于奎屯河K114+118.913，终点K175+032.242，标段主线全长60.976km，区域纵贯中天山高寒山地，包含克扎依、玉希莫勒盖两座超深埋特长隧道及大量高墩桥梁、互通构造物，土建混凝土工程量巨大，施工周期长，需</w:t>
            </w:r>
            <w:r>
              <w:rPr>
                <w:rFonts w:hint="eastAsia"/>
                <w:color w:val="auto"/>
                <w:sz w:val="24"/>
                <w:szCs w:val="32"/>
                <w:lang w:val="en-US" w:eastAsia="zh-CN"/>
              </w:rPr>
              <w:t>增加</w:t>
            </w:r>
            <w:r>
              <w:rPr>
                <w:color w:val="auto"/>
                <w:sz w:val="24"/>
                <w:szCs w:val="32"/>
              </w:rPr>
              <w:t>配套建设临时商品混凝土</w:t>
            </w:r>
            <w:r>
              <w:rPr>
                <w:rFonts w:hint="eastAsia"/>
                <w:color w:val="auto"/>
                <w:sz w:val="24"/>
                <w:szCs w:val="32"/>
                <w:lang w:eastAsia="zh-CN"/>
              </w:rPr>
              <w:t>拌和站</w:t>
            </w:r>
            <w:r>
              <w:rPr>
                <w:color w:val="auto"/>
                <w:sz w:val="24"/>
                <w:szCs w:val="32"/>
              </w:rPr>
              <w:t>保障全线主体工程原料供应</w:t>
            </w:r>
            <w:r>
              <w:rPr>
                <w:rFonts w:hint="eastAsia"/>
                <w:color w:val="auto"/>
                <w:sz w:val="24"/>
                <w:szCs w:val="32"/>
                <w:lang w:eastAsia="zh-CN"/>
              </w:rPr>
              <w:t>，</w:t>
            </w:r>
            <w:r>
              <w:rPr>
                <w:rFonts w:hint="eastAsia" w:ascii="Times New Roman" w:hAnsi="Times New Roman" w:cs="Times New Roman"/>
                <w:color w:val="auto"/>
                <w:sz w:val="24"/>
                <w:szCs w:val="24"/>
                <w:lang w:val="en-US" w:eastAsia="zh-CN"/>
              </w:rPr>
              <w:t>仅在本标段高速公路建设期间运营，建成后本项目随之拆除，对用地进行生态恢复。</w:t>
            </w:r>
          </w:p>
          <w:p w14:paraId="74086D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根据《中华人民共和国环境保护法》、《中华人民共和国环境影响评价法》和《建设项目环境保护管理条例》，本项目应进行环境影响评价。根据《建设项目环境影响评价分类管理名录》（2021版）有关规定，商混站</w:t>
            </w:r>
            <w:r>
              <w:rPr>
                <w:rFonts w:hint="default" w:ascii="Times New Roman" w:hAnsi="Times New Roman" w:cs="Times New Roman"/>
                <w:color w:val="auto"/>
                <w:sz w:val="24"/>
                <w:szCs w:val="24"/>
              </w:rPr>
              <w:t>属于</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二十七、非金属矿物质制品业</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-“55</w:t>
            </w:r>
            <w:r>
              <w:rPr>
                <w:rFonts w:hint="default" w:ascii="Times New Roman" w:hAnsi="Times New Roman" w:cs="Times New Roman"/>
                <w:color w:val="auto"/>
                <w:sz w:val="24"/>
                <w:szCs w:val="24"/>
              </w:rPr>
              <w:t>石膏水泥制品及类似制品制造302</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-“商品混凝土</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，应编制环境影响报告表。</w:t>
            </w:r>
            <w:r>
              <w:rPr>
                <w:rFonts w:hint="default" w:ascii="Times New Roman" w:hAnsi="Times New Roman" w:cs="Times New Roman"/>
                <w:color w:val="auto"/>
                <w:sz w:val="24"/>
                <w:szCs w:val="24"/>
                <w:lang w:val="en-US" w:eastAsia="zh-CN"/>
              </w:rPr>
              <w:t>因此本项目应编制环境影响报告表。</w:t>
            </w:r>
          </w:p>
          <w:p w14:paraId="21EB3BE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2.2建设内容</w:t>
            </w:r>
          </w:p>
          <w:p w14:paraId="5E9171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cs="Times New Roman"/>
                <w:bCs/>
                <w:color w:val="auto"/>
                <w:sz w:val="24"/>
                <w:szCs w:val="24"/>
                <w:lang w:val="en-US" w:eastAsia="zh-CN"/>
              </w:rPr>
              <w:t>本项目建设2座商混站（1号综合站场、3号综合站场），占地总面积81163m</w:t>
            </w:r>
            <w:r>
              <w:rPr>
                <w:rFonts w:hint="eastAsia" w:ascii="Times New Roman" w:hAnsi="Times New Roman" w:cs="Times New Roman"/>
                <w:bCs/>
                <w:color w:val="auto"/>
                <w:sz w:val="24"/>
                <w:szCs w:val="24"/>
                <w:vertAlign w:val="superscript"/>
                <w:lang w:val="en-US" w:eastAsia="zh-CN"/>
              </w:rPr>
              <w:t>2</w:t>
            </w:r>
            <w:r>
              <w:rPr>
                <w:rFonts w:hint="eastAsia" w:ascii="Times New Roman" w:hAnsi="Times New Roman" w:cs="Times New Roman"/>
                <w:bCs/>
                <w:color w:val="auto"/>
                <w:sz w:val="24"/>
                <w:szCs w:val="24"/>
                <w:vertAlign w:val="baseline"/>
                <w:lang w:val="en-US" w:eastAsia="zh-CN"/>
              </w:rPr>
              <w:t>（1号综合站场46354m</w:t>
            </w:r>
            <w:r>
              <w:rPr>
                <w:rFonts w:hint="eastAsia" w:ascii="Times New Roman" w:hAnsi="Times New Roman" w:cs="Times New Roman"/>
                <w:bCs/>
                <w:color w:val="auto"/>
                <w:sz w:val="24"/>
                <w:szCs w:val="24"/>
                <w:vertAlign w:val="superscript"/>
                <w:lang w:val="en-US" w:eastAsia="zh-CN"/>
              </w:rPr>
              <w:t>2</w:t>
            </w:r>
            <w:r>
              <w:rPr>
                <w:rFonts w:hint="eastAsia" w:ascii="Times New Roman" w:hAnsi="Times New Roman" w:cs="Times New Roman"/>
                <w:bCs/>
                <w:color w:val="auto"/>
                <w:sz w:val="24"/>
                <w:szCs w:val="24"/>
                <w:vertAlign w:val="baseline"/>
                <w:lang w:val="en-US" w:eastAsia="zh-CN"/>
              </w:rPr>
              <w:t>、3号综合站场34809m</w:t>
            </w:r>
            <w:r>
              <w:rPr>
                <w:rFonts w:hint="eastAsia" w:ascii="Times New Roman" w:hAnsi="Times New Roman" w:cs="Times New Roman"/>
                <w:bCs/>
                <w:color w:val="auto"/>
                <w:sz w:val="24"/>
                <w:szCs w:val="24"/>
                <w:vertAlign w:val="superscript"/>
                <w:lang w:val="en-US" w:eastAsia="zh-CN"/>
              </w:rPr>
              <w:t>2</w:t>
            </w:r>
            <w:r>
              <w:rPr>
                <w:rFonts w:hint="eastAsia" w:ascii="Times New Roman" w:hAnsi="Times New Roman" w:cs="Times New Roman"/>
                <w:bCs/>
                <w:color w:val="auto"/>
                <w:sz w:val="24"/>
                <w:szCs w:val="24"/>
                <w:vertAlign w:val="baseline"/>
                <w:lang w:val="en-US" w:eastAsia="zh-CN"/>
              </w:rPr>
              <w:t>）</w:t>
            </w:r>
            <w:r>
              <w:rPr>
                <w:rFonts w:hint="eastAsia" w:ascii="Times New Roman" w:hAnsi="Times New Roman" w:cs="Times New Roman"/>
                <w:bCs/>
                <w:color w:val="auto"/>
                <w:sz w:val="24"/>
                <w:szCs w:val="24"/>
                <w:lang w:val="en-US" w:eastAsia="zh-CN"/>
              </w:rPr>
              <w:t>。年产商混料约12万方/年，项目组成内容见表2-1。</w:t>
            </w:r>
          </w:p>
          <w:p w14:paraId="7455B398">
            <w:pPr>
              <w:bidi w:val="0"/>
              <w:jc w:val="center"/>
              <w:rPr>
                <w:rFonts w:hint="default"/>
                <w:b/>
                <w:bCs/>
                <w:color w:val="auto"/>
                <w:lang w:val="en-US" w:eastAsia="zh-CN"/>
              </w:rPr>
            </w:pPr>
            <w:r>
              <w:rPr>
                <w:rFonts w:hint="eastAsia"/>
                <w:b/>
                <w:bCs/>
                <w:color w:val="auto"/>
                <w:lang w:val="en-US" w:eastAsia="zh-CN"/>
              </w:rPr>
              <w:t>表2-1  建设项目组成情况一览表</w:t>
            </w:r>
          </w:p>
          <w:tbl>
            <w:tblPr>
              <w:tblStyle w:val="29"/>
              <w:tblW w:w="789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9"/>
              <w:gridCol w:w="705"/>
              <w:gridCol w:w="795"/>
              <w:gridCol w:w="5669"/>
            </w:tblGrid>
            <w:tr w14:paraId="324F1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729" w:type="dxa"/>
                  <w:tcBorders>
                    <w:tl2br w:val="nil"/>
                    <w:tr2bl w:val="nil"/>
                  </w:tcBorders>
                  <w:noWrap w:val="0"/>
                  <w:vAlign w:val="center"/>
                </w:tcPr>
                <w:p w14:paraId="6E2465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工程类别</w:t>
                  </w:r>
                </w:p>
              </w:tc>
              <w:tc>
                <w:tcPr>
                  <w:tcW w:w="1500" w:type="dxa"/>
                  <w:gridSpan w:val="2"/>
                  <w:tcBorders>
                    <w:tl2br w:val="nil"/>
                    <w:tr2bl w:val="nil"/>
                  </w:tcBorders>
                  <w:noWrap w:val="0"/>
                  <w:vAlign w:val="center"/>
                </w:tcPr>
                <w:p w14:paraId="46C610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项目名称</w:t>
                  </w:r>
                </w:p>
              </w:tc>
              <w:tc>
                <w:tcPr>
                  <w:tcW w:w="5669" w:type="dxa"/>
                  <w:tcBorders>
                    <w:tl2br w:val="nil"/>
                    <w:tr2bl w:val="nil"/>
                  </w:tcBorders>
                  <w:noWrap w:val="0"/>
                  <w:vAlign w:val="center"/>
                </w:tcPr>
                <w:p w14:paraId="04DD32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val="0"/>
                      <w:color w:val="auto"/>
                      <w:sz w:val="21"/>
                      <w:szCs w:val="21"/>
                      <w:vertAlign w:val="baseline"/>
                    </w:rPr>
                  </w:pPr>
                  <w:r>
                    <w:rPr>
                      <w:rFonts w:hint="eastAsia" w:ascii="Times New Roman" w:hAnsi="Times New Roman" w:cs="Times New Roman"/>
                      <w:b/>
                      <w:bCs w:val="0"/>
                      <w:color w:val="auto"/>
                      <w:sz w:val="21"/>
                      <w:szCs w:val="21"/>
                      <w:vertAlign w:val="baseline"/>
                      <w:lang w:val="en-US" w:eastAsia="zh-CN"/>
                    </w:rPr>
                    <w:t>建设内容</w:t>
                  </w:r>
                </w:p>
              </w:tc>
            </w:tr>
            <w:tr w14:paraId="4BC7E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noWrap w:val="0"/>
                  <w:vAlign w:val="center"/>
                </w:tcPr>
                <w:p w14:paraId="4A819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主体工程</w:t>
                  </w:r>
                </w:p>
              </w:tc>
              <w:tc>
                <w:tcPr>
                  <w:tcW w:w="1500" w:type="dxa"/>
                  <w:gridSpan w:val="2"/>
                  <w:tcBorders>
                    <w:tl2br w:val="nil"/>
                    <w:tr2bl w:val="nil"/>
                  </w:tcBorders>
                  <w:noWrap w:val="0"/>
                  <w:vAlign w:val="center"/>
                </w:tcPr>
                <w:p w14:paraId="0FA9CE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1号综合站场</w:t>
                  </w:r>
                </w:p>
              </w:tc>
              <w:tc>
                <w:tcPr>
                  <w:tcW w:w="5669" w:type="dxa"/>
                  <w:tcBorders>
                    <w:tl2br w:val="nil"/>
                    <w:tr2bl w:val="nil"/>
                  </w:tcBorders>
                  <w:noWrap w:val="0"/>
                  <w:vAlign w:val="center"/>
                </w:tcPr>
                <w:p w14:paraId="3DA3580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设2条HZS120型混凝土生产线，为环保型全封闭生产线，总占地面积46354m</w:t>
                  </w:r>
                  <w:r>
                    <w:rPr>
                      <w:rFonts w:hint="eastAsia" w:ascii="Times New Roman" w:hAnsi="Times New Roman" w:cs="Times New Roman"/>
                      <w:bCs/>
                      <w:color w:val="auto"/>
                      <w:sz w:val="21"/>
                      <w:szCs w:val="21"/>
                      <w:vertAlign w:val="superscript"/>
                      <w:lang w:val="en-US" w:eastAsia="zh-CN"/>
                    </w:rPr>
                    <w:t>2</w:t>
                  </w:r>
                </w:p>
              </w:tc>
            </w:tr>
            <w:tr w14:paraId="03567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72E98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rPr>
                  </w:pPr>
                </w:p>
              </w:tc>
              <w:tc>
                <w:tcPr>
                  <w:tcW w:w="1500" w:type="dxa"/>
                  <w:gridSpan w:val="2"/>
                  <w:tcBorders>
                    <w:tl2br w:val="nil"/>
                    <w:tr2bl w:val="nil"/>
                  </w:tcBorders>
                  <w:noWrap w:val="0"/>
                  <w:vAlign w:val="center"/>
                </w:tcPr>
                <w:p w14:paraId="1C8935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3号综合站场</w:t>
                  </w:r>
                </w:p>
              </w:tc>
              <w:tc>
                <w:tcPr>
                  <w:tcW w:w="5669" w:type="dxa"/>
                  <w:tcBorders>
                    <w:tl2br w:val="nil"/>
                    <w:tr2bl w:val="nil"/>
                  </w:tcBorders>
                  <w:noWrap w:val="0"/>
                  <w:vAlign w:val="center"/>
                </w:tcPr>
                <w:p w14:paraId="4298121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ascii="Times New Roman" w:hAnsi="Times New Roman" w:cs="Times New Roman"/>
                      <w:bCs/>
                      <w:color w:val="auto"/>
                      <w:sz w:val="21"/>
                      <w:szCs w:val="21"/>
                      <w:vertAlign w:val="baseline"/>
                      <w:lang w:val="en-US" w:eastAsia="zh-CN"/>
                    </w:rPr>
                    <w:t>设2条HZS120型混凝土生产线，为环保型全封闭生产线，总占地面积34809m</w:t>
                  </w:r>
                  <w:r>
                    <w:rPr>
                      <w:rFonts w:hint="eastAsia" w:ascii="Times New Roman" w:hAnsi="Times New Roman" w:cs="Times New Roman"/>
                      <w:bCs/>
                      <w:color w:val="auto"/>
                      <w:sz w:val="21"/>
                      <w:szCs w:val="21"/>
                      <w:vertAlign w:val="superscript"/>
                      <w:lang w:val="en-US" w:eastAsia="zh-CN"/>
                    </w:rPr>
                    <w:t>2</w:t>
                  </w:r>
                </w:p>
              </w:tc>
            </w:tr>
            <w:tr w14:paraId="1F2D9A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noWrap w:val="0"/>
                  <w:vAlign w:val="center"/>
                </w:tcPr>
                <w:p w14:paraId="5BD4BF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辅助工程</w:t>
                  </w:r>
                </w:p>
              </w:tc>
              <w:tc>
                <w:tcPr>
                  <w:tcW w:w="705" w:type="dxa"/>
                  <w:vMerge w:val="restart"/>
                  <w:tcBorders>
                    <w:right w:val="single" w:color="000000" w:sz="4" w:space="0"/>
                    <w:tl2br w:val="nil"/>
                    <w:tr2bl w:val="nil"/>
                  </w:tcBorders>
                  <w:noWrap w:val="0"/>
                  <w:vAlign w:val="center"/>
                </w:tcPr>
                <w:p w14:paraId="63ADA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1号综合站场/3号综合站场</w:t>
                  </w:r>
                </w:p>
              </w:tc>
              <w:tc>
                <w:tcPr>
                  <w:tcW w:w="795" w:type="dxa"/>
                  <w:tcBorders>
                    <w:left w:val="single" w:color="000000" w:sz="4" w:space="0"/>
                    <w:tl2br w:val="nil"/>
                    <w:tr2bl w:val="nil"/>
                  </w:tcBorders>
                  <w:noWrap w:val="0"/>
                  <w:vAlign w:val="center"/>
                </w:tcPr>
                <w:p w14:paraId="13154C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砂石料仓</w:t>
                  </w:r>
                </w:p>
              </w:tc>
              <w:tc>
                <w:tcPr>
                  <w:tcW w:w="5669" w:type="dxa"/>
                  <w:tcBorders>
                    <w:tl2br w:val="nil"/>
                    <w:tr2bl w:val="nil"/>
                  </w:tcBorders>
                  <w:noWrap w:val="0"/>
                  <w:vAlign w:val="center"/>
                </w:tcPr>
                <w:p w14:paraId="0CD774B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每座站场</w:t>
                  </w:r>
                  <w:r>
                    <w:rPr>
                      <w:rFonts w:hint="eastAsia" w:ascii="Times New Roman" w:hAnsi="Times New Roman" w:cs="Times New Roman"/>
                      <w:bCs/>
                      <w:color w:val="auto"/>
                      <w:sz w:val="21"/>
                      <w:szCs w:val="21"/>
                      <w:vertAlign w:val="baseline"/>
                      <w:lang w:val="en-US" w:eastAsia="zh-CN"/>
                    </w:rPr>
                    <w:t>设置8个砂石料仓，料仓采用彩钢板顶棚和钢结构进行全封闭围挡</w:t>
                  </w:r>
                </w:p>
              </w:tc>
            </w:tr>
            <w:tr w14:paraId="013E0F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3DBBD3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29BF5E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0B6B09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粉料仓</w:t>
                  </w:r>
                </w:p>
              </w:tc>
              <w:tc>
                <w:tcPr>
                  <w:tcW w:w="5669" w:type="dxa"/>
                  <w:tcBorders>
                    <w:tl2br w:val="nil"/>
                    <w:tr2bl w:val="nil"/>
                  </w:tcBorders>
                  <w:noWrap w:val="0"/>
                  <w:vAlign w:val="center"/>
                </w:tcPr>
                <w:p w14:paraId="6B14EC1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每座站场</w:t>
                  </w:r>
                  <w:r>
                    <w:rPr>
                      <w:rFonts w:hint="eastAsia" w:ascii="Times New Roman" w:hAnsi="Times New Roman" w:cs="Times New Roman"/>
                      <w:bCs/>
                      <w:color w:val="auto"/>
                      <w:sz w:val="21"/>
                      <w:szCs w:val="21"/>
                      <w:vertAlign w:val="baseline"/>
                      <w:lang w:val="en-US" w:eastAsia="zh-CN"/>
                    </w:rPr>
                    <w:t>设置8个粉料筒仓，其中2个粉煤灰筒仓（150t/个）、6个水泥筒仓（500t/个）</w:t>
                  </w:r>
                </w:p>
              </w:tc>
            </w:tr>
            <w:tr w14:paraId="321173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000FE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3E3418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5FB86E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蓄水池</w:t>
                  </w:r>
                </w:p>
              </w:tc>
              <w:tc>
                <w:tcPr>
                  <w:tcW w:w="5669" w:type="dxa"/>
                  <w:tcBorders>
                    <w:tl2br w:val="nil"/>
                    <w:tr2bl w:val="nil"/>
                  </w:tcBorders>
                  <w:noWrap w:val="0"/>
                  <w:vAlign w:val="center"/>
                </w:tcPr>
                <w:p w14:paraId="08C6970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每座站场</w:t>
                  </w:r>
                  <w:r>
                    <w:rPr>
                      <w:rFonts w:hint="eastAsia" w:ascii="Times New Roman" w:hAnsi="Times New Roman" w:cs="Times New Roman"/>
                      <w:bCs/>
                      <w:color w:val="auto"/>
                      <w:sz w:val="21"/>
                      <w:szCs w:val="21"/>
                      <w:vertAlign w:val="baseline"/>
                      <w:lang w:val="en-US" w:eastAsia="zh-CN"/>
                    </w:rPr>
                    <w:t>搅拌楼附近设置1个蓄水池，容积约60m</w:t>
                  </w:r>
                  <w:r>
                    <w:rPr>
                      <w:rFonts w:hint="eastAsia" w:ascii="Times New Roman" w:hAnsi="Times New Roman" w:cs="Times New Roman"/>
                      <w:bCs/>
                      <w:color w:val="auto"/>
                      <w:sz w:val="21"/>
                      <w:szCs w:val="21"/>
                      <w:vertAlign w:val="superscript"/>
                      <w:lang w:val="en-US" w:eastAsia="zh-CN"/>
                    </w:rPr>
                    <w:t>3</w:t>
                  </w:r>
                </w:p>
              </w:tc>
            </w:tr>
            <w:tr w14:paraId="15B8F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026818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7F0351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03F6F3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洗车池</w:t>
                  </w:r>
                </w:p>
              </w:tc>
              <w:tc>
                <w:tcPr>
                  <w:tcW w:w="5669" w:type="dxa"/>
                  <w:tcBorders>
                    <w:tl2br w:val="nil"/>
                    <w:tr2bl w:val="nil"/>
                  </w:tcBorders>
                  <w:noWrap w:val="0"/>
                  <w:vAlign w:val="center"/>
                </w:tcPr>
                <w:p w14:paraId="62F817A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设置三级斜坡沉淀池，配有砂石分离机</w:t>
                  </w:r>
                </w:p>
              </w:tc>
            </w:tr>
            <w:tr w14:paraId="278BBF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1A15E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675BC6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436AFA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标养室</w:t>
                  </w:r>
                </w:p>
              </w:tc>
              <w:tc>
                <w:tcPr>
                  <w:tcW w:w="5669" w:type="dxa"/>
                  <w:tcBorders>
                    <w:tl2br w:val="nil"/>
                    <w:tr2bl w:val="nil"/>
                  </w:tcBorders>
                  <w:noWrap w:val="0"/>
                  <w:vAlign w:val="center"/>
                </w:tcPr>
                <w:p w14:paraId="06F2322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主要是对混凝土试块进行养护，以保证其满足试验要求的设施</w:t>
                  </w:r>
                </w:p>
              </w:tc>
            </w:tr>
            <w:tr w14:paraId="51A7A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1AE64A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00986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245913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力学室</w:t>
                  </w:r>
                </w:p>
              </w:tc>
              <w:tc>
                <w:tcPr>
                  <w:tcW w:w="5669" w:type="dxa"/>
                  <w:tcBorders>
                    <w:tl2br w:val="nil"/>
                    <w:tr2bl w:val="nil"/>
                  </w:tcBorders>
                  <w:noWrap w:val="0"/>
                  <w:vAlign w:val="center"/>
                </w:tcPr>
                <w:p w14:paraId="66E2EF2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主要对混凝土成品进行抽样检测试验，进行力学性能，如：抗压强度、轴压强度、弹性模量等进行测定，均为物理实验，不涉及化学实验</w:t>
                  </w:r>
                </w:p>
              </w:tc>
            </w:tr>
            <w:tr w14:paraId="73F6DA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562E0C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68AEBA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760ED7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地磅</w:t>
                  </w:r>
                </w:p>
              </w:tc>
              <w:tc>
                <w:tcPr>
                  <w:tcW w:w="5669" w:type="dxa"/>
                  <w:tcBorders>
                    <w:tl2br w:val="nil"/>
                    <w:tr2bl w:val="nil"/>
                  </w:tcBorders>
                  <w:noWrap w:val="0"/>
                  <w:vAlign w:val="center"/>
                </w:tcPr>
                <w:p w14:paraId="78A9363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主要对运输车辆进行称重</w:t>
                  </w:r>
                </w:p>
              </w:tc>
            </w:tr>
            <w:tr w14:paraId="26CD3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33EB50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6381C5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1D2CAD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废砼区</w:t>
                  </w:r>
                </w:p>
              </w:tc>
              <w:tc>
                <w:tcPr>
                  <w:tcW w:w="5669" w:type="dxa"/>
                  <w:tcBorders>
                    <w:tl2br w:val="nil"/>
                    <w:tr2bl w:val="nil"/>
                  </w:tcBorders>
                  <w:noWrap w:val="0"/>
                  <w:vAlign w:val="center"/>
                </w:tcPr>
                <w:p w14:paraId="3AC6632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主要用于存放实验检测完成的混凝土试块</w:t>
                  </w:r>
                </w:p>
              </w:tc>
            </w:tr>
            <w:tr w14:paraId="72815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0490D6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564B82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290D50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停车区</w:t>
                  </w:r>
                </w:p>
              </w:tc>
              <w:tc>
                <w:tcPr>
                  <w:tcW w:w="5669" w:type="dxa"/>
                  <w:tcBorders>
                    <w:tl2br w:val="nil"/>
                    <w:tr2bl w:val="nil"/>
                  </w:tcBorders>
                  <w:noWrap w:val="0"/>
                  <w:vAlign w:val="center"/>
                </w:tcPr>
                <w:p w14:paraId="45C4922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主要用于车辆的停放</w:t>
                  </w:r>
                </w:p>
              </w:tc>
            </w:tr>
            <w:tr w14:paraId="64DA8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noWrap w:val="0"/>
                  <w:vAlign w:val="center"/>
                </w:tcPr>
                <w:p w14:paraId="7A19BE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公用工程</w:t>
                  </w:r>
                </w:p>
              </w:tc>
              <w:tc>
                <w:tcPr>
                  <w:tcW w:w="1500" w:type="dxa"/>
                  <w:gridSpan w:val="2"/>
                  <w:tcBorders>
                    <w:tl2br w:val="nil"/>
                    <w:tr2bl w:val="nil"/>
                  </w:tcBorders>
                  <w:noWrap w:val="0"/>
                  <w:vAlign w:val="center"/>
                </w:tcPr>
                <w:p w14:paraId="3DC1F0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供水系统</w:t>
                  </w:r>
                </w:p>
              </w:tc>
              <w:tc>
                <w:tcPr>
                  <w:tcW w:w="5669" w:type="dxa"/>
                  <w:tcBorders>
                    <w:tl2br w:val="nil"/>
                    <w:tr2bl w:val="nil"/>
                  </w:tcBorders>
                  <w:noWrap w:val="0"/>
                  <w:vAlign w:val="center"/>
                </w:tcPr>
                <w:p w14:paraId="3F9D781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项目用水采用罐车就近拉运</w:t>
                  </w:r>
                </w:p>
              </w:tc>
            </w:tr>
            <w:tr w14:paraId="0FB85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7E5359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7FE8D3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供电系统</w:t>
                  </w:r>
                </w:p>
              </w:tc>
              <w:tc>
                <w:tcPr>
                  <w:tcW w:w="5669" w:type="dxa"/>
                  <w:tcBorders>
                    <w:tl2br w:val="nil"/>
                    <w:tr2bl w:val="nil"/>
                  </w:tcBorders>
                  <w:noWrap w:val="0"/>
                  <w:vAlign w:val="center"/>
                </w:tcPr>
                <w:p w14:paraId="52FC04C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项目用电由国家电网供电</w:t>
                  </w:r>
                </w:p>
              </w:tc>
            </w:tr>
            <w:tr w14:paraId="1ED94A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170B87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1FB8B1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供暖系统</w:t>
                  </w:r>
                </w:p>
              </w:tc>
              <w:tc>
                <w:tcPr>
                  <w:tcW w:w="5669" w:type="dxa"/>
                  <w:tcBorders>
                    <w:tl2br w:val="nil"/>
                    <w:tr2bl w:val="nil"/>
                  </w:tcBorders>
                  <w:noWrap w:val="0"/>
                  <w:vAlign w:val="center"/>
                </w:tcPr>
                <w:p w14:paraId="52E3FFB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项目供暖采用电锅炉供暖</w:t>
                  </w:r>
                </w:p>
              </w:tc>
            </w:tr>
            <w:tr w14:paraId="28B10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4365AB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6076A2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排水系统</w:t>
                  </w:r>
                </w:p>
              </w:tc>
              <w:tc>
                <w:tcPr>
                  <w:tcW w:w="5669" w:type="dxa"/>
                  <w:tcBorders>
                    <w:tl2br w:val="nil"/>
                    <w:tr2bl w:val="nil"/>
                  </w:tcBorders>
                  <w:noWrap w:val="0"/>
                  <w:vAlign w:val="center"/>
                </w:tcPr>
                <w:p w14:paraId="4394A93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搅拌机、混凝土运输车辆清洗废水、实验室废水等经三级沉淀处理后回用生产，不外排；生活污水</w:t>
                  </w:r>
                  <w:r>
                    <w:rPr>
                      <w:rFonts w:hint="eastAsia" w:ascii="宋体" w:hAnsi="宋体" w:eastAsia="宋体" w:cs="宋体"/>
                      <w:i w:val="0"/>
                      <w:iCs w:val="0"/>
                      <w:color w:val="auto"/>
                      <w:sz w:val="21"/>
                      <w:szCs w:val="21"/>
                      <w:u w:val="none"/>
                      <w:lang w:val="en-US" w:eastAsia="zh-CN"/>
                    </w:rPr>
                    <w:t>依托高速公路配套生活区</w:t>
                  </w:r>
                  <w:r>
                    <w:rPr>
                      <w:rFonts w:hint="eastAsia" w:ascii="Times New Roman" w:hAnsi="Times New Roman" w:cs="Times New Roman"/>
                      <w:bCs/>
                      <w:color w:val="auto"/>
                      <w:sz w:val="21"/>
                      <w:szCs w:val="21"/>
                      <w:vertAlign w:val="baseline"/>
                      <w:lang w:val="en-US" w:eastAsia="zh-CN"/>
                    </w:rPr>
                    <w:t>一体化污水设备，处理达到《城市污水再生利用城市杂用水水质》（GB/T18920-2020）标准后回用绿化、道路清扫</w:t>
                  </w:r>
                </w:p>
              </w:tc>
            </w:tr>
            <w:tr w14:paraId="3A8A17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noWrap w:val="0"/>
                  <w:vAlign w:val="center"/>
                </w:tcPr>
                <w:p w14:paraId="31FBE3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储运工程</w:t>
                  </w:r>
                </w:p>
              </w:tc>
              <w:tc>
                <w:tcPr>
                  <w:tcW w:w="1500" w:type="dxa"/>
                  <w:gridSpan w:val="2"/>
                  <w:tcBorders>
                    <w:tl2br w:val="nil"/>
                    <w:tr2bl w:val="nil"/>
                  </w:tcBorders>
                  <w:noWrap w:val="0"/>
                  <w:vAlign w:val="center"/>
                </w:tcPr>
                <w:p w14:paraId="1734BE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砂石料仓</w:t>
                  </w:r>
                </w:p>
              </w:tc>
              <w:tc>
                <w:tcPr>
                  <w:tcW w:w="5669" w:type="dxa"/>
                  <w:tcBorders>
                    <w:tl2br w:val="nil"/>
                    <w:tr2bl w:val="nil"/>
                  </w:tcBorders>
                  <w:noWrap w:val="0"/>
                  <w:vAlign w:val="center"/>
                </w:tcPr>
                <w:p w14:paraId="29B0EE2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每座综合站场</w:t>
                  </w:r>
                  <w:r>
                    <w:rPr>
                      <w:rFonts w:hint="eastAsia" w:cs="Times New Roman"/>
                      <w:bCs/>
                      <w:color w:val="auto"/>
                      <w:sz w:val="21"/>
                      <w:szCs w:val="21"/>
                      <w:vertAlign w:val="baseline"/>
                      <w:lang w:val="en-US" w:eastAsia="zh-CN"/>
                    </w:rPr>
                    <w:t>砂石料仓</w:t>
                  </w:r>
                  <w:r>
                    <w:rPr>
                      <w:rFonts w:hint="eastAsia" w:ascii="Times New Roman" w:hAnsi="Times New Roman" w:cs="Times New Roman"/>
                      <w:bCs/>
                      <w:color w:val="auto"/>
                      <w:sz w:val="21"/>
                      <w:szCs w:val="21"/>
                      <w:vertAlign w:val="baseline"/>
                      <w:lang w:val="en-US" w:eastAsia="zh-CN"/>
                    </w:rPr>
                    <w:t>占地面积11760m</w:t>
                  </w:r>
                  <w:r>
                    <w:rPr>
                      <w:rFonts w:hint="eastAsia" w:ascii="Times New Roman" w:hAnsi="Times New Roman" w:cs="Times New Roman"/>
                      <w:bCs/>
                      <w:color w:val="auto"/>
                      <w:sz w:val="21"/>
                      <w:szCs w:val="21"/>
                      <w:vertAlign w:val="superscript"/>
                      <w:lang w:val="en-US" w:eastAsia="zh-CN"/>
                    </w:rPr>
                    <w:t>2</w:t>
                  </w:r>
                  <w:r>
                    <w:rPr>
                      <w:rFonts w:hint="eastAsia" w:ascii="Times New Roman" w:hAnsi="Times New Roman" w:cs="Times New Roman"/>
                      <w:bCs/>
                      <w:color w:val="auto"/>
                      <w:sz w:val="21"/>
                      <w:szCs w:val="21"/>
                      <w:vertAlign w:val="baseline"/>
                      <w:lang w:val="en-US" w:eastAsia="zh-CN"/>
                    </w:rPr>
                    <w:t>，设置8个砂石料仓，用于储存砂石料</w:t>
                  </w:r>
                </w:p>
              </w:tc>
            </w:tr>
            <w:tr w14:paraId="3422EE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FEB56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04AE98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粉料仓</w:t>
                  </w:r>
                </w:p>
              </w:tc>
              <w:tc>
                <w:tcPr>
                  <w:tcW w:w="5669" w:type="dxa"/>
                  <w:tcBorders>
                    <w:tl2br w:val="nil"/>
                    <w:tr2bl w:val="nil"/>
                  </w:tcBorders>
                  <w:noWrap w:val="0"/>
                  <w:vAlign w:val="center"/>
                </w:tcPr>
                <w:p w14:paraId="72B21D8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每座综合站场设置设置8个粉料筒仓，其中2个粉煤灰筒仓（150t/个）、6个水泥筒仓（500t/个）</w:t>
                  </w:r>
                </w:p>
              </w:tc>
            </w:tr>
            <w:tr w14:paraId="7195E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5F35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06A027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蓄水池</w:t>
                  </w:r>
                </w:p>
              </w:tc>
              <w:tc>
                <w:tcPr>
                  <w:tcW w:w="5669" w:type="dxa"/>
                  <w:tcBorders>
                    <w:tl2br w:val="nil"/>
                    <w:tr2bl w:val="nil"/>
                  </w:tcBorders>
                  <w:noWrap w:val="0"/>
                  <w:vAlign w:val="center"/>
                </w:tcPr>
                <w:p w14:paraId="5B6EA4B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每座综合站场搅拌楼附近设置1个蓄水池，容积约60m</w:t>
                  </w:r>
                  <w:r>
                    <w:rPr>
                      <w:rFonts w:hint="eastAsia" w:ascii="Times New Roman" w:hAnsi="Times New Roman" w:cs="Times New Roman"/>
                      <w:bCs/>
                      <w:color w:val="auto"/>
                      <w:sz w:val="21"/>
                      <w:szCs w:val="21"/>
                      <w:vertAlign w:val="superscript"/>
                      <w:lang w:val="en-US" w:eastAsia="zh-CN"/>
                    </w:rPr>
                    <w:t>3</w:t>
                  </w:r>
                </w:p>
              </w:tc>
            </w:tr>
            <w:tr w14:paraId="0173F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29" w:type="dxa"/>
                  <w:vMerge w:val="continue"/>
                  <w:tcBorders>
                    <w:tl2br w:val="nil"/>
                    <w:tr2bl w:val="nil"/>
                  </w:tcBorders>
                  <w:noWrap w:val="0"/>
                  <w:vAlign w:val="center"/>
                </w:tcPr>
                <w:p w14:paraId="547602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0D73E1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洗车池</w:t>
                  </w:r>
                </w:p>
              </w:tc>
              <w:tc>
                <w:tcPr>
                  <w:tcW w:w="5669" w:type="dxa"/>
                  <w:tcBorders>
                    <w:tl2br w:val="nil"/>
                    <w:tr2bl w:val="nil"/>
                  </w:tcBorders>
                  <w:noWrap w:val="0"/>
                  <w:vAlign w:val="center"/>
                </w:tcPr>
                <w:p w14:paraId="0B9501E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设置三级斜坡沉淀池，容积80m</w:t>
                  </w:r>
                  <w:r>
                    <w:rPr>
                      <w:rFonts w:hint="eastAsia" w:ascii="Times New Roman" w:hAnsi="Times New Roman" w:cs="Times New Roman"/>
                      <w:bCs/>
                      <w:color w:val="auto"/>
                      <w:sz w:val="21"/>
                      <w:szCs w:val="21"/>
                      <w:vertAlign w:val="superscript"/>
                      <w:lang w:val="en-US" w:eastAsia="zh-CN"/>
                    </w:rPr>
                    <w:t>3</w:t>
                  </w:r>
                  <w:r>
                    <w:rPr>
                      <w:rFonts w:hint="eastAsia" w:ascii="Times New Roman" w:hAnsi="Times New Roman" w:cs="Times New Roman"/>
                      <w:bCs/>
                      <w:color w:val="auto"/>
                      <w:sz w:val="21"/>
                      <w:szCs w:val="21"/>
                      <w:vertAlign w:val="baseline"/>
                      <w:lang w:val="en-US" w:eastAsia="zh-CN"/>
                    </w:rPr>
                    <w:t>，配有砂石分离机</w:t>
                  </w:r>
                </w:p>
              </w:tc>
            </w:tr>
            <w:tr w14:paraId="569BC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noWrap w:val="0"/>
                  <w:vAlign w:val="center"/>
                </w:tcPr>
                <w:p w14:paraId="269F0C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环保工程</w:t>
                  </w:r>
                </w:p>
              </w:tc>
              <w:tc>
                <w:tcPr>
                  <w:tcW w:w="705" w:type="dxa"/>
                  <w:vMerge w:val="restart"/>
                  <w:tcBorders>
                    <w:right w:val="single" w:color="000000" w:sz="4" w:space="0"/>
                    <w:tl2br w:val="nil"/>
                    <w:tr2bl w:val="nil"/>
                  </w:tcBorders>
                  <w:noWrap w:val="0"/>
                  <w:vAlign w:val="center"/>
                </w:tcPr>
                <w:p w14:paraId="79A0CC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废气</w:t>
                  </w:r>
                </w:p>
              </w:tc>
              <w:tc>
                <w:tcPr>
                  <w:tcW w:w="795" w:type="dxa"/>
                  <w:tcBorders>
                    <w:left w:val="single" w:color="000000" w:sz="4" w:space="0"/>
                    <w:tl2br w:val="nil"/>
                    <w:tr2bl w:val="nil"/>
                  </w:tcBorders>
                  <w:noWrap w:val="0"/>
                  <w:vAlign w:val="center"/>
                </w:tcPr>
                <w:p w14:paraId="3960BC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砂石料仓</w:t>
                  </w:r>
                </w:p>
              </w:tc>
              <w:tc>
                <w:tcPr>
                  <w:tcW w:w="5669" w:type="dxa"/>
                  <w:tcBorders>
                    <w:tl2br w:val="nil"/>
                    <w:tr2bl w:val="nil"/>
                  </w:tcBorders>
                  <w:noWrap w:val="0"/>
                  <w:vAlign w:val="center"/>
                </w:tcPr>
                <w:p w14:paraId="06DCEB9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砂石料仓采取全封闭式结构，并采取洒水降尘措施</w:t>
                  </w:r>
                </w:p>
              </w:tc>
            </w:tr>
            <w:tr w14:paraId="01D127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29" w:type="dxa"/>
                  <w:vMerge w:val="continue"/>
                  <w:tcBorders>
                    <w:tl2br w:val="nil"/>
                    <w:tr2bl w:val="nil"/>
                  </w:tcBorders>
                  <w:noWrap w:val="0"/>
                  <w:vAlign w:val="center"/>
                </w:tcPr>
                <w:p w14:paraId="22E84E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201214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7B5E11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粉料仓呼吸粉尘</w:t>
                  </w:r>
                </w:p>
              </w:tc>
              <w:tc>
                <w:tcPr>
                  <w:tcW w:w="5669" w:type="dxa"/>
                  <w:tcBorders>
                    <w:tl2br w:val="nil"/>
                    <w:tr2bl w:val="nil"/>
                  </w:tcBorders>
                  <w:noWrap w:val="0"/>
                  <w:vAlign w:val="center"/>
                </w:tcPr>
                <w:p w14:paraId="3F00B16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筒仓密闭，粉尘经自带的布袋除尘器处理后由仓顶呼吸口排放</w:t>
                  </w:r>
                </w:p>
              </w:tc>
            </w:tr>
            <w:tr w14:paraId="728FE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06536E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545917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4191BBC6">
                  <w:pPr>
                    <w:keepNext w:val="0"/>
                    <w:keepLines w:val="0"/>
                    <w:pageBreakBefore w:val="0"/>
                    <w:kinsoku/>
                    <w:wordWrap/>
                    <w:overflowPunct/>
                    <w:topLinePunct w:val="0"/>
                    <w:autoSpaceDE/>
                    <w:autoSpaceDN/>
                    <w:bidi w:val="0"/>
                    <w:spacing w:line="240" w:lineRule="auto"/>
                    <w:jc w:val="both"/>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搅拌粉尘</w:t>
                  </w:r>
                </w:p>
              </w:tc>
              <w:tc>
                <w:tcPr>
                  <w:tcW w:w="5669" w:type="dxa"/>
                  <w:tcBorders>
                    <w:tl2br w:val="nil"/>
                    <w:tr2bl w:val="nil"/>
                  </w:tcBorders>
                  <w:noWrap w:val="0"/>
                  <w:vAlign w:val="center"/>
                </w:tcPr>
                <w:p w14:paraId="1DB9CC86">
                  <w:pPr>
                    <w:keepNext w:val="0"/>
                    <w:keepLines w:val="0"/>
                    <w:pageBreakBefore w:val="0"/>
                    <w:kinsoku/>
                    <w:wordWrap/>
                    <w:overflowPunct/>
                    <w:topLinePunct w:val="0"/>
                    <w:autoSpaceDE/>
                    <w:autoSpaceDN/>
                    <w:bidi w:val="0"/>
                    <w:spacing w:line="240" w:lineRule="auto"/>
                    <w:jc w:val="both"/>
                    <w:rPr>
                      <w:rFonts w:hint="eastAsia" w:ascii="Times New Roman" w:hAnsi="Times New Roman" w:cs="Times New Roman"/>
                      <w:bCs/>
                      <w:color w:val="auto"/>
                      <w:sz w:val="21"/>
                      <w:szCs w:val="21"/>
                      <w:vertAlign w:val="baseli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搅拌</w:t>
                  </w:r>
                  <w:r>
                    <w:rPr>
                      <w:rFonts w:hint="default" w:ascii="Times New Roman" w:hAnsi="Times New Roman" w:eastAsia="宋体" w:cs="Times New Roman"/>
                      <w:b w:val="0"/>
                      <w:bCs w:val="0"/>
                      <w:color w:val="auto"/>
                      <w:spacing w:val="0"/>
                      <w:sz w:val="21"/>
                      <w:szCs w:val="21"/>
                      <w:highlight w:val="none"/>
                      <w:lang w:val="en-US" w:eastAsia="zh-CN"/>
                    </w:rPr>
                    <w:t>楼</w:t>
                  </w:r>
                  <w:r>
                    <w:rPr>
                      <w:rFonts w:hint="eastAsia" w:ascii="Times New Roman" w:hAnsi="Times New Roman" w:eastAsia="宋体" w:cs="Times New Roman"/>
                      <w:b w:val="0"/>
                      <w:bCs w:val="0"/>
                      <w:color w:val="auto"/>
                      <w:spacing w:val="0"/>
                      <w:sz w:val="21"/>
                      <w:szCs w:val="21"/>
                      <w:highlight w:val="none"/>
                      <w:lang w:val="en-US" w:eastAsia="zh-CN"/>
                    </w:rPr>
                    <w:t>全密闭，湿法搅拌，</w:t>
                  </w:r>
                  <w:r>
                    <w:rPr>
                      <w:rFonts w:hint="default" w:ascii="Times New Roman" w:hAnsi="Times New Roman" w:eastAsia="宋体" w:cs="Times New Roman"/>
                      <w:b w:val="0"/>
                      <w:bCs w:val="0"/>
                      <w:color w:val="auto"/>
                      <w:spacing w:val="0"/>
                      <w:sz w:val="21"/>
                      <w:szCs w:val="21"/>
                      <w:highlight w:val="none"/>
                      <w:lang w:val="en-US" w:eastAsia="zh-CN"/>
                    </w:rPr>
                    <w:t>生产线产生的</w:t>
                  </w:r>
                  <w:r>
                    <w:rPr>
                      <w:rFonts w:hint="eastAsia" w:ascii="Times New Roman" w:hAnsi="Times New Roman" w:eastAsia="宋体" w:cs="Times New Roman"/>
                      <w:b w:val="0"/>
                      <w:bCs w:val="0"/>
                      <w:color w:val="auto"/>
                      <w:spacing w:val="0"/>
                      <w:sz w:val="21"/>
                      <w:szCs w:val="21"/>
                      <w:highlight w:val="none"/>
                      <w:lang w:val="en-US" w:eastAsia="zh-CN"/>
                    </w:rPr>
                    <w:t>少量</w:t>
                  </w:r>
                  <w:r>
                    <w:rPr>
                      <w:rFonts w:hint="default" w:ascii="Times New Roman" w:hAnsi="Times New Roman" w:eastAsia="宋体" w:cs="Times New Roman"/>
                      <w:b w:val="0"/>
                      <w:bCs w:val="0"/>
                      <w:color w:val="auto"/>
                      <w:spacing w:val="0"/>
                      <w:sz w:val="21"/>
                      <w:szCs w:val="21"/>
                      <w:highlight w:val="none"/>
                      <w:lang w:val="en-US" w:eastAsia="zh-CN"/>
                    </w:rPr>
                    <w:t>粉尘无组织排放</w:t>
                  </w:r>
                </w:p>
              </w:tc>
            </w:tr>
            <w:tr w14:paraId="2E3B20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4C9975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1BE350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34E80539">
                  <w:pPr>
                    <w:keepNext w:val="0"/>
                    <w:keepLines w:val="0"/>
                    <w:pageBreakBefore w:val="0"/>
                    <w:kinsoku/>
                    <w:wordWrap/>
                    <w:overflowPunct/>
                    <w:topLinePunct w:val="0"/>
                    <w:autoSpaceDE/>
                    <w:autoSpaceDN/>
                    <w:bidi w:val="0"/>
                    <w:spacing w:line="240" w:lineRule="auto"/>
                    <w:jc w:val="center"/>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卸料粉尘</w:t>
                  </w:r>
                </w:p>
              </w:tc>
              <w:tc>
                <w:tcPr>
                  <w:tcW w:w="5669" w:type="dxa"/>
                  <w:tcBorders>
                    <w:tl2br w:val="nil"/>
                    <w:tr2bl w:val="nil"/>
                  </w:tcBorders>
                  <w:noWrap w:val="0"/>
                  <w:vAlign w:val="center"/>
                </w:tcPr>
                <w:p w14:paraId="002D571E">
                  <w:pPr>
                    <w:keepNext w:val="0"/>
                    <w:keepLines w:val="0"/>
                    <w:pageBreakBefore w:val="0"/>
                    <w:kinsoku/>
                    <w:wordWrap/>
                    <w:overflowPunct/>
                    <w:topLinePunct w:val="0"/>
                    <w:autoSpaceDE/>
                    <w:autoSpaceDN/>
                    <w:bidi w:val="0"/>
                    <w:spacing w:line="240" w:lineRule="auto"/>
                    <w:jc w:val="both"/>
                    <w:rPr>
                      <w:rFonts w:hint="eastAsia" w:ascii="Times New Roman" w:hAnsi="Times New Roman" w:cs="Times New Roman"/>
                      <w:bCs/>
                      <w:color w:val="auto"/>
                      <w:sz w:val="21"/>
                      <w:szCs w:val="21"/>
                      <w:vertAlign w:val="baseli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砂石料仓</w:t>
                  </w:r>
                  <w:r>
                    <w:rPr>
                      <w:rFonts w:hint="eastAsia" w:cs="Times New Roman"/>
                      <w:b w:val="0"/>
                      <w:bCs w:val="0"/>
                      <w:color w:val="auto"/>
                      <w:spacing w:val="0"/>
                      <w:sz w:val="21"/>
                      <w:szCs w:val="21"/>
                      <w:highlight w:val="none"/>
                      <w:lang w:val="en-US" w:eastAsia="zh-CN"/>
                    </w:rPr>
                    <w:t>全</w:t>
                  </w:r>
                  <w:r>
                    <w:rPr>
                      <w:rFonts w:hint="default" w:ascii="Times New Roman" w:hAnsi="Times New Roman" w:eastAsia="宋体" w:cs="Times New Roman"/>
                      <w:b w:val="0"/>
                      <w:bCs w:val="0"/>
                      <w:color w:val="auto"/>
                      <w:spacing w:val="0"/>
                      <w:sz w:val="21"/>
                      <w:szCs w:val="21"/>
                      <w:highlight w:val="none"/>
                      <w:lang w:val="en-US" w:eastAsia="zh-CN"/>
                    </w:rPr>
                    <w:t>密闭</w:t>
                  </w:r>
                  <w:r>
                    <w:rPr>
                      <w:rFonts w:hint="eastAsia" w:ascii="Times New Roman" w:hAnsi="Times New Roman" w:eastAsia="宋体" w:cs="Times New Roman"/>
                      <w:b w:val="0"/>
                      <w:bCs w:val="0"/>
                      <w:color w:val="auto"/>
                      <w:spacing w:val="0"/>
                      <w:sz w:val="21"/>
                      <w:szCs w:val="21"/>
                      <w:highlight w:val="none"/>
                      <w:lang w:val="en-US" w:eastAsia="zh-CN"/>
                    </w:rPr>
                    <w:t>、喷淋洒水</w:t>
                  </w:r>
                </w:p>
              </w:tc>
            </w:tr>
            <w:tr w14:paraId="7B50DA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1B3EFE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0F0A05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3A3F325B">
                  <w:pPr>
                    <w:keepNext w:val="0"/>
                    <w:keepLines w:val="0"/>
                    <w:pageBreakBefore w:val="0"/>
                    <w:kinsoku/>
                    <w:wordWrap/>
                    <w:overflowPunct/>
                    <w:topLinePunct w:val="0"/>
                    <w:autoSpaceDE/>
                    <w:autoSpaceDN/>
                    <w:bidi w:val="0"/>
                    <w:spacing w:line="240" w:lineRule="auto"/>
                    <w:jc w:val="center"/>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运输扬尘</w:t>
                  </w:r>
                </w:p>
              </w:tc>
              <w:tc>
                <w:tcPr>
                  <w:tcW w:w="5669" w:type="dxa"/>
                  <w:tcBorders>
                    <w:tl2br w:val="nil"/>
                    <w:tr2bl w:val="nil"/>
                  </w:tcBorders>
                  <w:noWrap w:val="0"/>
                  <w:vAlign w:val="center"/>
                </w:tcPr>
                <w:p w14:paraId="5115A952">
                  <w:pPr>
                    <w:keepNext w:val="0"/>
                    <w:keepLines w:val="0"/>
                    <w:pageBreakBefore w:val="0"/>
                    <w:kinsoku/>
                    <w:wordWrap/>
                    <w:overflowPunct/>
                    <w:topLinePunct w:val="0"/>
                    <w:autoSpaceDE/>
                    <w:autoSpaceDN/>
                    <w:bidi w:val="0"/>
                    <w:spacing w:line="240" w:lineRule="auto"/>
                    <w:jc w:val="both"/>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运输车辆要封闭遮盖，粉料采用密闭罐车运输，车辆清洗，地面洒水降尘及时清扫</w:t>
                  </w:r>
                </w:p>
              </w:tc>
            </w:tr>
            <w:tr w14:paraId="2844C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09FDE4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24B4DF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785B5A1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物料传输</w:t>
                  </w:r>
                </w:p>
              </w:tc>
              <w:tc>
                <w:tcPr>
                  <w:tcW w:w="5669" w:type="dxa"/>
                  <w:tcBorders>
                    <w:tl2br w:val="nil"/>
                    <w:tr2bl w:val="nil"/>
                  </w:tcBorders>
                  <w:noWrap w:val="0"/>
                  <w:vAlign w:val="center"/>
                </w:tcPr>
                <w:p w14:paraId="37D25078">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物料</w:t>
                  </w:r>
                  <w:r>
                    <w:rPr>
                      <w:rFonts w:hint="eastAsia" w:ascii="Times New Roman" w:hAnsi="Times New Roman" w:eastAsia="宋体" w:cs="Times New Roman"/>
                      <w:b w:val="0"/>
                      <w:bCs w:val="0"/>
                      <w:color w:val="auto"/>
                      <w:spacing w:val="0"/>
                      <w:sz w:val="21"/>
                      <w:szCs w:val="21"/>
                      <w:highlight w:val="none"/>
                      <w:lang w:val="en-US" w:eastAsia="zh-CN"/>
                    </w:rPr>
                    <w:t>传输皮带</w:t>
                  </w:r>
                  <w:r>
                    <w:rPr>
                      <w:rFonts w:hint="default" w:ascii="Times New Roman" w:hAnsi="Times New Roman" w:eastAsia="宋体" w:cs="Times New Roman"/>
                      <w:b w:val="0"/>
                      <w:bCs w:val="0"/>
                      <w:color w:val="auto"/>
                      <w:spacing w:val="0"/>
                      <w:sz w:val="21"/>
                      <w:szCs w:val="21"/>
                      <w:highlight w:val="none"/>
                      <w:lang w:val="en-US" w:eastAsia="zh-CN"/>
                    </w:rPr>
                    <w:t>系统</w:t>
                  </w:r>
                  <w:r>
                    <w:rPr>
                      <w:rFonts w:hint="eastAsia" w:ascii="Times New Roman" w:hAnsi="Times New Roman" w:eastAsia="宋体" w:cs="Times New Roman"/>
                      <w:b w:val="0"/>
                      <w:bCs w:val="0"/>
                      <w:color w:val="auto"/>
                      <w:spacing w:val="0"/>
                      <w:sz w:val="21"/>
                      <w:szCs w:val="21"/>
                      <w:highlight w:val="none"/>
                      <w:lang w:val="en-US" w:eastAsia="zh-CN"/>
                    </w:rPr>
                    <w:t>全封闭</w:t>
                  </w:r>
                </w:p>
              </w:tc>
            </w:tr>
            <w:tr w14:paraId="09105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9D6F2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58B014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1C139A3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运输车辆废气</w:t>
                  </w:r>
                </w:p>
              </w:tc>
              <w:tc>
                <w:tcPr>
                  <w:tcW w:w="5669" w:type="dxa"/>
                  <w:tcBorders>
                    <w:tl2br w:val="nil"/>
                    <w:tr2bl w:val="nil"/>
                  </w:tcBorders>
                  <w:noWrap w:val="0"/>
                  <w:vAlign w:val="center"/>
                </w:tcPr>
                <w:p w14:paraId="63A61BB1">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运输车辆减速慢行，加强对进出车辆的管理，减少进出车辆怠速和频繁启动</w:t>
                  </w:r>
                </w:p>
              </w:tc>
            </w:tr>
            <w:tr w14:paraId="1F0521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543268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restart"/>
                  <w:tcBorders>
                    <w:right w:val="single" w:color="000000" w:sz="4" w:space="0"/>
                    <w:tl2br w:val="nil"/>
                    <w:tr2bl w:val="nil"/>
                  </w:tcBorders>
                  <w:noWrap w:val="0"/>
                  <w:vAlign w:val="center"/>
                </w:tcPr>
                <w:p w14:paraId="7FACA8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废水</w:t>
                  </w:r>
                </w:p>
              </w:tc>
              <w:tc>
                <w:tcPr>
                  <w:tcW w:w="795" w:type="dxa"/>
                  <w:tcBorders>
                    <w:left w:val="single" w:color="000000" w:sz="4" w:space="0"/>
                    <w:tl2br w:val="nil"/>
                    <w:tr2bl w:val="nil"/>
                  </w:tcBorders>
                  <w:noWrap w:val="0"/>
                  <w:vAlign w:val="center"/>
                </w:tcPr>
                <w:p w14:paraId="2DC4F45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清洗废水</w:t>
                  </w:r>
                </w:p>
              </w:tc>
              <w:tc>
                <w:tcPr>
                  <w:tcW w:w="5669" w:type="dxa"/>
                  <w:tcBorders>
                    <w:tl2br w:val="nil"/>
                    <w:tr2bl w:val="nil"/>
                  </w:tcBorders>
                  <w:noWrap w:val="0"/>
                  <w:vAlign w:val="center"/>
                </w:tcPr>
                <w:p w14:paraId="4301B474">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每座综合站场设置1座洗车池，采用三级沉淀，搅拌机清洗水、混凝土运输车辆清洗水等进入洗车池，沉淀后回用生产</w:t>
                  </w:r>
                </w:p>
              </w:tc>
            </w:tr>
            <w:tr w14:paraId="21A69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163F7C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45332E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011B1ED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生活污水</w:t>
                  </w:r>
                </w:p>
              </w:tc>
              <w:tc>
                <w:tcPr>
                  <w:tcW w:w="5669" w:type="dxa"/>
                  <w:tcBorders>
                    <w:tl2br w:val="nil"/>
                    <w:tr2bl w:val="nil"/>
                  </w:tcBorders>
                  <w:noWrap w:val="0"/>
                  <w:vAlign w:val="center"/>
                </w:tcPr>
                <w:p w14:paraId="05F4BF7A">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cs="Times New Roman"/>
                      <w:bCs/>
                      <w:color w:val="auto"/>
                      <w:sz w:val="21"/>
                      <w:szCs w:val="21"/>
                      <w:vertAlign w:val="baseline"/>
                      <w:lang w:val="en-US" w:eastAsia="zh-CN"/>
                    </w:rPr>
                    <w:t>生活污水</w:t>
                  </w:r>
                  <w:r>
                    <w:rPr>
                      <w:rFonts w:hint="eastAsia" w:ascii="宋体" w:hAnsi="宋体" w:eastAsia="宋体" w:cs="宋体"/>
                      <w:i w:val="0"/>
                      <w:iCs w:val="0"/>
                      <w:color w:val="auto"/>
                      <w:sz w:val="21"/>
                      <w:szCs w:val="21"/>
                      <w:u w:val="none"/>
                      <w:lang w:val="en-US" w:eastAsia="zh-CN"/>
                    </w:rPr>
                    <w:t>依托高速公路配套生活区</w:t>
                  </w:r>
                  <w:r>
                    <w:rPr>
                      <w:rFonts w:hint="eastAsia" w:ascii="Times New Roman" w:hAnsi="Times New Roman" w:cs="Times New Roman"/>
                      <w:bCs/>
                      <w:color w:val="auto"/>
                      <w:sz w:val="21"/>
                      <w:szCs w:val="21"/>
                      <w:vertAlign w:val="baseline"/>
                      <w:lang w:val="en-US" w:eastAsia="zh-CN"/>
                    </w:rPr>
                    <w:t>一体化污水设备，处理达到《城市污水再生利用城市杂用水水质》（GB/T18920-2020）标准后回用绿化、道路清扫</w:t>
                  </w:r>
                </w:p>
              </w:tc>
            </w:tr>
            <w:tr w14:paraId="1EAB5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3BA14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1500" w:type="dxa"/>
                  <w:gridSpan w:val="2"/>
                  <w:tcBorders>
                    <w:tl2br w:val="nil"/>
                    <w:tr2bl w:val="nil"/>
                  </w:tcBorders>
                  <w:noWrap w:val="0"/>
                  <w:vAlign w:val="center"/>
                </w:tcPr>
                <w:p w14:paraId="04CEB95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cs="Times New Roman"/>
                      <w:bCs/>
                      <w:color w:val="auto"/>
                      <w:sz w:val="21"/>
                      <w:szCs w:val="21"/>
                      <w:vertAlign w:val="baseline"/>
                      <w:lang w:val="en-US" w:eastAsia="zh-CN"/>
                    </w:rPr>
                    <w:t>噪声</w:t>
                  </w:r>
                </w:p>
              </w:tc>
              <w:tc>
                <w:tcPr>
                  <w:tcW w:w="5669" w:type="dxa"/>
                  <w:tcBorders>
                    <w:tl2br w:val="nil"/>
                    <w:tr2bl w:val="nil"/>
                  </w:tcBorders>
                  <w:noWrap w:val="0"/>
                  <w:vAlign w:val="center"/>
                </w:tcPr>
                <w:p w14:paraId="4D46A6F2">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选用低噪声设备，</w:t>
                  </w:r>
                  <w:r>
                    <w:rPr>
                      <w:rFonts w:hint="default" w:ascii="Times New Roman" w:hAnsi="Times New Roman" w:eastAsia="宋体" w:cs="Times New Roman"/>
                      <w:color w:val="auto"/>
                      <w:spacing w:val="0"/>
                      <w:kern w:val="0"/>
                      <w:sz w:val="21"/>
                      <w:szCs w:val="21"/>
                      <w:highlight w:val="none"/>
                      <w:lang w:val="en-US" w:eastAsia="zh-CN" w:bidi="ar"/>
                    </w:rPr>
                    <w:t>采用隔声、减振等措施控制噪声源和噪声传播途径</w:t>
                  </w:r>
                  <w:r>
                    <w:rPr>
                      <w:rFonts w:hint="default" w:ascii="Times New Roman" w:hAnsi="Times New Roman" w:eastAsia="宋体" w:cs="Times New Roman"/>
                      <w:b w:val="0"/>
                      <w:bCs w:val="0"/>
                      <w:color w:val="auto"/>
                      <w:spacing w:val="0"/>
                      <w:sz w:val="21"/>
                      <w:szCs w:val="21"/>
                      <w:highlight w:val="none"/>
                      <w:lang w:val="en-US" w:eastAsia="zh-CN"/>
                    </w:rPr>
                    <w:t>，定期对设备进行维护和保养，采取个人防护措施</w:t>
                  </w:r>
                </w:p>
              </w:tc>
            </w:tr>
            <w:tr w14:paraId="52643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535E64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restart"/>
                  <w:tcBorders>
                    <w:right w:val="single" w:color="000000" w:sz="4" w:space="0"/>
                    <w:tl2br w:val="nil"/>
                    <w:tr2bl w:val="nil"/>
                  </w:tcBorders>
                  <w:noWrap w:val="0"/>
                  <w:vAlign w:val="center"/>
                </w:tcPr>
                <w:p w14:paraId="4F21EF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固体废物</w:t>
                  </w:r>
                </w:p>
              </w:tc>
              <w:tc>
                <w:tcPr>
                  <w:tcW w:w="795" w:type="dxa"/>
                  <w:tcBorders>
                    <w:left w:val="single" w:color="000000" w:sz="4" w:space="0"/>
                    <w:tl2br w:val="nil"/>
                    <w:tr2bl w:val="nil"/>
                  </w:tcBorders>
                  <w:noWrap w:val="0"/>
                  <w:vAlign w:val="center"/>
                </w:tcPr>
                <w:p w14:paraId="1031D35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生产固废</w:t>
                  </w:r>
                </w:p>
              </w:tc>
              <w:tc>
                <w:tcPr>
                  <w:tcW w:w="5669" w:type="dxa"/>
                  <w:tcBorders>
                    <w:tl2br w:val="nil"/>
                    <w:tr2bl w:val="nil"/>
                  </w:tcBorders>
                  <w:noWrap w:val="0"/>
                  <w:vAlign w:val="center"/>
                </w:tcPr>
                <w:p w14:paraId="2BA19806">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除尘器收集的粉尘、洗车池底部砂石收集后回用于生产</w:t>
                  </w:r>
                </w:p>
              </w:tc>
            </w:tr>
            <w:tr w14:paraId="3CBD1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4DD763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0663B2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3113BEC9">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废砼块</w:t>
                  </w:r>
                </w:p>
              </w:tc>
              <w:tc>
                <w:tcPr>
                  <w:tcW w:w="5669" w:type="dxa"/>
                  <w:tcBorders>
                    <w:tl2br w:val="nil"/>
                    <w:tr2bl w:val="nil"/>
                  </w:tcBorders>
                  <w:noWrap w:val="0"/>
                  <w:vAlign w:val="center"/>
                </w:tcPr>
                <w:p w14:paraId="44B8198A">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力学实验产生的废砼块放置在废砼区，拉运至当地固体废物填埋场处置</w:t>
                  </w:r>
                </w:p>
              </w:tc>
            </w:tr>
            <w:tr w14:paraId="040FB3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9" w:type="dxa"/>
                  <w:vMerge w:val="continue"/>
                  <w:tcBorders>
                    <w:tl2br w:val="nil"/>
                    <w:tr2bl w:val="nil"/>
                  </w:tcBorders>
                  <w:noWrap w:val="0"/>
                  <w:vAlign w:val="center"/>
                </w:tcPr>
                <w:p w14:paraId="2BC8E0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05" w:type="dxa"/>
                  <w:vMerge w:val="continue"/>
                  <w:tcBorders>
                    <w:right w:val="single" w:color="000000" w:sz="4" w:space="0"/>
                    <w:tl2br w:val="nil"/>
                    <w:tr2bl w:val="nil"/>
                  </w:tcBorders>
                  <w:noWrap w:val="0"/>
                  <w:vAlign w:val="center"/>
                </w:tcPr>
                <w:p w14:paraId="14BD2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auto"/>
                      <w:sz w:val="21"/>
                      <w:szCs w:val="21"/>
                      <w:vertAlign w:val="baseline"/>
                      <w:lang w:val="en-US" w:eastAsia="zh-CN"/>
                    </w:rPr>
                  </w:pPr>
                </w:p>
              </w:tc>
              <w:tc>
                <w:tcPr>
                  <w:tcW w:w="795" w:type="dxa"/>
                  <w:tcBorders>
                    <w:left w:val="single" w:color="000000" w:sz="4" w:space="0"/>
                    <w:tl2br w:val="nil"/>
                    <w:tr2bl w:val="nil"/>
                  </w:tcBorders>
                  <w:noWrap w:val="0"/>
                  <w:vAlign w:val="center"/>
                </w:tcPr>
                <w:p w14:paraId="5B81874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val="0"/>
                      <w:bCs w:val="0"/>
                      <w:color w:val="auto"/>
                      <w:spacing w:val="0"/>
                      <w:sz w:val="21"/>
                      <w:szCs w:val="21"/>
                      <w:highlight w:val="none"/>
                      <w:lang w:val="en-US" w:eastAsia="zh-CN"/>
                    </w:rPr>
                  </w:pPr>
                  <w:r>
                    <w:rPr>
                      <w:rFonts w:hint="eastAsia" w:ascii="Times New Roman" w:hAnsi="Times New Roman" w:eastAsia="宋体" w:cs="Times New Roman"/>
                      <w:b w:val="0"/>
                      <w:bCs w:val="0"/>
                      <w:color w:val="auto"/>
                      <w:spacing w:val="0"/>
                      <w:sz w:val="21"/>
                      <w:szCs w:val="21"/>
                      <w:highlight w:val="none"/>
                      <w:lang w:val="en-US" w:eastAsia="zh-CN"/>
                    </w:rPr>
                    <w:t>生活垃圾</w:t>
                  </w:r>
                </w:p>
              </w:tc>
              <w:tc>
                <w:tcPr>
                  <w:tcW w:w="5669" w:type="dxa"/>
                  <w:tcBorders>
                    <w:tl2br w:val="nil"/>
                    <w:tr2bl w:val="nil"/>
                  </w:tcBorders>
                  <w:noWrap w:val="0"/>
                  <w:vAlign w:val="center"/>
                </w:tcPr>
                <w:p w14:paraId="2F4F2407">
                  <w:pPr>
                    <w:keepNext w:val="0"/>
                    <w:keepLines w:val="0"/>
                    <w:pageBreakBefore w:val="0"/>
                    <w:kinsoku/>
                    <w:wordWrap/>
                    <w:overflowPunct/>
                    <w:topLinePunct w:val="0"/>
                    <w:autoSpaceDE/>
                    <w:autoSpaceDN/>
                    <w:bidi w:val="0"/>
                    <w:spacing w:line="240" w:lineRule="auto"/>
                    <w:jc w:val="both"/>
                    <w:rPr>
                      <w:rFonts w:hint="default" w:ascii="Times New Roman" w:hAnsi="Times New Roman" w:eastAsia="宋体" w:cs="Times New Roman"/>
                      <w:b w:val="0"/>
                      <w:bCs w:val="0"/>
                      <w:color w:val="auto"/>
                      <w:spacing w:val="0"/>
                      <w:sz w:val="21"/>
                      <w:szCs w:val="21"/>
                      <w:highlight w:val="none"/>
                      <w:lang w:val="en-US" w:eastAsia="zh-CN"/>
                    </w:rPr>
                  </w:pPr>
                  <w:r>
                    <w:rPr>
                      <w:rFonts w:hint="eastAsia" w:ascii="宋体" w:hAnsi="宋体" w:eastAsia="宋体" w:cs="宋体"/>
                      <w:i w:val="0"/>
                      <w:iCs w:val="0"/>
                      <w:color w:val="auto"/>
                      <w:sz w:val="21"/>
                      <w:szCs w:val="21"/>
                      <w:u w:val="none"/>
                      <w:lang w:val="en-US" w:eastAsia="zh-CN"/>
                    </w:rPr>
                    <w:t>依托高速公路配套生活区，</w:t>
                  </w:r>
                  <w:r>
                    <w:rPr>
                      <w:rFonts w:hint="eastAsia" w:ascii="Times New Roman" w:hAnsi="Times New Roman" w:eastAsia="宋体" w:cs="Times New Roman"/>
                      <w:b w:val="0"/>
                      <w:bCs w:val="0"/>
                      <w:color w:val="auto"/>
                      <w:spacing w:val="0"/>
                      <w:sz w:val="21"/>
                      <w:szCs w:val="21"/>
                      <w:highlight w:val="none"/>
                      <w:lang w:val="en-US" w:eastAsia="zh-CN"/>
                    </w:rPr>
                    <w:t>设置有生活垃圾箱，定期拉运至生活垃圾填埋场处置</w:t>
                  </w:r>
                </w:p>
              </w:tc>
            </w:tr>
          </w:tbl>
          <w:p w14:paraId="797DE26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2.3主要产品及产能</w:t>
            </w:r>
          </w:p>
          <w:p w14:paraId="56E2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w:t>
            </w:r>
            <w:r>
              <w:rPr>
                <w:rFonts w:hint="eastAsia" w:ascii="Times New Roman" w:hAnsi="Times New Roman" w:eastAsia="宋体" w:cs="Times New Roman"/>
                <w:bCs/>
                <w:color w:val="auto"/>
                <w:sz w:val="24"/>
                <w:highlight w:val="none"/>
                <w:lang w:val="en-US" w:eastAsia="zh-CN"/>
              </w:rPr>
              <w:t>每座综合站场</w:t>
            </w:r>
            <w:r>
              <w:rPr>
                <w:rFonts w:hint="default" w:ascii="Times New Roman" w:hAnsi="Times New Roman" w:eastAsia="宋体" w:cs="Times New Roman"/>
                <w:bCs/>
                <w:color w:val="auto"/>
                <w:sz w:val="24"/>
                <w:highlight w:val="none"/>
                <w:lang w:val="en-US" w:eastAsia="zh-CN"/>
              </w:rPr>
              <w:t>生产商品混凝土</w:t>
            </w:r>
            <w:r>
              <w:rPr>
                <w:rFonts w:hint="eastAsia" w:ascii="Times New Roman" w:hAnsi="Times New Roman" w:eastAsia="宋体" w:cs="Times New Roman"/>
                <w:bCs/>
                <w:color w:val="auto"/>
                <w:sz w:val="24"/>
                <w:highlight w:val="none"/>
                <w:lang w:val="en-US" w:eastAsia="zh-CN"/>
              </w:rPr>
              <w:t>6</w:t>
            </w:r>
            <w:r>
              <w:rPr>
                <w:rFonts w:hint="default" w:ascii="Times New Roman" w:hAnsi="Times New Roman" w:eastAsia="宋体" w:cs="Times New Roman"/>
                <w:bCs/>
                <w:color w:val="auto"/>
                <w:sz w:val="24"/>
                <w:highlight w:val="none"/>
                <w:lang w:val="en-US" w:eastAsia="zh-CN"/>
              </w:rPr>
              <w:t>万m³/年，商品混凝土配比按</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混凝土质量控制标准</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GB50164-201</w:t>
            </w:r>
            <w:r>
              <w:rPr>
                <w:rFonts w:hint="eastAsia" w:ascii="Times New Roman" w:hAnsi="Times New Roman" w:eastAsia="宋体" w:cs="Times New Roman"/>
                <w:bCs/>
                <w:color w:val="auto"/>
                <w:sz w:val="24"/>
                <w:highlight w:val="none"/>
                <w:lang w:val="en-US" w:eastAsia="zh-CN"/>
              </w:rPr>
              <w:t>8）</w:t>
            </w:r>
            <w:r>
              <w:rPr>
                <w:rFonts w:hint="default" w:ascii="Times New Roman" w:hAnsi="Times New Roman" w:eastAsia="宋体" w:cs="Times New Roman"/>
                <w:bCs/>
                <w:color w:val="auto"/>
                <w:sz w:val="24"/>
                <w:highlight w:val="none"/>
                <w:lang w:val="en-US" w:eastAsia="zh-CN"/>
              </w:rPr>
              <w:t>进行设计，设计标号分别为C20-C</w:t>
            </w:r>
            <w:r>
              <w:rPr>
                <w:rFonts w:hint="eastAsia" w:ascii="Times New Roman" w:hAnsi="Times New Roman" w:eastAsia="宋体" w:cs="Times New Roman"/>
                <w:bCs/>
                <w:color w:val="auto"/>
                <w:sz w:val="24"/>
                <w:highlight w:val="none"/>
                <w:lang w:val="en-US" w:eastAsia="zh-CN"/>
              </w:rPr>
              <w:t>4</w:t>
            </w:r>
            <w:r>
              <w:rPr>
                <w:rFonts w:hint="default" w:ascii="Times New Roman" w:hAnsi="Times New Roman" w:eastAsia="宋体" w:cs="Times New Roman"/>
                <w:bCs/>
                <w:color w:val="auto"/>
                <w:sz w:val="24"/>
                <w:highlight w:val="none"/>
                <w:lang w:val="en-US" w:eastAsia="zh-CN"/>
              </w:rPr>
              <w:t>0，采用机械搅拌，每种产品数量根据市场需求调整。本项目产品方案见表2-2。</w:t>
            </w:r>
          </w:p>
          <w:p w14:paraId="7141A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spacing w:val="0"/>
                <w:sz w:val="21"/>
                <w:szCs w:val="21"/>
                <w:lang w:val="en-US" w:eastAsia="zh-CN"/>
              </w:rPr>
            </w:pPr>
            <w:r>
              <w:rPr>
                <w:rFonts w:hint="default" w:ascii="Times New Roman" w:hAnsi="Times New Roman" w:eastAsia="宋体" w:cs="Times New Roman"/>
                <w:b/>
                <w:bCs w:val="0"/>
                <w:color w:val="auto"/>
                <w:spacing w:val="0"/>
                <w:sz w:val="21"/>
                <w:szCs w:val="21"/>
                <w:lang w:val="en-US" w:eastAsia="zh-CN"/>
              </w:rPr>
              <w:t>表2-2     项目产品方案一览表</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86"/>
              <w:gridCol w:w="1186"/>
              <w:gridCol w:w="828"/>
              <w:gridCol w:w="1173"/>
              <w:gridCol w:w="1595"/>
              <w:gridCol w:w="1436"/>
            </w:tblGrid>
            <w:tr w14:paraId="04887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tcBorders>
                    <w:tl2br w:val="nil"/>
                    <w:tr2bl w:val="nil"/>
                  </w:tcBorders>
                  <w:noWrap w:val="0"/>
                  <w:vAlign w:val="center"/>
                </w:tcPr>
                <w:p w14:paraId="065D8F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序号</w:t>
                  </w:r>
                </w:p>
              </w:tc>
              <w:tc>
                <w:tcPr>
                  <w:tcW w:w="746" w:type="pct"/>
                  <w:tcBorders>
                    <w:tl2br w:val="nil"/>
                    <w:tr2bl w:val="nil"/>
                  </w:tcBorders>
                  <w:noWrap w:val="0"/>
                  <w:vAlign w:val="center"/>
                </w:tcPr>
                <w:p w14:paraId="781ACDB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产品</w:t>
                  </w:r>
                </w:p>
              </w:tc>
              <w:tc>
                <w:tcPr>
                  <w:tcW w:w="746" w:type="pct"/>
                  <w:tcBorders>
                    <w:tl2br w:val="nil"/>
                    <w:tr2bl w:val="nil"/>
                  </w:tcBorders>
                  <w:noWrap w:val="0"/>
                  <w:vAlign w:val="center"/>
                </w:tcPr>
                <w:p w14:paraId="5D74577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单位</w:t>
                  </w:r>
                </w:p>
              </w:tc>
              <w:tc>
                <w:tcPr>
                  <w:tcW w:w="521" w:type="pct"/>
                  <w:tcBorders>
                    <w:tl2br w:val="nil"/>
                    <w:tr2bl w:val="nil"/>
                  </w:tcBorders>
                  <w:noWrap w:val="0"/>
                  <w:vAlign w:val="center"/>
                </w:tcPr>
                <w:p w14:paraId="124D3A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数量</w:t>
                  </w:r>
                </w:p>
              </w:tc>
              <w:tc>
                <w:tcPr>
                  <w:tcW w:w="738" w:type="pct"/>
                  <w:tcBorders>
                    <w:tl2br w:val="nil"/>
                    <w:tr2bl w:val="nil"/>
                  </w:tcBorders>
                  <w:noWrap w:val="0"/>
                  <w:vAlign w:val="center"/>
                </w:tcPr>
                <w:p w14:paraId="743D46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规格</w:t>
                  </w:r>
                </w:p>
              </w:tc>
              <w:tc>
                <w:tcPr>
                  <w:tcW w:w="1004" w:type="pct"/>
                  <w:tcBorders>
                    <w:tl2br w:val="nil"/>
                    <w:tr2bl w:val="nil"/>
                  </w:tcBorders>
                  <w:noWrap w:val="0"/>
                  <w:vAlign w:val="center"/>
                </w:tcPr>
                <w:p w14:paraId="539FB8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标准</w:t>
                  </w:r>
                </w:p>
              </w:tc>
              <w:tc>
                <w:tcPr>
                  <w:tcW w:w="904" w:type="pct"/>
                  <w:tcBorders>
                    <w:tl2br w:val="nil"/>
                    <w:tr2bl w:val="nil"/>
                  </w:tcBorders>
                  <w:noWrap w:val="0"/>
                  <w:vAlign w:val="center"/>
                </w:tcPr>
                <w:p w14:paraId="2FED95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备注</w:t>
                  </w:r>
                </w:p>
              </w:tc>
            </w:tr>
            <w:tr w14:paraId="425D1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tcBorders>
                    <w:tl2br w:val="nil"/>
                    <w:tr2bl w:val="nil"/>
                  </w:tcBorders>
                  <w:noWrap w:val="0"/>
                  <w:vAlign w:val="center"/>
                </w:tcPr>
                <w:p w14:paraId="4FDFE4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746" w:type="pct"/>
                  <w:tcBorders>
                    <w:tl2br w:val="nil"/>
                    <w:tr2bl w:val="nil"/>
                  </w:tcBorders>
                  <w:noWrap w:val="0"/>
                  <w:vAlign w:val="center"/>
                </w:tcPr>
                <w:p w14:paraId="6F59C7F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商品混凝土</w:t>
                  </w:r>
                </w:p>
              </w:tc>
              <w:tc>
                <w:tcPr>
                  <w:tcW w:w="746" w:type="pct"/>
                  <w:tcBorders>
                    <w:tl2br w:val="nil"/>
                    <w:tr2bl w:val="nil"/>
                  </w:tcBorders>
                  <w:noWrap w:val="0"/>
                  <w:vAlign w:val="center"/>
                </w:tcPr>
                <w:p w14:paraId="6528D2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万</w:t>
                  </w:r>
                  <w:r>
                    <w:rPr>
                      <w:rFonts w:hint="default" w:ascii="Times New Roman" w:hAnsi="Times New Roman" w:eastAsia="宋体" w:cs="Times New Roman"/>
                      <w:color w:val="auto"/>
                      <w:szCs w:val="21"/>
                      <w:highlight w:val="none"/>
                      <w:lang w:val="en-US" w:eastAsia="zh-CN"/>
                    </w:rPr>
                    <w:t>m</w:t>
                  </w:r>
                  <w:r>
                    <w:rPr>
                      <w:rFonts w:hint="default" w:ascii="Times New Roman" w:hAnsi="Times New Roman" w:eastAsia="宋体" w:cs="Times New Roman"/>
                      <w:color w:val="auto"/>
                      <w:szCs w:val="21"/>
                      <w:highlight w:val="none"/>
                      <w:vertAlign w:val="superscript"/>
                      <w:lang w:val="en-US" w:eastAsia="zh-CN"/>
                    </w:rPr>
                    <w:t>3</w:t>
                  </w:r>
                </w:p>
              </w:tc>
              <w:tc>
                <w:tcPr>
                  <w:tcW w:w="521" w:type="pct"/>
                  <w:tcBorders>
                    <w:tl2br w:val="nil"/>
                    <w:tr2bl w:val="nil"/>
                  </w:tcBorders>
                  <w:noWrap w:val="0"/>
                  <w:vAlign w:val="center"/>
                </w:tcPr>
                <w:p w14:paraId="45DE16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w:t>
                  </w:r>
                </w:p>
              </w:tc>
              <w:tc>
                <w:tcPr>
                  <w:tcW w:w="738" w:type="pct"/>
                  <w:tcBorders>
                    <w:tl2br w:val="nil"/>
                    <w:tr2bl w:val="nil"/>
                  </w:tcBorders>
                  <w:noWrap w:val="0"/>
                  <w:vAlign w:val="center"/>
                </w:tcPr>
                <w:p w14:paraId="7B6F63F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C20-C</w:t>
                  </w:r>
                  <w:r>
                    <w:rPr>
                      <w:rFonts w:hint="eastAsia" w:ascii="Times New Roman" w:hAnsi="Times New Roman" w:eastAsia="宋体" w:cs="Times New Roman"/>
                      <w:color w:val="auto"/>
                      <w:szCs w:val="21"/>
                      <w:highlight w:val="none"/>
                      <w:lang w:val="en-US" w:eastAsia="zh-CN"/>
                    </w:rPr>
                    <w:t>40</w:t>
                  </w:r>
                </w:p>
              </w:tc>
              <w:tc>
                <w:tcPr>
                  <w:tcW w:w="1004" w:type="pct"/>
                  <w:tcBorders>
                    <w:tl2br w:val="nil"/>
                    <w:tr2bl w:val="nil"/>
                  </w:tcBorders>
                  <w:noWrap w:val="0"/>
                  <w:vAlign w:val="center"/>
                </w:tcPr>
                <w:p w14:paraId="5EC71A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highlight w:val="none"/>
                    </w:rPr>
                    <w:t>GB50164</w:t>
                  </w:r>
                  <w:r>
                    <w:rPr>
                      <w:rFonts w:hint="default" w:ascii="Times New Roman" w:hAnsi="Times New Roman" w:eastAsia="宋体" w:cs="Times New Roman"/>
                      <w:color w:val="auto"/>
                      <w:highlight w:val="none"/>
                      <w:lang w:val="en-US" w:eastAsia="zh-CN"/>
                    </w:rPr>
                    <w:t>-201</w:t>
                  </w:r>
                  <w:r>
                    <w:rPr>
                      <w:rFonts w:hint="eastAsia" w:ascii="Times New Roman" w:hAnsi="Times New Roman" w:eastAsia="宋体" w:cs="Times New Roman"/>
                      <w:color w:val="auto"/>
                      <w:highlight w:val="none"/>
                      <w:lang w:val="en-US" w:eastAsia="zh-CN"/>
                    </w:rPr>
                    <w:t>8</w:t>
                  </w:r>
                </w:p>
              </w:tc>
              <w:tc>
                <w:tcPr>
                  <w:tcW w:w="904" w:type="pct"/>
                  <w:tcBorders>
                    <w:tl2br w:val="nil"/>
                    <w:tr2bl w:val="nil"/>
                  </w:tcBorders>
                  <w:noWrap w:val="0"/>
                  <w:vAlign w:val="center"/>
                </w:tcPr>
                <w:p w14:paraId="161B51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1号综合站场</w:t>
                  </w:r>
                </w:p>
              </w:tc>
            </w:tr>
            <w:tr w14:paraId="51C89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pct"/>
                  <w:tcBorders>
                    <w:tl2br w:val="nil"/>
                    <w:tr2bl w:val="nil"/>
                  </w:tcBorders>
                  <w:noWrap w:val="0"/>
                  <w:vAlign w:val="center"/>
                </w:tcPr>
                <w:p w14:paraId="1CE4067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746" w:type="pct"/>
                  <w:tcBorders>
                    <w:tl2br w:val="nil"/>
                    <w:tr2bl w:val="nil"/>
                  </w:tcBorders>
                  <w:noWrap w:val="0"/>
                  <w:vAlign w:val="center"/>
                </w:tcPr>
                <w:p w14:paraId="35A7911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商品混凝土</w:t>
                  </w:r>
                </w:p>
              </w:tc>
              <w:tc>
                <w:tcPr>
                  <w:tcW w:w="746" w:type="pct"/>
                  <w:tcBorders>
                    <w:tl2br w:val="nil"/>
                    <w:tr2bl w:val="nil"/>
                  </w:tcBorders>
                  <w:noWrap w:val="0"/>
                  <w:vAlign w:val="center"/>
                </w:tcPr>
                <w:p w14:paraId="7510A15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万</w:t>
                  </w:r>
                  <w:r>
                    <w:rPr>
                      <w:rFonts w:hint="default" w:ascii="Times New Roman" w:hAnsi="Times New Roman" w:eastAsia="宋体" w:cs="Times New Roman"/>
                      <w:color w:val="auto"/>
                      <w:szCs w:val="21"/>
                      <w:highlight w:val="none"/>
                      <w:lang w:val="en-US" w:eastAsia="zh-CN"/>
                    </w:rPr>
                    <w:t>m</w:t>
                  </w:r>
                  <w:r>
                    <w:rPr>
                      <w:rFonts w:hint="default" w:ascii="Times New Roman" w:hAnsi="Times New Roman" w:eastAsia="宋体" w:cs="Times New Roman"/>
                      <w:color w:val="auto"/>
                      <w:szCs w:val="21"/>
                      <w:highlight w:val="none"/>
                      <w:vertAlign w:val="superscript"/>
                      <w:lang w:val="en-US" w:eastAsia="zh-CN"/>
                    </w:rPr>
                    <w:t>3</w:t>
                  </w:r>
                </w:p>
              </w:tc>
              <w:tc>
                <w:tcPr>
                  <w:tcW w:w="521" w:type="pct"/>
                  <w:tcBorders>
                    <w:tl2br w:val="nil"/>
                    <w:tr2bl w:val="nil"/>
                  </w:tcBorders>
                  <w:noWrap w:val="0"/>
                  <w:vAlign w:val="center"/>
                </w:tcPr>
                <w:p w14:paraId="52243B7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w:t>
                  </w:r>
                </w:p>
              </w:tc>
              <w:tc>
                <w:tcPr>
                  <w:tcW w:w="738" w:type="pct"/>
                  <w:tcBorders>
                    <w:tl2br w:val="nil"/>
                    <w:tr2bl w:val="nil"/>
                  </w:tcBorders>
                  <w:noWrap w:val="0"/>
                  <w:vAlign w:val="center"/>
                </w:tcPr>
                <w:p w14:paraId="516B97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C20-C</w:t>
                  </w:r>
                  <w:r>
                    <w:rPr>
                      <w:rFonts w:hint="eastAsia" w:ascii="Times New Roman" w:hAnsi="Times New Roman" w:eastAsia="宋体" w:cs="Times New Roman"/>
                      <w:color w:val="auto"/>
                      <w:szCs w:val="21"/>
                      <w:highlight w:val="none"/>
                      <w:lang w:val="en-US" w:eastAsia="zh-CN"/>
                    </w:rPr>
                    <w:t>40</w:t>
                  </w:r>
                </w:p>
              </w:tc>
              <w:tc>
                <w:tcPr>
                  <w:tcW w:w="1004" w:type="pct"/>
                  <w:tcBorders>
                    <w:tl2br w:val="nil"/>
                    <w:tr2bl w:val="nil"/>
                  </w:tcBorders>
                  <w:noWrap w:val="0"/>
                  <w:vAlign w:val="center"/>
                </w:tcPr>
                <w:p w14:paraId="6C5CBD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rPr>
                    <w:t>GB50164</w:t>
                  </w:r>
                  <w:r>
                    <w:rPr>
                      <w:rFonts w:hint="default" w:ascii="Times New Roman" w:hAnsi="Times New Roman" w:eastAsia="宋体" w:cs="Times New Roman"/>
                      <w:color w:val="auto"/>
                      <w:highlight w:val="none"/>
                      <w:lang w:val="en-US" w:eastAsia="zh-CN"/>
                    </w:rPr>
                    <w:t>-201</w:t>
                  </w:r>
                  <w:r>
                    <w:rPr>
                      <w:rFonts w:hint="eastAsia" w:ascii="Times New Roman" w:hAnsi="Times New Roman" w:eastAsia="宋体" w:cs="Times New Roman"/>
                      <w:color w:val="auto"/>
                      <w:highlight w:val="none"/>
                      <w:lang w:val="en-US" w:eastAsia="zh-CN"/>
                    </w:rPr>
                    <w:t>8</w:t>
                  </w:r>
                </w:p>
              </w:tc>
              <w:tc>
                <w:tcPr>
                  <w:tcW w:w="904" w:type="pct"/>
                  <w:tcBorders>
                    <w:tl2br w:val="nil"/>
                    <w:tr2bl w:val="nil"/>
                  </w:tcBorders>
                  <w:noWrap w:val="0"/>
                  <w:vAlign w:val="center"/>
                </w:tcPr>
                <w:p w14:paraId="693871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3号综合站场</w:t>
                  </w:r>
                </w:p>
              </w:tc>
            </w:tr>
          </w:tbl>
          <w:p w14:paraId="32ECE87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2.4主要生产设备</w:t>
            </w:r>
          </w:p>
          <w:p w14:paraId="080640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本项目每座商混站主要生产设备见表2-3。</w:t>
            </w:r>
          </w:p>
          <w:p w14:paraId="2675FF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bCs w:val="0"/>
                <w:color w:val="auto"/>
                <w:spacing w:val="0"/>
                <w:sz w:val="21"/>
                <w:szCs w:val="21"/>
                <w:lang w:val="en-US" w:eastAsia="zh-CN"/>
              </w:rPr>
            </w:pPr>
            <w:r>
              <w:rPr>
                <w:rFonts w:hint="eastAsia" w:ascii="Times New Roman" w:hAnsi="Times New Roman" w:cs="Times New Roman"/>
                <w:b/>
                <w:bCs w:val="0"/>
                <w:color w:val="auto"/>
                <w:spacing w:val="0"/>
                <w:sz w:val="21"/>
                <w:szCs w:val="21"/>
                <w:lang w:val="en-US" w:eastAsia="zh-CN"/>
              </w:rPr>
              <w:t>表2-3  项目主要设备一览表</w:t>
            </w:r>
          </w:p>
          <w:tbl>
            <w:tblPr>
              <w:tblStyle w:val="2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48"/>
              <w:gridCol w:w="827"/>
              <w:gridCol w:w="2965"/>
              <w:gridCol w:w="1675"/>
              <w:gridCol w:w="1009"/>
              <w:gridCol w:w="1021"/>
            </w:tblGrid>
            <w:tr w14:paraId="529F2C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BB9FD3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386" w:type="pct"/>
                  <w:gridSpan w:val="2"/>
                  <w:tcBorders>
                    <w:tl2br w:val="nil"/>
                    <w:tr2bl w:val="nil"/>
                  </w:tcBorders>
                  <w:noWrap w:val="0"/>
                  <w:vAlign w:val="center"/>
                </w:tcPr>
                <w:p w14:paraId="063F059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1054" w:type="pct"/>
                  <w:tcBorders>
                    <w:tl2br w:val="nil"/>
                    <w:tr2bl w:val="nil"/>
                  </w:tcBorders>
                  <w:noWrap w:val="0"/>
                  <w:vAlign w:val="center"/>
                </w:tcPr>
                <w:p w14:paraId="0A11618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规格</w:t>
                  </w:r>
                </w:p>
              </w:tc>
              <w:tc>
                <w:tcPr>
                  <w:tcW w:w="634" w:type="pct"/>
                  <w:tcBorders>
                    <w:tl2br w:val="nil"/>
                    <w:tr2bl w:val="nil"/>
                  </w:tcBorders>
                  <w:noWrap w:val="0"/>
                  <w:vAlign w:val="center"/>
                </w:tcPr>
                <w:p w14:paraId="43DBF5F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642" w:type="pct"/>
                  <w:tcBorders>
                    <w:tl2br w:val="nil"/>
                    <w:tr2bl w:val="nil"/>
                  </w:tcBorders>
                  <w:noWrap w:val="0"/>
                  <w:vAlign w:val="center"/>
                </w:tcPr>
                <w:p w14:paraId="61916DB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套/台</w:t>
                  </w:r>
                </w:p>
              </w:tc>
            </w:tr>
            <w:tr w14:paraId="5EC266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810A1C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520" w:type="pct"/>
                  <w:vMerge w:val="restart"/>
                  <w:tcBorders>
                    <w:tl2br w:val="nil"/>
                    <w:tr2bl w:val="nil"/>
                  </w:tcBorders>
                  <w:noWrap w:val="0"/>
                  <w:vAlign w:val="center"/>
                </w:tcPr>
                <w:p w14:paraId="376227A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配料站</w:t>
                  </w:r>
                </w:p>
              </w:tc>
              <w:tc>
                <w:tcPr>
                  <w:tcW w:w="1865" w:type="pct"/>
                  <w:tcBorders>
                    <w:tl2br w:val="nil"/>
                    <w:tr2bl w:val="nil"/>
                  </w:tcBorders>
                  <w:noWrap w:val="0"/>
                  <w:vAlign w:val="center"/>
                </w:tcPr>
                <w:p w14:paraId="35B88E4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储料仓</w:t>
                  </w:r>
                </w:p>
              </w:tc>
              <w:tc>
                <w:tcPr>
                  <w:tcW w:w="1054" w:type="pct"/>
                  <w:tcBorders>
                    <w:tl2br w:val="nil"/>
                    <w:tr2bl w:val="nil"/>
                  </w:tcBorders>
                  <w:noWrap w:val="0"/>
                  <w:vAlign w:val="center"/>
                </w:tcPr>
                <w:p w14:paraId="49CE5D99">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21C49D1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个</w:t>
                  </w:r>
                </w:p>
              </w:tc>
              <w:tc>
                <w:tcPr>
                  <w:tcW w:w="642" w:type="pct"/>
                  <w:vMerge w:val="restart"/>
                  <w:tcBorders>
                    <w:tl2br w:val="nil"/>
                    <w:tr2bl w:val="nil"/>
                  </w:tcBorders>
                  <w:noWrap w:val="0"/>
                  <w:vAlign w:val="center"/>
                </w:tcPr>
                <w:p w14:paraId="7063700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r>
            <w:tr w14:paraId="680011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603B47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520" w:type="pct"/>
                  <w:vMerge w:val="continue"/>
                  <w:tcBorders>
                    <w:tl2br w:val="nil"/>
                    <w:tr2bl w:val="nil"/>
                  </w:tcBorders>
                  <w:noWrap w:val="0"/>
                  <w:vAlign w:val="center"/>
                </w:tcPr>
                <w:p w14:paraId="74E51E2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4C815D3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计量斗</w:t>
                  </w:r>
                </w:p>
              </w:tc>
              <w:tc>
                <w:tcPr>
                  <w:tcW w:w="1054" w:type="pct"/>
                  <w:tcBorders>
                    <w:tl2br w:val="nil"/>
                    <w:tr2bl w:val="nil"/>
                  </w:tcBorders>
                  <w:noWrap w:val="0"/>
                  <w:vAlign w:val="center"/>
                </w:tcPr>
                <w:p w14:paraId="521F133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 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5854DAF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个</w:t>
                  </w:r>
                </w:p>
              </w:tc>
              <w:tc>
                <w:tcPr>
                  <w:tcW w:w="642" w:type="pct"/>
                  <w:vMerge w:val="continue"/>
                  <w:tcBorders>
                    <w:tl2br w:val="nil"/>
                    <w:tr2bl w:val="nil"/>
                  </w:tcBorders>
                  <w:noWrap w:val="0"/>
                  <w:vAlign w:val="center"/>
                </w:tcPr>
                <w:p w14:paraId="2D2E80CB">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03FBC5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53775C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520" w:type="pct"/>
                  <w:vMerge w:val="continue"/>
                  <w:tcBorders>
                    <w:tl2br w:val="nil"/>
                    <w:tr2bl w:val="nil"/>
                  </w:tcBorders>
                  <w:noWrap w:val="0"/>
                  <w:vAlign w:val="center"/>
                </w:tcPr>
                <w:p w14:paraId="1619FDA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34AD82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称重传感器</w:t>
                  </w:r>
                </w:p>
              </w:tc>
              <w:tc>
                <w:tcPr>
                  <w:tcW w:w="1054" w:type="pct"/>
                  <w:tcBorders>
                    <w:tl2br w:val="nil"/>
                    <w:tr2bl w:val="nil"/>
                  </w:tcBorders>
                  <w:noWrap w:val="0"/>
                  <w:vAlign w:val="center"/>
                </w:tcPr>
                <w:p w14:paraId="0D34FA8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3600kg</w:t>
                  </w:r>
                </w:p>
              </w:tc>
              <w:tc>
                <w:tcPr>
                  <w:tcW w:w="634" w:type="pct"/>
                  <w:tcBorders>
                    <w:tl2br w:val="nil"/>
                    <w:tr2bl w:val="nil"/>
                  </w:tcBorders>
                  <w:noWrap w:val="0"/>
                  <w:vAlign w:val="center"/>
                </w:tcPr>
                <w:p w14:paraId="10EADA6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12套</w:t>
                  </w:r>
                </w:p>
              </w:tc>
              <w:tc>
                <w:tcPr>
                  <w:tcW w:w="642" w:type="pct"/>
                  <w:vMerge w:val="continue"/>
                  <w:tcBorders>
                    <w:tl2br w:val="nil"/>
                    <w:tr2bl w:val="nil"/>
                  </w:tcBorders>
                  <w:noWrap w:val="0"/>
                  <w:vAlign w:val="center"/>
                </w:tcPr>
                <w:p w14:paraId="512D5E2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1101CD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42D548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520" w:type="pct"/>
                  <w:vMerge w:val="continue"/>
                  <w:tcBorders>
                    <w:tl2br w:val="nil"/>
                    <w:tr2bl w:val="nil"/>
                  </w:tcBorders>
                  <w:noWrap w:val="0"/>
                  <w:vAlign w:val="center"/>
                </w:tcPr>
                <w:p w14:paraId="1050E95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D33CF2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气缸</w:t>
                  </w:r>
                </w:p>
              </w:tc>
              <w:tc>
                <w:tcPr>
                  <w:tcW w:w="1054" w:type="pct"/>
                  <w:tcBorders>
                    <w:tl2br w:val="nil"/>
                    <w:tr2bl w:val="nil"/>
                  </w:tcBorders>
                  <w:noWrap w:val="0"/>
                  <w:vAlign w:val="center"/>
                </w:tcPr>
                <w:p w14:paraId="40AA232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7BCB5FE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12个</w:t>
                  </w:r>
                </w:p>
              </w:tc>
              <w:tc>
                <w:tcPr>
                  <w:tcW w:w="642" w:type="pct"/>
                  <w:vMerge w:val="continue"/>
                  <w:tcBorders>
                    <w:tl2br w:val="nil"/>
                    <w:tr2bl w:val="nil"/>
                  </w:tcBorders>
                  <w:noWrap w:val="0"/>
                  <w:vAlign w:val="center"/>
                </w:tcPr>
                <w:p w14:paraId="0EA2491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685BD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90C04A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520" w:type="pct"/>
                  <w:vMerge w:val="continue"/>
                  <w:tcBorders>
                    <w:tl2br w:val="nil"/>
                    <w:tr2bl w:val="nil"/>
                  </w:tcBorders>
                  <w:noWrap w:val="0"/>
                  <w:vAlign w:val="center"/>
                </w:tcPr>
                <w:p w14:paraId="0172E94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34C551A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振动器</w:t>
                  </w:r>
                </w:p>
              </w:tc>
              <w:tc>
                <w:tcPr>
                  <w:tcW w:w="1054" w:type="pct"/>
                  <w:tcBorders>
                    <w:tl2br w:val="nil"/>
                    <w:tr2bl w:val="nil"/>
                  </w:tcBorders>
                  <w:noWrap w:val="0"/>
                  <w:vAlign w:val="center"/>
                </w:tcPr>
                <w:p w14:paraId="3F0400A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2B1AAE3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4个</w:t>
                  </w:r>
                </w:p>
              </w:tc>
              <w:tc>
                <w:tcPr>
                  <w:tcW w:w="642" w:type="pct"/>
                  <w:vMerge w:val="continue"/>
                  <w:tcBorders>
                    <w:tl2br w:val="nil"/>
                    <w:tr2bl w:val="nil"/>
                  </w:tcBorders>
                  <w:noWrap w:val="0"/>
                  <w:vAlign w:val="center"/>
                </w:tcPr>
                <w:p w14:paraId="7CC3956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43740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76A80C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520" w:type="pct"/>
                  <w:vMerge w:val="continue"/>
                  <w:tcBorders>
                    <w:tl2br w:val="nil"/>
                    <w:tr2bl w:val="nil"/>
                  </w:tcBorders>
                  <w:noWrap w:val="0"/>
                  <w:vAlign w:val="center"/>
                </w:tcPr>
                <w:p w14:paraId="05DFCA5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A4E653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平皮带</w:t>
                  </w:r>
                </w:p>
              </w:tc>
              <w:tc>
                <w:tcPr>
                  <w:tcW w:w="1054" w:type="pct"/>
                  <w:tcBorders>
                    <w:tl2br w:val="nil"/>
                    <w:tr2bl w:val="nil"/>
                  </w:tcBorders>
                  <w:noWrap w:val="0"/>
                  <w:vAlign w:val="center"/>
                </w:tcPr>
                <w:p w14:paraId="139F30F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1000mm</w:t>
                  </w:r>
                </w:p>
              </w:tc>
              <w:tc>
                <w:tcPr>
                  <w:tcW w:w="634" w:type="pct"/>
                  <w:tcBorders>
                    <w:tl2br w:val="nil"/>
                    <w:tr2bl w:val="nil"/>
                  </w:tcBorders>
                  <w:noWrap w:val="0"/>
                  <w:vAlign w:val="center"/>
                </w:tcPr>
                <w:p w14:paraId="1CDE09D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1条</w:t>
                  </w:r>
                </w:p>
              </w:tc>
              <w:tc>
                <w:tcPr>
                  <w:tcW w:w="642" w:type="pct"/>
                  <w:vMerge w:val="continue"/>
                  <w:tcBorders>
                    <w:tl2br w:val="nil"/>
                    <w:tr2bl w:val="nil"/>
                  </w:tcBorders>
                  <w:noWrap w:val="0"/>
                  <w:vAlign w:val="center"/>
                </w:tcPr>
                <w:p w14:paraId="5155E98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008CBA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D986CD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7</w:t>
                  </w:r>
                </w:p>
              </w:tc>
              <w:tc>
                <w:tcPr>
                  <w:tcW w:w="520" w:type="pct"/>
                  <w:vMerge w:val="restart"/>
                  <w:tcBorders>
                    <w:tl2br w:val="nil"/>
                    <w:tr2bl w:val="nil"/>
                  </w:tcBorders>
                  <w:noWrap w:val="0"/>
                  <w:vAlign w:val="center"/>
                </w:tcPr>
                <w:p w14:paraId="3CD2C05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皮带机</w:t>
                  </w:r>
                </w:p>
              </w:tc>
              <w:tc>
                <w:tcPr>
                  <w:tcW w:w="1865" w:type="pct"/>
                  <w:tcBorders>
                    <w:tl2br w:val="nil"/>
                    <w:tr2bl w:val="nil"/>
                  </w:tcBorders>
                  <w:noWrap w:val="0"/>
                  <w:vAlign w:val="center"/>
                </w:tcPr>
                <w:p w14:paraId="762364A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机架</w:t>
                  </w:r>
                </w:p>
              </w:tc>
              <w:tc>
                <w:tcPr>
                  <w:tcW w:w="1054" w:type="pct"/>
                  <w:tcBorders>
                    <w:tl2br w:val="nil"/>
                    <w:tr2bl w:val="nil"/>
                  </w:tcBorders>
                  <w:noWrap w:val="0"/>
                  <w:vAlign w:val="center"/>
                </w:tcPr>
                <w:p w14:paraId="6317187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桁架</w:t>
                  </w:r>
                </w:p>
              </w:tc>
              <w:tc>
                <w:tcPr>
                  <w:tcW w:w="634" w:type="pct"/>
                  <w:tcBorders>
                    <w:tl2br w:val="nil"/>
                    <w:tr2bl w:val="nil"/>
                  </w:tcBorders>
                  <w:noWrap w:val="0"/>
                  <w:vAlign w:val="center"/>
                </w:tcPr>
                <w:p w14:paraId="551F994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restart"/>
                  <w:tcBorders>
                    <w:tl2br w:val="nil"/>
                    <w:tr2bl w:val="nil"/>
                  </w:tcBorders>
                  <w:noWrap w:val="0"/>
                  <w:vAlign w:val="center"/>
                </w:tcPr>
                <w:p w14:paraId="40A8556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p>
              </w:tc>
            </w:tr>
            <w:tr w14:paraId="06F55D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59FA26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520" w:type="pct"/>
                  <w:vMerge w:val="continue"/>
                  <w:tcBorders>
                    <w:tl2br w:val="nil"/>
                    <w:tr2bl w:val="nil"/>
                  </w:tcBorders>
                  <w:noWrap w:val="0"/>
                  <w:vAlign w:val="center"/>
                </w:tcPr>
                <w:p w14:paraId="32945F2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486B71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平皮带</w:t>
                  </w:r>
                </w:p>
              </w:tc>
              <w:tc>
                <w:tcPr>
                  <w:tcW w:w="1054" w:type="pct"/>
                  <w:tcBorders>
                    <w:tl2br w:val="nil"/>
                    <w:tr2bl w:val="nil"/>
                  </w:tcBorders>
                  <w:noWrap w:val="0"/>
                  <w:vAlign w:val="center"/>
                </w:tcPr>
                <w:p w14:paraId="116D77A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800mm</w:t>
                  </w:r>
                </w:p>
              </w:tc>
              <w:tc>
                <w:tcPr>
                  <w:tcW w:w="634" w:type="pct"/>
                  <w:tcBorders>
                    <w:tl2br w:val="nil"/>
                    <w:tr2bl w:val="nil"/>
                  </w:tcBorders>
                  <w:noWrap w:val="0"/>
                  <w:vAlign w:val="center"/>
                </w:tcPr>
                <w:p w14:paraId="119C1A7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00D68FC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D2345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AFEDFD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520" w:type="pct"/>
                  <w:vMerge w:val="continue"/>
                  <w:tcBorders>
                    <w:tl2br w:val="nil"/>
                    <w:tr2bl w:val="nil"/>
                  </w:tcBorders>
                  <w:noWrap w:val="0"/>
                  <w:vAlign w:val="center"/>
                </w:tcPr>
                <w:p w14:paraId="486C16F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7EDD3FE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托辊</w:t>
                  </w:r>
                </w:p>
              </w:tc>
              <w:tc>
                <w:tcPr>
                  <w:tcW w:w="1054" w:type="pct"/>
                  <w:tcBorders>
                    <w:tl2br w:val="nil"/>
                    <w:tr2bl w:val="nil"/>
                  </w:tcBorders>
                  <w:noWrap w:val="0"/>
                  <w:vAlign w:val="center"/>
                </w:tcPr>
                <w:p w14:paraId="6BC208A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4A1471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2F80F45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1B8E5F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36B884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386" w:type="pct"/>
                  <w:gridSpan w:val="2"/>
                  <w:tcBorders>
                    <w:tl2br w:val="nil"/>
                    <w:tr2bl w:val="nil"/>
                  </w:tcBorders>
                  <w:noWrap w:val="0"/>
                  <w:vAlign w:val="center"/>
                </w:tcPr>
                <w:p w14:paraId="776A6F8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搅拌机</w:t>
                  </w:r>
                </w:p>
              </w:tc>
              <w:tc>
                <w:tcPr>
                  <w:tcW w:w="1054" w:type="pct"/>
                  <w:tcBorders>
                    <w:tl2br w:val="nil"/>
                    <w:tr2bl w:val="nil"/>
                  </w:tcBorders>
                  <w:noWrap w:val="0"/>
                  <w:vAlign w:val="center"/>
                </w:tcPr>
                <w:p w14:paraId="25D8AB9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HZS120</w:t>
                  </w:r>
                </w:p>
              </w:tc>
              <w:tc>
                <w:tcPr>
                  <w:tcW w:w="634" w:type="pct"/>
                  <w:tcBorders>
                    <w:tl2br w:val="nil"/>
                    <w:tr2bl w:val="nil"/>
                  </w:tcBorders>
                  <w:noWrap w:val="0"/>
                  <w:vAlign w:val="center"/>
                </w:tcPr>
                <w:p w14:paraId="3A5C9D4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42" w:type="pct"/>
                  <w:tcBorders>
                    <w:tl2br w:val="nil"/>
                    <w:tr2bl w:val="nil"/>
                  </w:tcBorders>
                  <w:noWrap w:val="0"/>
                  <w:vAlign w:val="center"/>
                </w:tcPr>
                <w:p w14:paraId="3A05CC8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r>
            <w:tr w14:paraId="6BA054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7FF2FE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520" w:type="pct"/>
                  <w:vMerge w:val="restart"/>
                  <w:tcBorders>
                    <w:tl2br w:val="nil"/>
                    <w:tr2bl w:val="nil"/>
                  </w:tcBorders>
                  <w:noWrap w:val="0"/>
                  <w:vAlign w:val="center"/>
                </w:tcPr>
                <w:p w14:paraId="0D4A2AE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水泥计量</w:t>
                  </w:r>
                </w:p>
              </w:tc>
              <w:tc>
                <w:tcPr>
                  <w:tcW w:w="1865" w:type="pct"/>
                  <w:tcBorders>
                    <w:tl2br w:val="nil"/>
                    <w:tr2bl w:val="nil"/>
                  </w:tcBorders>
                  <w:noWrap w:val="0"/>
                  <w:vAlign w:val="center"/>
                </w:tcPr>
                <w:p w14:paraId="367A350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计量斗</w:t>
                  </w:r>
                </w:p>
              </w:tc>
              <w:tc>
                <w:tcPr>
                  <w:tcW w:w="1054" w:type="pct"/>
                  <w:tcBorders>
                    <w:tl2br w:val="nil"/>
                    <w:tr2bl w:val="nil"/>
                  </w:tcBorders>
                  <w:noWrap w:val="0"/>
                  <w:vAlign w:val="center"/>
                </w:tcPr>
                <w:p w14:paraId="19102F4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3494428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restart"/>
                  <w:tcBorders>
                    <w:tl2br w:val="nil"/>
                    <w:tr2bl w:val="nil"/>
                  </w:tcBorders>
                  <w:noWrap w:val="0"/>
                  <w:vAlign w:val="center"/>
                </w:tcPr>
                <w:p w14:paraId="65B5BE3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609C3B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F3D3E7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520" w:type="pct"/>
                  <w:vMerge w:val="continue"/>
                  <w:tcBorders>
                    <w:tl2br w:val="nil"/>
                    <w:tr2bl w:val="nil"/>
                  </w:tcBorders>
                  <w:noWrap w:val="0"/>
                  <w:vAlign w:val="center"/>
                </w:tcPr>
                <w:p w14:paraId="1ED4FDE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4030A4B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称重传感器</w:t>
                  </w:r>
                </w:p>
              </w:tc>
              <w:tc>
                <w:tcPr>
                  <w:tcW w:w="1054" w:type="pct"/>
                  <w:tcBorders>
                    <w:tl2br w:val="nil"/>
                    <w:tr2bl w:val="nil"/>
                  </w:tcBorders>
                  <w:noWrap w:val="0"/>
                  <w:vAlign w:val="center"/>
                </w:tcPr>
                <w:p w14:paraId="2B5AD20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1600kg</w:t>
                  </w:r>
                </w:p>
              </w:tc>
              <w:tc>
                <w:tcPr>
                  <w:tcW w:w="634" w:type="pct"/>
                  <w:tcBorders>
                    <w:tl2br w:val="nil"/>
                    <w:tr2bl w:val="nil"/>
                  </w:tcBorders>
                  <w:noWrap w:val="0"/>
                  <w:vAlign w:val="center"/>
                </w:tcPr>
                <w:p w14:paraId="3EA411C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3套</w:t>
                  </w:r>
                </w:p>
              </w:tc>
              <w:tc>
                <w:tcPr>
                  <w:tcW w:w="642" w:type="pct"/>
                  <w:vMerge w:val="continue"/>
                  <w:tcBorders>
                    <w:tl2br w:val="nil"/>
                    <w:tr2bl w:val="nil"/>
                  </w:tcBorders>
                  <w:noWrap w:val="0"/>
                  <w:vAlign w:val="center"/>
                </w:tcPr>
                <w:p w14:paraId="6A52B8C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705A5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7DCFBB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520" w:type="pct"/>
                  <w:vMerge w:val="restart"/>
                  <w:tcBorders>
                    <w:tl2br w:val="nil"/>
                    <w:tr2bl w:val="nil"/>
                  </w:tcBorders>
                  <w:noWrap w:val="0"/>
                  <w:vAlign w:val="center"/>
                </w:tcPr>
                <w:p w14:paraId="4DE3A4A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0"/>
                      <w:sz w:val="21"/>
                      <w:szCs w:val="21"/>
                      <w:highlight w:val="none"/>
                    </w:rPr>
                    <w:t>粉煤灰计量</w:t>
                  </w:r>
                </w:p>
              </w:tc>
              <w:tc>
                <w:tcPr>
                  <w:tcW w:w="1865" w:type="pct"/>
                  <w:tcBorders>
                    <w:tl2br w:val="nil"/>
                    <w:tr2bl w:val="nil"/>
                  </w:tcBorders>
                  <w:noWrap w:val="0"/>
                  <w:vAlign w:val="center"/>
                </w:tcPr>
                <w:p w14:paraId="33FA3F9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计量斗</w:t>
                  </w:r>
                </w:p>
              </w:tc>
              <w:tc>
                <w:tcPr>
                  <w:tcW w:w="1054" w:type="pct"/>
                  <w:tcBorders>
                    <w:tl2br w:val="nil"/>
                    <w:tr2bl w:val="nil"/>
                  </w:tcBorders>
                  <w:noWrap w:val="0"/>
                  <w:vAlign w:val="center"/>
                </w:tcPr>
                <w:p w14:paraId="3790CA6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011D742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restart"/>
                  <w:tcBorders>
                    <w:tl2br w:val="nil"/>
                    <w:tr2bl w:val="nil"/>
                  </w:tcBorders>
                  <w:noWrap w:val="0"/>
                  <w:vAlign w:val="center"/>
                </w:tcPr>
                <w:p w14:paraId="4B8A69B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69BCE1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8C5168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520" w:type="pct"/>
                  <w:vMerge w:val="continue"/>
                  <w:tcBorders>
                    <w:tl2br w:val="nil"/>
                    <w:tr2bl w:val="nil"/>
                  </w:tcBorders>
                  <w:noWrap w:val="0"/>
                  <w:vAlign w:val="center"/>
                </w:tcPr>
                <w:p w14:paraId="3A49A91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0CEE36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称重传感器</w:t>
                  </w:r>
                </w:p>
              </w:tc>
              <w:tc>
                <w:tcPr>
                  <w:tcW w:w="1054" w:type="pct"/>
                  <w:tcBorders>
                    <w:tl2br w:val="nil"/>
                    <w:tr2bl w:val="nil"/>
                  </w:tcBorders>
                  <w:noWrap w:val="0"/>
                  <w:vAlign w:val="center"/>
                </w:tcPr>
                <w:p w14:paraId="5CBEA1D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500kg</w:t>
                  </w:r>
                </w:p>
              </w:tc>
              <w:tc>
                <w:tcPr>
                  <w:tcW w:w="634" w:type="pct"/>
                  <w:tcBorders>
                    <w:tl2br w:val="nil"/>
                    <w:tr2bl w:val="nil"/>
                  </w:tcBorders>
                  <w:noWrap w:val="0"/>
                  <w:vAlign w:val="center"/>
                </w:tcPr>
                <w:p w14:paraId="598D000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3套</w:t>
                  </w:r>
                </w:p>
              </w:tc>
              <w:tc>
                <w:tcPr>
                  <w:tcW w:w="642" w:type="pct"/>
                  <w:vMerge w:val="continue"/>
                  <w:tcBorders>
                    <w:tl2br w:val="nil"/>
                    <w:tr2bl w:val="nil"/>
                  </w:tcBorders>
                  <w:noWrap w:val="0"/>
                  <w:vAlign w:val="center"/>
                </w:tcPr>
                <w:p w14:paraId="70AF08A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C2BCD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2CB0D8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520" w:type="pct"/>
                  <w:vMerge w:val="restart"/>
                  <w:tcBorders>
                    <w:tl2br w:val="nil"/>
                    <w:tr2bl w:val="nil"/>
                  </w:tcBorders>
                  <w:noWrap w:val="0"/>
                  <w:vAlign w:val="center"/>
                </w:tcPr>
                <w:p w14:paraId="06B0802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水计量及供水系统</w:t>
                  </w:r>
                </w:p>
              </w:tc>
              <w:tc>
                <w:tcPr>
                  <w:tcW w:w="1865" w:type="pct"/>
                  <w:tcBorders>
                    <w:tl2br w:val="nil"/>
                    <w:tr2bl w:val="nil"/>
                  </w:tcBorders>
                  <w:noWrap w:val="0"/>
                  <w:vAlign w:val="center"/>
                </w:tcPr>
                <w:p w14:paraId="6ED4C45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计量斗</w:t>
                  </w:r>
                </w:p>
              </w:tc>
              <w:tc>
                <w:tcPr>
                  <w:tcW w:w="1054" w:type="pct"/>
                  <w:tcBorders>
                    <w:tl2br w:val="nil"/>
                    <w:tr2bl w:val="nil"/>
                  </w:tcBorders>
                  <w:noWrap w:val="0"/>
                  <w:vAlign w:val="center"/>
                </w:tcPr>
                <w:p w14:paraId="1855F50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0.7m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33BEA11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restart"/>
                  <w:tcBorders>
                    <w:tl2br w:val="nil"/>
                    <w:tr2bl w:val="nil"/>
                  </w:tcBorders>
                  <w:noWrap w:val="0"/>
                  <w:vAlign w:val="center"/>
                </w:tcPr>
                <w:p w14:paraId="69B41D2A">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51D2E3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B86E97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c>
                <w:tcPr>
                  <w:tcW w:w="520" w:type="pct"/>
                  <w:vMerge w:val="continue"/>
                  <w:tcBorders>
                    <w:tl2br w:val="nil"/>
                    <w:tr2bl w:val="nil"/>
                  </w:tcBorders>
                  <w:noWrap w:val="0"/>
                  <w:vAlign w:val="center"/>
                </w:tcPr>
                <w:p w14:paraId="593C39F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0B1DE2A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供水管路</w:t>
                  </w:r>
                </w:p>
              </w:tc>
              <w:tc>
                <w:tcPr>
                  <w:tcW w:w="1054" w:type="pct"/>
                  <w:tcBorders>
                    <w:tl2br w:val="nil"/>
                    <w:tr2bl w:val="nil"/>
                  </w:tcBorders>
                  <w:noWrap w:val="0"/>
                  <w:vAlign w:val="center"/>
                </w:tcPr>
                <w:p w14:paraId="75545F5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179A56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93D8F6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9AD67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54D931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520" w:type="pct"/>
                  <w:vMerge w:val="continue"/>
                  <w:tcBorders>
                    <w:tl2br w:val="nil"/>
                    <w:tr2bl w:val="nil"/>
                  </w:tcBorders>
                  <w:noWrap w:val="0"/>
                  <w:vAlign w:val="center"/>
                </w:tcPr>
                <w:p w14:paraId="0BD4239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E3CDDF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称重传感器</w:t>
                  </w:r>
                </w:p>
              </w:tc>
              <w:tc>
                <w:tcPr>
                  <w:tcW w:w="1054" w:type="pct"/>
                  <w:tcBorders>
                    <w:tl2br w:val="nil"/>
                    <w:tr2bl w:val="nil"/>
                  </w:tcBorders>
                  <w:noWrap w:val="0"/>
                  <w:vAlign w:val="center"/>
                </w:tcPr>
                <w:p w14:paraId="667F673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800kg</w:t>
                  </w:r>
                </w:p>
              </w:tc>
              <w:tc>
                <w:tcPr>
                  <w:tcW w:w="634" w:type="pct"/>
                  <w:tcBorders>
                    <w:tl2br w:val="nil"/>
                    <w:tr2bl w:val="nil"/>
                  </w:tcBorders>
                  <w:noWrap w:val="0"/>
                  <w:vAlign w:val="center"/>
                </w:tcPr>
                <w:p w14:paraId="56E68BD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3套</w:t>
                  </w:r>
                </w:p>
              </w:tc>
              <w:tc>
                <w:tcPr>
                  <w:tcW w:w="642" w:type="pct"/>
                  <w:vMerge w:val="continue"/>
                  <w:tcBorders>
                    <w:tl2br w:val="nil"/>
                    <w:tr2bl w:val="nil"/>
                  </w:tcBorders>
                  <w:noWrap w:val="0"/>
                  <w:vAlign w:val="center"/>
                </w:tcPr>
                <w:p w14:paraId="6FBB63B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69901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A97728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c>
                <w:tcPr>
                  <w:tcW w:w="520" w:type="pct"/>
                  <w:vMerge w:val="continue"/>
                  <w:tcBorders>
                    <w:tl2br w:val="nil"/>
                    <w:tr2bl w:val="nil"/>
                  </w:tcBorders>
                  <w:noWrap w:val="0"/>
                  <w:vAlign w:val="center"/>
                </w:tcPr>
                <w:p w14:paraId="796E040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DB58AF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气动蝶阀</w:t>
                  </w:r>
                </w:p>
              </w:tc>
              <w:tc>
                <w:tcPr>
                  <w:tcW w:w="1054" w:type="pct"/>
                  <w:tcBorders>
                    <w:tl2br w:val="nil"/>
                    <w:tr2bl w:val="nil"/>
                  </w:tcBorders>
                  <w:noWrap w:val="0"/>
                  <w:vAlign w:val="center"/>
                </w:tcPr>
                <w:p w14:paraId="219A23E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8DC8DA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continue"/>
                  <w:tcBorders>
                    <w:tl2br w:val="nil"/>
                    <w:tr2bl w:val="nil"/>
                  </w:tcBorders>
                  <w:noWrap w:val="0"/>
                  <w:vAlign w:val="center"/>
                </w:tcPr>
                <w:p w14:paraId="02B51E7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EE9EB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42FBA8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520" w:type="pct"/>
                  <w:vMerge w:val="continue"/>
                  <w:tcBorders>
                    <w:tl2br w:val="nil"/>
                    <w:tr2bl w:val="nil"/>
                  </w:tcBorders>
                  <w:noWrap w:val="0"/>
                  <w:vAlign w:val="center"/>
                </w:tcPr>
                <w:p w14:paraId="57B47FD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3F33A3F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水泵</w:t>
                  </w:r>
                </w:p>
              </w:tc>
              <w:tc>
                <w:tcPr>
                  <w:tcW w:w="1054" w:type="pct"/>
                  <w:tcBorders>
                    <w:tl2br w:val="nil"/>
                    <w:tr2bl w:val="nil"/>
                  </w:tcBorders>
                  <w:noWrap w:val="0"/>
                  <w:vAlign w:val="center"/>
                </w:tcPr>
                <w:p w14:paraId="24C8DE8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40F8250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2个</w:t>
                  </w:r>
                </w:p>
              </w:tc>
              <w:tc>
                <w:tcPr>
                  <w:tcW w:w="642" w:type="pct"/>
                  <w:vMerge w:val="continue"/>
                  <w:tcBorders>
                    <w:tl2br w:val="nil"/>
                    <w:tr2bl w:val="nil"/>
                  </w:tcBorders>
                  <w:noWrap w:val="0"/>
                  <w:vAlign w:val="center"/>
                </w:tcPr>
                <w:p w14:paraId="0B71B47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1540FC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8DEE67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520" w:type="pct"/>
                  <w:vMerge w:val="continue"/>
                  <w:tcBorders>
                    <w:tl2br w:val="nil"/>
                    <w:tr2bl w:val="nil"/>
                  </w:tcBorders>
                  <w:noWrap w:val="0"/>
                  <w:vAlign w:val="center"/>
                </w:tcPr>
                <w:p w14:paraId="1996085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A76BB1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管路阀门</w:t>
                  </w:r>
                </w:p>
              </w:tc>
              <w:tc>
                <w:tcPr>
                  <w:tcW w:w="1054" w:type="pct"/>
                  <w:tcBorders>
                    <w:tl2br w:val="nil"/>
                    <w:tr2bl w:val="nil"/>
                  </w:tcBorders>
                  <w:noWrap w:val="0"/>
                  <w:vAlign w:val="center"/>
                </w:tcPr>
                <w:p w14:paraId="297DE47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4372D51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27A9F54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C99A6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9D8C40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w:t>
                  </w:r>
                </w:p>
              </w:tc>
              <w:tc>
                <w:tcPr>
                  <w:tcW w:w="520" w:type="pct"/>
                  <w:vMerge w:val="restart"/>
                  <w:tcBorders>
                    <w:tl2br w:val="nil"/>
                    <w:tr2bl w:val="nil"/>
                  </w:tcBorders>
                  <w:noWrap w:val="0"/>
                  <w:vAlign w:val="center"/>
                </w:tcPr>
                <w:p w14:paraId="33A72B4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外加剂计量系统</w:t>
                  </w:r>
                </w:p>
              </w:tc>
              <w:tc>
                <w:tcPr>
                  <w:tcW w:w="1865" w:type="pct"/>
                  <w:tcBorders>
                    <w:tl2br w:val="nil"/>
                    <w:tr2bl w:val="nil"/>
                  </w:tcBorders>
                  <w:noWrap w:val="0"/>
                  <w:vAlign w:val="center"/>
                </w:tcPr>
                <w:p w14:paraId="706B214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计量斗</w:t>
                  </w:r>
                </w:p>
              </w:tc>
              <w:tc>
                <w:tcPr>
                  <w:tcW w:w="1054" w:type="pct"/>
                  <w:tcBorders>
                    <w:tl2br w:val="nil"/>
                    <w:tr2bl w:val="nil"/>
                  </w:tcBorders>
                  <w:noWrap w:val="0"/>
                  <w:vAlign w:val="center"/>
                </w:tcPr>
                <w:p w14:paraId="2263505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0.08m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6BFFAAF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restart"/>
                  <w:tcBorders>
                    <w:tl2br w:val="nil"/>
                    <w:tr2bl w:val="nil"/>
                  </w:tcBorders>
                  <w:noWrap w:val="0"/>
                  <w:vAlign w:val="center"/>
                </w:tcPr>
                <w:p w14:paraId="5CC8CB7F">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1402EB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5A3F4AEE">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w:t>
                  </w:r>
                </w:p>
              </w:tc>
              <w:tc>
                <w:tcPr>
                  <w:tcW w:w="520" w:type="pct"/>
                  <w:vMerge w:val="continue"/>
                  <w:tcBorders>
                    <w:tl2br w:val="nil"/>
                    <w:tr2bl w:val="nil"/>
                  </w:tcBorders>
                  <w:noWrap w:val="0"/>
                  <w:vAlign w:val="center"/>
                </w:tcPr>
                <w:p w14:paraId="06C08278">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4CCFA83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供液管路</w:t>
                  </w:r>
                </w:p>
              </w:tc>
              <w:tc>
                <w:tcPr>
                  <w:tcW w:w="1054" w:type="pct"/>
                  <w:tcBorders>
                    <w:tl2br w:val="nil"/>
                    <w:tr2bl w:val="nil"/>
                  </w:tcBorders>
                  <w:noWrap w:val="0"/>
                  <w:vAlign w:val="center"/>
                </w:tcPr>
                <w:p w14:paraId="382C55B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842742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套</w:t>
                  </w:r>
                </w:p>
              </w:tc>
              <w:tc>
                <w:tcPr>
                  <w:tcW w:w="642" w:type="pct"/>
                  <w:vMerge w:val="continue"/>
                  <w:tcBorders>
                    <w:tl2br w:val="nil"/>
                    <w:tr2bl w:val="nil"/>
                  </w:tcBorders>
                  <w:noWrap w:val="0"/>
                  <w:vAlign w:val="center"/>
                </w:tcPr>
                <w:p w14:paraId="3251D063">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7D16E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E5C7F5C">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w:t>
                  </w:r>
                </w:p>
              </w:tc>
              <w:tc>
                <w:tcPr>
                  <w:tcW w:w="520" w:type="pct"/>
                  <w:vMerge w:val="continue"/>
                  <w:tcBorders>
                    <w:tl2br w:val="nil"/>
                    <w:tr2bl w:val="nil"/>
                  </w:tcBorders>
                  <w:noWrap w:val="0"/>
                  <w:vAlign w:val="center"/>
                </w:tcPr>
                <w:p w14:paraId="0D4A72CA">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FF66AC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储液箱</w:t>
                  </w:r>
                </w:p>
              </w:tc>
              <w:tc>
                <w:tcPr>
                  <w:tcW w:w="1054" w:type="pct"/>
                  <w:tcBorders>
                    <w:tl2br w:val="nil"/>
                    <w:tr2bl w:val="nil"/>
                  </w:tcBorders>
                  <w:noWrap w:val="0"/>
                  <w:vAlign w:val="center"/>
                </w:tcPr>
                <w:p w14:paraId="1DA84D2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4BDEFA54">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2</w:t>
                  </w:r>
                  <w:r>
                    <w:rPr>
                      <w:rFonts w:hint="eastAsia" w:ascii="Times New Roman" w:hAnsi="Times New Roman" w:eastAsia="宋体" w:cs="Times New Roman"/>
                      <w:color w:val="auto"/>
                      <w:sz w:val="21"/>
                      <w:szCs w:val="21"/>
                      <w:highlight w:val="none"/>
                      <w:lang w:val="en-US" w:eastAsia="zh-CN"/>
                    </w:rPr>
                    <w:t>座</w:t>
                  </w:r>
                </w:p>
              </w:tc>
              <w:tc>
                <w:tcPr>
                  <w:tcW w:w="642" w:type="pct"/>
                  <w:vMerge w:val="continue"/>
                  <w:tcBorders>
                    <w:tl2br w:val="nil"/>
                    <w:tr2bl w:val="nil"/>
                  </w:tcBorders>
                  <w:noWrap w:val="0"/>
                  <w:vAlign w:val="center"/>
                </w:tcPr>
                <w:p w14:paraId="4E0F60C1">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D656A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8EAAAC2">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24</w:t>
                  </w:r>
                </w:p>
              </w:tc>
              <w:tc>
                <w:tcPr>
                  <w:tcW w:w="520" w:type="pct"/>
                  <w:vMerge w:val="continue"/>
                  <w:tcBorders>
                    <w:tl2br w:val="nil"/>
                    <w:tr2bl w:val="nil"/>
                  </w:tcBorders>
                  <w:noWrap w:val="0"/>
                  <w:vAlign w:val="center"/>
                </w:tcPr>
                <w:p w14:paraId="2E3C8013">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5645D5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称重传感器</w:t>
                  </w:r>
                </w:p>
              </w:tc>
              <w:tc>
                <w:tcPr>
                  <w:tcW w:w="1054" w:type="pct"/>
                  <w:tcBorders>
                    <w:tl2br w:val="nil"/>
                    <w:tr2bl w:val="nil"/>
                  </w:tcBorders>
                  <w:noWrap w:val="0"/>
                  <w:vAlign w:val="center"/>
                </w:tcPr>
                <w:p w14:paraId="34DA86F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80kg</w:t>
                  </w:r>
                </w:p>
              </w:tc>
              <w:tc>
                <w:tcPr>
                  <w:tcW w:w="634" w:type="pct"/>
                  <w:tcBorders>
                    <w:tl2br w:val="nil"/>
                    <w:tr2bl w:val="nil"/>
                  </w:tcBorders>
                  <w:noWrap w:val="0"/>
                  <w:vAlign w:val="center"/>
                </w:tcPr>
                <w:p w14:paraId="2CC2021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40F3DD8">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1FC544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0C1C50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w:t>
                  </w:r>
                </w:p>
              </w:tc>
              <w:tc>
                <w:tcPr>
                  <w:tcW w:w="520" w:type="pct"/>
                  <w:vMerge w:val="continue"/>
                  <w:tcBorders>
                    <w:tl2br w:val="nil"/>
                    <w:tr2bl w:val="nil"/>
                  </w:tcBorders>
                  <w:noWrap w:val="0"/>
                  <w:vAlign w:val="center"/>
                </w:tcPr>
                <w:p w14:paraId="52E5708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4117E6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防腐蝶阀</w:t>
                  </w:r>
                </w:p>
              </w:tc>
              <w:tc>
                <w:tcPr>
                  <w:tcW w:w="1054" w:type="pct"/>
                  <w:tcBorders>
                    <w:tl2br w:val="nil"/>
                    <w:tr2bl w:val="nil"/>
                  </w:tcBorders>
                  <w:noWrap w:val="0"/>
                  <w:vAlign w:val="center"/>
                </w:tcPr>
                <w:p w14:paraId="09FCA83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D5F49B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continue"/>
                  <w:tcBorders>
                    <w:tl2br w:val="nil"/>
                    <w:tr2bl w:val="nil"/>
                  </w:tcBorders>
                  <w:noWrap w:val="0"/>
                  <w:vAlign w:val="center"/>
                </w:tcPr>
                <w:p w14:paraId="67E676B6">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16869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C5F137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26</w:t>
                  </w:r>
                </w:p>
              </w:tc>
              <w:tc>
                <w:tcPr>
                  <w:tcW w:w="520" w:type="pct"/>
                  <w:vMerge w:val="continue"/>
                  <w:tcBorders>
                    <w:tl2br w:val="nil"/>
                    <w:tr2bl w:val="nil"/>
                  </w:tcBorders>
                  <w:noWrap w:val="0"/>
                  <w:vAlign w:val="center"/>
                </w:tcPr>
                <w:p w14:paraId="5689B6A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A70CDA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管道泵</w:t>
                  </w:r>
                </w:p>
              </w:tc>
              <w:tc>
                <w:tcPr>
                  <w:tcW w:w="1054" w:type="pct"/>
                  <w:tcBorders>
                    <w:tl2br w:val="nil"/>
                    <w:tr2bl w:val="nil"/>
                  </w:tcBorders>
                  <w:noWrap w:val="0"/>
                  <w:vAlign w:val="center"/>
                </w:tcPr>
                <w:p w14:paraId="5BFD0F3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B97F6F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2个</w:t>
                  </w:r>
                </w:p>
              </w:tc>
              <w:tc>
                <w:tcPr>
                  <w:tcW w:w="642" w:type="pct"/>
                  <w:vMerge w:val="continue"/>
                  <w:tcBorders>
                    <w:tl2br w:val="nil"/>
                    <w:tr2bl w:val="nil"/>
                  </w:tcBorders>
                  <w:noWrap w:val="0"/>
                  <w:vAlign w:val="center"/>
                </w:tcPr>
                <w:p w14:paraId="72367529">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5DAA2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A05B72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w:t>
                  </w:r>
                </w:p>
              </w:tc>
              <w:tc>
                <w:tcPr>
                  <w:tcW w:w="520" w:type="pct"/>
                  <w:vMerge w:val="continue"/>
                  <w:tcBorders>
                    <w:tl2br w:val="nil"/>
                    <w:tr2bl w:val="nil"/>
                  </w:tcBorders>
                  <w:noWrap w:val="0"/>
                  <w:vAlign w:val="center"/>
                </w:tcPr>
                <w:p w14:paraId="15C9D72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1A5A509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管路阀门</w:t>
                  </w:r>
                </w:p>
              </w:tc>
              <w:tc>
                <w:tcPr>
                  <w:tcW w:w="1054" w:type="pct"/>
                  <w:tcBorders>
                    <w:tl2br w:val="nil"/>
                    <w:tr2bl w:val="nil"/>
                  </w:tcBorders>
                  <w:noWrap w:val="0"/>
                  <w:vAlign w:val="center"/>
                </w:tcPr>
                <w:p w14:paraId="7162564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1BA1BFD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2套</w:t>
                  </w:r>
                </w:p>
              </w:tc>
              <w:tc>
                <w:tcPr>
                  <w:tcW w:w="642" w:type="pct"/>
                  <w:vMerge w:val="continue"/>
                  <w:tcBorders>
                    <w:tl2br w:val="nil"/>
                    <w:tr2bl w:val="nil"/>
                  </w:tcBorders>
                  <w:noWrap w:val="0"/>
                  <w:vAlign w:val="center"/>
                </w:tcPr>
                <w:p w14:paraId="72E4E3EB">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41DB5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536E2FB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w:t>
                  </w:r>
                </w:p>
              </w:tc>
              <w:tc>
                <w:tcPr>
                  <w:tcW w:w="520" w:type="pct"/>
                  <w:vMerge w:val="restart"/>
                  <w:tcBorders>
                    <w:tl2br w:val="nil"/>
                    <w:tr2bl w:val="nil"/>
                  </w:tcBorders>
                  <w:noWrap w:val="0"/>
                  <w:vAlign w:val="center"/>
                </w:tcPr>
                <w:p w14:paraId="2E564BE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气路系统</w:t>
                  </w:r>
                </w:p>
              </w:tc>
              <w:tc>
                <w:tcPr>
                  <w:tcW w:w="1865" w:type="pct"/>
                  <w:tcBorders>
                    <w:tl2br w:val="nil"/>
                    <w:tr2bl w:val="nil"/>
                  </w:tcBorders>
                  <w:noWrap w:val="0"/>
                  <w:vAlign w:val="center"/>
                </w:tcPr>
                <w:p w14:paraId="394E27F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空压机</w:t>
                  </w:r>
                </w:p>
              </w:tc>
              <w:tc>
                <w:tcPr>
                  <w:tcW w:w="1054" w:type="pct"/>
                  <w:tcBorders>
                    <w:tl2br w:val="nil"/>
                    <w:tr2bl w:val="nil"/>
                  </w:tcBorders>
                  <w:noWrap w:val="0"/>
                  <w:vAlign w:val="center"/>
                </w:tcPr>
                <w:p w14:paraId="1389A45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/min</w:t>
                  </w:r>
                </w:p>
              </w:tc>
              <w:tc>
                <w:tcPr>
                  <w:tcW w:w="634" w:type="pct"/>
                  <w:tcBorders>
                    <w:tl2br w:val="nil"/>
                    <w:tr2bl w:val="nil"/>
                  </w:tcBorders>
                  <w:noWrap w:val="0"/>
                  <w:vAlign w:val="center"/>
                </w:tcPr>
                <w:p w14:paraId="03B2B1F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restart"/>
                  <w:tcBorders>
                    <w:tl2br w:val="nil"/>
                    <w:tr2bl w:val="nil"/>
                  </w:tcBorders>
                  <w:noWrap w:val="0"/>
                  <w:vAlign w:val="center"/>
                </w:tcPr>
                <w:p w14:paraId="6A568E1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09F364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60FFDF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29</w:t>
                  </w:r>
                </w:p>
              </w:tc>
              <w:tc>
                <w:tcPr>
                  <w:tcW w:w="520" w:type="pct"/>
                  <w:vMerge w:val="continue"/>
                  <w:tcBorders>
                    <w:tl2br w:val="nil"/>
                    <w:tr2bl w:val="nil"/>
                  </w:tcBorders>
                  <w:noWrap w:val="0"/>
                  <w:vAlign w:val="center"/>
                </w:tcPr>
                <w:p w14:paraId="3E5DFAF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E036F4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气动三联件</w:t>
                  </w:r>
                </w:p>
              </w:tc>
              <w:tc>
                <w:tcPr>
                  <w:tcW w:w="1054" w:type="pct"/>
                  <w:tcBorders>
                    <w:tl2br w:val="nil"/>
                    <w:tr2bl w:val="nil"/>
                  </w:tcBorders>
                  <w:noWrap w:val="0"/>
                  <w:vAlign w:val="center"/>
                </w:tcPr>
                <w:p w14:paraId="4076B4B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130A2EA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BD395D0">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6951E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D17E46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520" w:type="pct"/>
                  <w:vMerge w:val="continue"/>
                  <w:tcBorders>
                    <w:tl2br w:val="nil"/>
                    <w:tr2bl w:val="nil"/>
                  </w:tcBorders>
                  <w:noWrap w:val="0"/>
                  <w:vAlign w:val="center"/>
                </w:tcPr>
                <w:p w14:paraId="7B13A9C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77B575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储气罐</w:t>
                  </w:r>
                </w:p>
              </w:tc>
              <w:tc>
                <w:tcPr>
                  <w:tcW w:w="1054" w:type="pct"/>
                  <w:tcBorders>
                    <w:tl2br w:val="nil"/>
                    <w:tr2bl w:val="nil"/>
                  </w:tcBorders>
                  <w:noWrap w:val="0"/>
                  <w:vAlign w:val="center"/>
                </w:tcPr>
                <w:p w14:paraId="38D238AE">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943271C">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2个</w:t>
                  </w:r>
                </w:p>
              </w:tc>
              <w:tc>
                <w:tcPr>
                  <w:tcW w:w="642" w:type="pct"/>
                  <w:vMerge w:val="continue"/>
                  <w:tcBorders>
                    <w:tl2br w:val="nil"/>
                    <w:tr2bl w:val="nil"/>
                  </w:tcBorders>
                  <w:noWrap w:val="0"/>
                  <w:vAlign w:val="center"/>
                </w:tcPr>
                <w:p w14:paraId="7F1E1D19">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3D15A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88CAF2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31</w:t>
                  </w:r>
                </w:p>
              </w:tc>
              <w:tc>
                <w:tcPr>
                  <w:tcW w:w="520" w:type="pct"/>
                  <w:vMerge w:val="continue"/>
                  <w:tcBorders>
                    <w:tl2br w:val="nil"/>
                    <w:tr2bl w:val="nil"/>
                  </w:tcBorders>
                  <w:noWrap w:val="0"/>
                  <w:vAlign w:val="center"/>
                </w:tcPr>
                <w:p w14:paraId="34D42D6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DEFA7A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连接</w:t>
                  </w:r>
                  <w:r>
                    <w:rPr>
                      <w:rFonts w:hint="eastAsia" w:cs="Times New Roman"/>
                      <w:color w:val="auto"/>
                      <w:sz w:val="21"/>
                      <w:szCs w:val="21"/>
                      <w:highlight w:val="none"/>
                      <w:lang w:eastAsia="zh-CN"/>
                    </w:rPr>
                    <w:t>管路</w:t>
                  </w:r>
                  <w:r>
                    <w:rPr>
                      <w:rFonts w:hint="default" w:ascii="Times New Roman" w:hAnsi="Times New Roman" w:eastAsia="宋体" w:cs="Times New Roman"/>
                      <w:color w:val="auto"/>
                      <w:sz w:val="21"/>
                      <w:szCs w:val="21"/>
                      <w:highlight w:val="none"/>
                    </w:rPr>
                    <w:t>阀门</w:t>
                  </w:r>
                </w:p>
              </w:tc>
              <w:tc>
                <w:tcPr>
                  <w:tcW w:w="1054" w:type="pct"/>
                  <w:tcBorders>
                    <w:tl2br w:val="nil"/>
                    <w:tr2bl w:val="nil"/>
                  </w:tcBorders>
                  <w:noWrap w:val="0"/>
                  <w:vAlign w:val="center"/>
                </w:tcPr>
                <w:p w14:paraId="0C639CC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8A2D6B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4EFE464D">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97376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05F7AC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32</w:t>
                  </w:r>
                </w:p>
              </w:tc>
              <w:tc>
                <w:tcPr>
                  <w:tcW w:w="520" w:type="pct"/>
                  <w:vMerge w:val="restart"/>
                  <w:tcBorders>
                    <w:tl2br w:val="nil"/>
                    <w:tr2bl w:val="nil"/>
                  </w:tcBorders>
                  <w:noWrap w:val="0"/>
                  <w:vAlign w:val="center"/>
                </w:tcPr>
                <w:p w14:paraId="25DD114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搅拌主楼</w:t>
                  </w:r>
                </w:p>
              </w:tc>
              <w:tc>
                <w:tcPr>
                  <w:tcW w:w="1865" w:type="pct"/>
                  <w:tcBorders>
                    <w:tl2br w:val="nil"/>
                    <w:tr2bl w:val="nil"/>
                  </w:tcBorders>
                  <w:noWrap w:val="0"/>
                  <w:vAlign w:val="center"/>
                </w:tcPr>
                <w:p w14:paraId="3C4D6AE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主体结构</w:t>
                  </w:r>
                </w:p>
              </w:tc>
              <w:tc>
                <w:tcPr>
                  <w:tcW w:w="1054" w:type="pct"/>
                  <w:tcBorders>
                    <w:tl2br w:val="nil"/>
                    <w:tr2bl w:val="nil"/>
                  </w:tcBorders>
                  <w:noWrap w:val="0"/>
                  <w:vAlign w:val="center"/>
                </w:tcPr>
                <w:p w14:paraId="31A802B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120F786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restart"/>
                  <w:tcBorders>
                    <w:tl2br w:val="nil"/>
                    <w:tr2bl w:val="nil"/>
                  </w:tcBorders>
                  <w:noWrap w:val="0"/>
                  <w:vAlign w:val="center"/>
                </w:tcPr>
                <w:p w14:paraId="30923AA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3AE008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765CB6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520" w:type="pct"/>
                  <w:vMerge w:val="continue"/>
                  <w:tcBorders>
                    <w:tl2br w:val="nil"/>
                    <w:tr2bl w:val="nil"/>
                  </w:tcBorders>
                  <w:noWrap w:val="0"/>
                  <w:vAlign w:val="center"/>
                </w:tcPr>
                <w:p w14:paraId="1A3F248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98D9AE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走台围栏</w:t>
                  </w:r>
                </w:p>
              </w:tc>
              <w:tc>
                <w:tcPr>
                  <w:tcW w:w="1054" w:type="pct"/>
                  <w:tcBorders>
                    <w:tl2br w:val="nil"/>
                    <w:tr2bl w:val="nil"/>
                  </w:tcBorders>
                  <w:noWrap w:val="0"/>
                  <w:vAlign w:val="center"/>
                </w:tcPr>
                <w:p w14:paraId="4A6E649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7557E43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2F1DCE93">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735CF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5C86954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34</w:t>
                  </w:r>
                </w:p>
              </w:tc>
              <w:tc>
                <w:tcPr>
                  <w:tcW w:w="520" w:type="pct"/>
                  <w:vMerge w:val="continue"/>
                  <w:tcBorders>
                    <w:tl2br w:val="nil"/>
                    <w:tr2bl w:val="nil"/>
                  </w:tcBorders>
                  <w:noWrap w:val="0"/>
                  <w:vAlign w:val="center"/>
                </w:tcPr>
                <w:p w14:paraId="36A0C20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EBADF8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待料斗</w:t>
                  </w:r>
                </w:p>
              </w:tc>
              <w:tc>
                <w:tcPr>
                  <w:tcW w:w="1054" w:type="pct"/>
                  <w:tcBorders>
                    <w:tl2br w:val="nil"/>
                    <w:tr2bl w:val="nil"/>
                  </w:tcBorders>
                  <w:noWrap w:val="0"/>
                  <w:vAlign w:val="center"/>
                </w:tcPr>
                <w:p w14:paraId="347F08F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2D6B9B4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715650C">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5ABAD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0C31BD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520" w:type="pct"/>
                  <w:vMerge w:val="continue"/>
                  <w:tcBorders>
                    <w:tl2br w:val="nil"/>
                    <w:tr2bl w:val="nil"/>
                  </w:tcBorders>
                  <w:noWrap w:val="0"/>
                  <w:vAlign w:val="center"/>
                </w:tcPr>
                <w:p w14:paraId="401D74E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3DAB55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卸料斗</w:t>
                  </w:r>
                </w:p>
              </w:tc>
              <w:tc>
                <w:tcPr>
                  <w:tcW w:w="1054" w:type="pct"/>
                  <w:tcBorders>
                    <w:tl2br w:val="nil"/>
                    <w:tr2bl w:val="nil"/>
                  </w:tcBorders>
                  <w:noWrap w:val="0"/>
                  <w:vAlign w:val="center"/>
                </w:tcPr>
                <w:p w14:paraId="5995355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2m</w:t>
                  </w:r>
                  <w:r>
                    <w:rPr>
                      <w:rFonts w:hint="default" w:ascii="Times New Roman" w:hAnsi="Times New Roman" w:eastAsia="宋体" w:cs="Times New Roman"/>
                      <w:color w:val="auto"/>
                      <w:sz w:val="21"/>
                      <w:szCs w:val="21"/>
                      <w:highlight w:val="none"/>
                      <w:vertAlign w:val="superscript"/>
                    </w:rPr>
                    <w:t>3</w:t>
                  </w:r>
                </w:p>
              </w:tc>
              <w:tc>
                <w:tcPr>
                  <w:tcW w:w="634" w:type="pct"/>
                  <w:tcBorders>
                    <w:tl2br w:val="nil"/>
                    <w:tr2bl w:val="nil"/>
                  </w:tcBorders>
                  <w:noWrap w:val="0"/>
                  <w:vAlign w:val="center"/>
                </w:tcPr>
                <w:p w14:paraId="0914BC2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4DE02D8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B7468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1A8707B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36</w:t>
                  </w:r>
                </w:p>
              </w:tc>
              <w:tc>
                <w:tcPr>
                  <w:tcW w:w="520" w:type="pct"/>
                  <w:vMerge w:val="continue"/>
                  <w:tcBorders>
                    <w:tl2br w:val="nil"/>
                    <w:tr2bl w:val="nil"/>
                  </w:tcBorders>
                  <w:noWrap w:val="0"/>
                  <w:vAlign w:val="center"/>
                </w:tcPr>
                <w:p w14:paraId="491F50B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377EA5C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外包装</w:t>
                  </w:r>
                </w:p>
              </w:tc>
              <w:tc>
                <w:tcPr>
                  <w:tcW w:w="1054" w:type="pct"/>
                  <w:tcBorders>
                    <w:tl2br w:val="nil"/>
                    <w:tr2bl w:val="nil"/>
                  </w:tcBorders>
                  <w:noWrap w:val="0"/>
                  <w:vAlign w:val="center"/>
                </w:tcPr>
                <w:p w14:paraId="2E950B8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30D9D63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0869AC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06733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982230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37</w:t>
                  </w:r>
                </w:p>
              </w:tc>
              <w:tc>
                <w:tcPr>
                  <w:tcW w:w="520" w:type="pct"/>
                  <w:vMerge w:val="restart"/>
                  <w:tcBorders>
                    <w:tl2br w:val="nil"/>
                    <w:tr2bl w:val="nil"/>
                  </w:tcBorders>
                  <w:noWrap w:val="0"/>
                  <w:vAlign w:val="center"/>
                </w:tcPr>
                <w:p w14:paraId="411A88A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操作室</w:t>
                  </w:r>
                </w:p>
              </w:tc>
              <w:tc>
                <w:tcPr>
                  <w:tcW w:w="1865" w:type="pct"/>
                  <w:tcBorders>
                    <w:tl2br w:val="nil"/>
                    <w:tr2bl w:val="nil"/>
                  </w:tcBorders>
                  <w:noWrap w:val="0"/>
                  <w:vAlign w:val="center"/>
                </w:tcPr>
                <w:p w14:paraId="6019A4C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框架</w:t>
                  </w:r>
                </w:p>
              </w:tc>
              <w:tc>
                <w:tcPr>
                  <w:tcW w:w="1054" w:type="pct"/>
                  <w:tcBorders>
                    <w:tl2br w:val="nil"/>
                    <w:tr2bl w:val="nil"/>
                  </w:tcBorders>
                  <w:noWrap w:val="0"/>
                  <w:vAlign w:val="center"/>
                </w:tcPr>
                <w:p w14:paraId="3A0E461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42479E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restart"/>
                  <w:tcBorders>
                    <w:tl2br w:val="nil"/>
                    <w:tr2bl w:val="nil"/>
                  </w:tcBorders>
                  <w:noWrap w:val="0"/>
                  <w:vAlign w:val="center"/>
                </w:tcPr>
                <w:p w14:paraId="4DAD5E6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2E32FE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C92A1C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38</w:t>
                  </w:r>
                </w:p>
              </w:tc>
              <w:tc>
                <w:tcPr>
                  <w:tcW w:w="520" w:type="pct"/>
                  <w:vMerge w:val="continue"/>
                  <w:tcBorders>
                    <w:tl2br w:val="nil"/>
                    <w:tr2bl w:val="nil"/>
                  </w:tcBorders>
                  <w:noWrap w:val="0"/>
                  <w:vAlign w:val="center"/>
                </w:tcPr>
                <w:p w14:paraId="1A873B2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6260AE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装修</w:t>
                  </w:r>
                </w:p>
              </w:tc>
              <w:tc>
                <w:tcPr>
                  <w:tcW w:w="1054" w:type="pct"/>
                  <w:tcBorders>
                    <w:tl2br w:val="nil"/>
                    <w:tr2bl w:val="nil"/>
                  </w:tcBorders>
                  <w:noWrap w:val="0"/>
                  <w:vAlign w:val="center"/>
                </w:tcPr>
                <w:p w14:paraId="4A39F2D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53C0BAC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4CF17043">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AD829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5A66FF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39</w:t>
                  </w:r>
                </w:p>
              </w:tc>
              <w:tc>
                <w:tcPr>
                  <w:tcW w:w="520" w:type="pct"/>
                  <w:vMerge w:val="continue"/>
                  <w:tcBorders>
                    <w:tl2br w:val="nil"/>
                    <w:tr2bl w:val="nil"/>
                  </w:tcBorders>
                  <w:noWrap w:val="0"/>
                  <w:vAlign w:val="center"/>
                </w:tcPr>
                <w:p w14:paraId="0353D31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761980E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靠椅</w:t>
                  </w:r>
                </w:p>
              </w:tc>
              <w:tc>
                <w:tcPr>
                  <w:tcW w:w="1054" w:type="pct"/>
                  <w:tcBorders>
                    <w:tl2br w:val="nil"/>
                    <w:tr2bl w:val="nil"/>
                  </w:tcBorders>
                  <w:noWrap w:val="0"/>
                  <w:vAlign w:val="center"/>
                </w:tcPr>
                <w:p w14:paraId="00505BB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8CE7CF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continue"/>
                  <w:tcBorders>
                    <w:tl2br w:val="nil"/>
                    <w:tr2bl w:val="nil"/>
                  </w:tcBorders>
                  <w:noWrap w:val="0"/>
                  <w:vAlign w:val="center"/>
                </w:tcPr>
                <w:p w14:paraId="3790DFC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317537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FB6CB2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40</w:t>
                  </w:r>
                </w:p>
              </w:tc>
              <w:tc>
                <w:tcPr>
                  <w:tcW w:w="520" w:type="pct"/>
                  <w:vMerge w:val="continue"/>
                  <w:tcBorders>
                    <w:tl2br w:val="nil"/>
                    <w:tr2bl w:val="nil"/>
                  </w:tcBorders>
                  <w:noWrap w:val="0"/>
                  <w:vAlign w:val="center"/>
                </w:tcPr>
                <w:p w14:paraId="6BA4D7D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102534F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空调</w:t>
                  </w:r>
                </w:p>
              </w:tc>
              <w:tc>
                <w:tcPr>
                  <w:tcW w:w="1054" w:type="pct"/>
                  <w:tcBorders>
                    <w:tl2br w:val="nil"/>
                    <w:tr2bl w:val="nil"/>
                  </w:tcBorders>
                  <w:noWrap w:val="0"/>
                  <w:vAlign w:val="center"/>
                </w:tcPr>
                <w:p w14:paraId="16ED5C2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3EF728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1个</w:t>
                  </w:r>
                </w:p>
              </w:tc>
              <w:tc>
                <w:tcPr>
                  <w:tcW w:w="642" w:type="pct"/>
                  <w:vMerge w:val="continue"/>
                  <w:tcBorders>
                    <w:tl2br w:val="nil"/>
                    <w:tr2bl w:val="nil"/>
                  </w:tcBorders>
                  <w:noWrap w:val="0"/>
                  <w:vAlign w:val="center"/>
                </w:tcPr>
                <w:p w14:paraId="4DC189D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6F9108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4A97E6B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41</w:t>
                  </w:r>
                </w:p>
              </w:tc>
              <w:tc>
                <w:tcPr>
                  <w:tcW w:w="520" w:type="pct"/>
                  <w:vMerge w:val="restart"/>
                  <w:tcBorders>
                    <w:tl2br w:val="nil"/>
                    <w:tr2bl w:val="nil"/>
                  </w:tcBorders>
                  <w:noWrap w:val="0"/>
                  <w:vAlign w:val="center"/>
                </w:tcPr>
                <w:p w14:paraId="50E477E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控制系统</w:t>
                  </w:r>
                </w:p>
              </w:tc>
              <w:tc>
                <w:tcPr>
                  <w:tcW w:w="1865" w:type="pct"/>
                  <w:tcBorders>
                    <w:tl2br w:val="nil"/>
                    <w:tr2bl w:val="nil"/>
                  </w:tcBorders>
                  <w:noWrap w:val="0"/>
                  <w:vAlign w:val="center"/>
                </w:tcPr>
                <w:p w14:paraId="4E53945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工控机</w:t>
                  </w:r>
                </w:p>
              </w:tc>
              <w:tc>
                <w:tcPr>
                  <w:tcW w:w="1054" w:type="pct"/>
                  <w:tcBorders>
                    <w:tl2br w:val="nil"/>
                    <w:tr2bl w:val="nil"/>
                  </w:tcBorders>
                  <w:noWrap w:val="0"/>
                  <w:vAlign w:val="center"/>
                </w:tcPr>
                <w:p w14:paraId="15FB16C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392E041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restart"/>
                  <w:tcBorders>
                    <w:tl2br w:val="nil"/>
                    <w:tr2bl w:val="nil"/>
                  </w:tcBorders>
                  <w:noWrap w:val="0"/>
                  <w:vAlign w:val="center"/>
                </w:tcPr>
                <w:p w14:paraId="105B4AF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r>
            <w:tr w14:paraId="47BF48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E949D3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42</w:t>
                  </w:r>
                </w:p>
              </w:tc>
              <w:tc>
                <w:tcPr>
                  <w:tcW w:w="520" w:type="pct"/>
                  <w:vMerge w:val="continue"/>
                  <w:tcBorders>
                    <w:tl2br w:val="nil"/>
                    <w:tr2bl w:val="nil"/>
                  </w:tcBorders>
                  <w:noWrap w:val="0"/>
                  <w:vAlign w:val="center"/>
                </w:tcPr>
                <w:p w14:paraId="2D177F7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1B33CBD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显示器</w:t>
                  </w:r>
                </w:p>
              </w:tc>
              <w:tc>
                <w:tcPr>
                  <w:tcW w:w="1054" w:type="pct"/>
                  <w:tcBorders>
                    <w:tl2br w:val="nil"/>
                    <w:tr2bl w:val="nil"/>
                  </w:tcBorders>
                  <w:noWrap w:val="0"/>
                  <w:vAlign w:val="center"/>
                </w:tcPr>
                <w:p w14:paraId="4270FD0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7BAA180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03BC64C">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110DC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E3947C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43</w:t>
                  </w:r>
                </w:p>
              </w:tc>
              <w:tc>
                <w:tcPr>
                  <w:tcW w:w="520" w:type="pct"/>
                  <w:vMerge w:val="continue"/>
                  <w:tcBorders>
                    <w:tl2br w:val="nil"/>
                    <w:tr2bl w:val="nil"/>
                  </w:tcBorders>
                  <w:noWrap w:val="0"/>
                  <w:vAlign w:val="center"/>
                </w:tcPr>
                <w:p w14:paraId="15C7B9B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056E6B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不间断电源</w:t>
                  </w:r>
                </w:p>
              </w:tc>
              <w:tc>
                <w:tcPr>
                  <w:tcW w:w="1054" w:type="pct"/>
                  <w:tcBorders>
                    <w:tl2br w:val="nil"/>
                    <w:tr2bl w:val="nil"/>
                  </w:tcBorders>
                  <w:noWrap w:val="0"/>
                  <w:vAlign w:val="center"/>
                </w:tcPr>
                <w:p w14:paraId="1A6289B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BC64E2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0D256C75">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EE58B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B37BDF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44</w:t>
                  </w:r>
                </w:p>
              </w:tc>
              <w:tc>
                <w:tcPr>
                  <w:tcW w:w="520" w:type="pct"/>
                  <w:vMerge w:val="continue"/>
                  <w:tcBorders>
                    <w:tl2br w:val="nil"/>
                    <w:tr2bl w:val="nil"/>
                  </w:tcBorders>
                  <w:noWrap w:val="0"/>
                  <w:vAlign w:val="center"/>
                </w:tcPr>
                <w:p w14:paraId="78BB923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43468B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打印机</w:t>
                  </w:r>
                </w:p>
              </w:tc>
              <w:tc>
                <w:tcPr>
                  <w:tcW w:w="1054" w:type="pct"/>
                  <w:tcBorders>
                    <w:tl2br w:val="nil"/>
                    <w:tr2bl w:val="nil"/>
                  </w:tcBorders>
                  <w:noWrap w:val="0"/>
                  <w:vAlign w:val="center"/>
                </w:tcPr>
                <w:p w14:paraId="7BA73CF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6815D6B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0D56C07D">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DC946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C05289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45</w:t>
                  </w:r>
                </w:p>
              </w:tc>
              <w:tc>
                <w:tcPr>
                  <w:tcW w:w="520" w:type="pct"/>
                  <w:vMerge w:val="continue"/>
                  <w:tcBorders>
                    <w:tl2br w:val="nil"/>
                    <w:tr2bl w:val="nil"/>
                  </w:tcBorders>
                  <w:noWrap w:val="0"/>
                  <w:vAlign w:val="center"/>
                </w:tcPr>
                <w:p w14:paraId="72552E4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5A2CD04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监视器</w:t>
                  </w:r>
                </w:p>
              </w:tc>
              <w:tc>
                <w:tcPr>
                  <w:tcW w:w="1054" w:type="pct"/>
                  <w:tcBorders>
                    <w:tl2br w:val="nil"/>
                    <w:tr2bl w:val="nil"/>
                  </w:tcBorders>
                  <w:noWrap w:val="0"/>
                  <w:vAlign w:val="center"/>
                </w:tcPr>
                <w:p w14:paraId="07220F4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1563C58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B8A60E0">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317E73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496A04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46</w:t>
                  </w:r>
                </w:p>
              </w:tc>
              <w:tc>
                <w:tcPr>
                  <w:tcW w:w="520" w:type="pct"/>
                  <w:vMerge w:val="continue"/>
                  <w:tcBorders>
                    <w:tl2br w:val="nil"/>
                    <w:tr2bl w:val="nil"/>
                  </w:tcBorders>
                  <w:noWrap w:val="0"/>
                  <w:vAlign w:val="center"/>
                </w:tcPr>
                <w:p w14:paraId="102DCF7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32B824E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低压电器</w:t>
                  </w:r>
                </w:p>
              </w:tc>
              <w:tc>
                <w:tcPr>
                  <w:tcW w:w="1054" w:type="pct"/>
                  <w:tcBorders>
                    <w:tl2br w:val="nil"/>
                    <w:tr2bl w:val="nil"/>
                  </w:tcBorders>
                  <w:noWrap w:val="0"/>
                  <w:vAlign w:val="center"/>
                </w:tcPr>
                <w:p w14:paraId="5A28115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3CF2E8B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92B7414">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BFEC2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F0C6DE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47</w:t>
                  </w:r>
                </w:p>
              </w:tc>
              <w:tc>
                <w:tcPr>
                  <w:tcW w:w="520" w:type="pct"/>
                  <w:vMerge w:val="continue"/>
                  <w:tcBorders>
                    <w:tl2br w:val="nil"/>
                    <w:tr2bl w:val="nil"/>
                  </w:tcBorders>
                  <w:noWrap w:val="0"/>
                  <w:vAlign w:val="center"/>
                </w:tcPr>
                <w:p w14:paraId="00B87A3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0425AE3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操作按钮</w:t>
                  </w:r>
                </w:p>
              </w:tc>
              <w:tc>
                <w:tcPr>
                  <w:tcW w:w="1054" w:type="pct"/>
                  <w:tcBorders>
                    <w:tl2br w:val="nil"/>
                    <w:tr2bl w:val="nil"/>
                  </w:tcBorders>
                  <w:noWrap w:val="0"/>
                  <w:vAlign w:val="center"/>
                </w:tcPr>
                <w:p w14:paraId="2840E48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2833090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F996E9B">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93D88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262B57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48</w:t>
                  </w:r>
                </w:p>
              </w:tc>
              <w:tc>
                <w:tcPr>
                  <w:tcW w:w="520" w:type="pct"/>
                  <w:vMerge w:val="continue"/>
                  <w:tcBorders>
                    <w:tl2br w:val="nil"/>
                    <w:tr2bl w:val="nil"/>
                  </w:tcBorders>
                  <w:noWrap w:val="0"/>
                  <w:vAlign w:val="center"/>
                </w:tcPr>
                <w:p w14:paraId="255CA7E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F84424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电控柜</w:t>
                  </w:r>
                </w:p>
              </w:tc>
              <w:tc>
                <w:tcPr>
                  <w:tcW w:w="1054" w:type="pct"/>
                  <w:tcBorders>
                    <w:tl2br w:val="nil"/>
                    <w:tr2bl w:val="nil"/>
                  </w:tcBorders>
                  <w:noWrap w:val="0"/>
                  <w:vAlign w:val="center"/>
                </w:tcPr>
                <w:p w14:paraId="5E4F34A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4B4F303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1301D83E">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6FC4C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17B759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49</w:t>
                  </w:r>
                </w:p>
              </w:tc>
              <w:tc>
                <w:tcPr>
                  <w:tcW w:w="520" w:type="pct"/>
                  <w:vMerge w:val="continue"/>
                  <w:tcBorders>
                    <w:tl2br w:val="nil"/>
                    <w:tr2bl w:val="nil"/>
                  </w:tcBorders>
                  <w:noWrap w:val="0"/>
                  <w:vAlign w:val="center"/>
                </w:tcPr>
                <w:p w14:paraId="757239C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2320858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监控软件</w:t>
                  </w:r>
                </w:p>
              </w:tc>
              <w:tc>
                <w:tcPr>
                  <w:tcW w:w="1054" w:type="pct"/>
                  <w:tcBorders>
                    <w:tl2br w:val="nil"/>
                    <w:tr2bl w:val="nil"/>
                  </w:tcBorders>
                  <w:noWrap w:val="0"/>
                  <w:vAlign w:val="center"/>
                </w:tcPr>
                <w:p w14:paraId="5423F51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39F29B4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B182630">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34A922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1515A8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50</w:t>
                  </w:r>
                </w:p>
              </w:tc>
              <w:tc>
                <w:tcPr>
                  <w:tcW w:w="520" w:type="pct"/>
                  <w:vMerge w:val="continue"/>
                  <w:tcBorders>
                    <w:tl2br w:val="nil"/>
                    <w:tr2bl w:val="nil"/>
                  </w:tcBorders>
                  <w:noWrap w:val="0"/>
                  <w:vAlign w:val="center"/>
                </w:tcPr>
                <w:p w14:paraId="743E155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0A531C8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管理软件</w:t>
                  </w:r>
                </w:p>
              </w:tc>
              <w:tc>
                <w:tcPr>
                  <w:tcW w:w="1054" w:type="pct"/>
                  <w:tcBorders>
                    <w:tl2br w:val="nil"/>
                    <w:tr2bl w:val="nil"/>
                  </w:tcBorders>
                  <w:noWrap w:val="0"/>
                  <w:vAlign w:val="center"/>
                </w:tcPr>
                <w:p w14:paraId="0BE4859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57AD7F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3AB7CDDC">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19810F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06ECC9B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51</w:t>
                  </w:r>
                </w:p>
              </w:tc>
              <w:tc>
                <w:tcPr>
                  <w:tcW w:w="520" w:type="pct"/>
                  <w:vMerge w:val="continue"/>
                  <w:tcBorders>
                    <w:tl2br w:val="nil"/>
                    <w:tr2bl w:val="nil"/>
                  </w:tcBorders>
                  <w:noWrap w:val="0"/>
                  <w:vAlign w:val="center"/>
                </w:tcPr>
                <w:p w14:paraId="3E3E8FF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0DA2463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料位检测与报警控制</w:t>
                  </w:r>
                </w:p>
              </w:tc>
              <w:tc>
                <w:tcPr>
                  <w:tcW w:w="1054" w:type="pct"/>
                  <w:tcBorders>
                    <w:tl2br w:val="nil"/>
                    <w:tr2bl w:val="nil"/>
                  </w:tcBorders>
                  <w:noWrap w:val="0"/>
                  <w:vAlign w:val="center"/>
                </w:tcPr>
                <w:p w14:paraId="2256026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2E98AA7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1套</w:t>
                  </w:r>
                </w:p>
              </w:tc>
              <w:tc>
                <w:tcPr>
                  <w:tcW w:w="642" w:type="pct"/>
                  <w:vMerge w:val="continue"/>
                  <w:tcBorders>
                    <w:tl2br w:val="nil"/>
                    <w:tr2bl w:val="nil"/>
                  </w:tcBorders>
                  <w:noWrap w:val="0"/>
                  <w:vAlign w:val="center"/>
                </w:tcPr>
                <w:p w14:paraId="7EA19D9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59F42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5F2F13F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52</w:t>
                  </w:r>
                </w:p>
              </w:tc>
              <w:tc>
                <w:tcPr>
                  <w:tcW w:w="520" w:type="pct"/>
                  <w:vMerge w:val="restart"/>
                  <w:tcBorders>
                    <w:tl2br w:val="nil"/>
                    <w:tr2bl w:val="nil"/>
                  </w:tcBorders>
                  <w:noWrap w:val="0"/>
                  <w:vAlign w:val="center"/>
                </w:tcPr>
                <w:p w14:paraId="6B68436C">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粉料仓</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水泥仓、粉煤灰仓</w:t>
                  </w:r>
                  <w:r>
                    <w:rPr>
                      <w:rFonts w:hint="eastAsia" w:ascii="Times New Roman" w:hAnsi="Times New Roman" w:eastAsia="宋体" w:cs="Times New Roman"/>
                      <w:color w:val="auto"/>
                      <w:sz w:val="21"/>
                      <w:szCs w:val="21"/>
                      <w:highlight w:val="none"/>
                      <w:lang w:eastAsia="zh-CN"/>
                    </w:rPr>
                    <w:t>）</w:t>
                  </w:r>
                </w:p>
              </w:tc>
              <w:tc>
                <w:tcPr>
                  <w:tcW w:w="1865" w:type="pct"/>
                  <w:tcBorders>
                    <w:tl2br w:val="nil"/>
                    <w:tr2bl w:val="nil"/>
                  </w:tcBorders>
                  <w:noWrap w:val="0"/>
                  <w:vAlign w:val="center"/>
                </w:tcPr>
                <w:p w14:paraId="5A79F9F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仓体及支腿</w:t>
                  </w:r>
                </w:p>
              </w:tc>
              <w:tc>
                <w:tcPr>
                  <w:tcW w:w="1054" w:type="pct"/>
                  <w:tcBorders>
                    <w:tl2br w:val="nil"/>
                    <w:tr2bl w:val="nil"/>
                  </w:tcBorders>
                  <w:noWrap w:val="0"/>
                  <w:vAlign w:val="center"/>
                </w:tcPr>
                <w:p w14:paraId="28D027E4">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restart"/>
                  <w:tcBorders>
                    <w:tl2br w:val="nil"/>
                    <w:tr2bl w:val="nil"/>
                  </w:tcBorders>
                  <w:noWrap w:val="0"/>
                  <w:vAlign w:val="center"/>
                </w:tcPr>
                <w:p w14:paraId="206BEFE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42" w:type="pct"/>
                  <w:vMerge w:val="restart"/>
                  <w:tcBorders>
                    <w:tl2br w:val="nil"/>
                    <w:tr2bl w:val="nil"/>
                  </w:tcBorders>
                  <w:noWrap w:val="0"/>
                  <w:vAlign w:val="center"/>
                </w:tcPr>
                <w:p w14:paraId="76F7EBB5">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8（筒仓自带除尘器）</w:t>
                  </w:r>
                </w:p>
              </w:tc>
            </w:tr>
            <w:tr w14:paraId="5678E6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F37B40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53</w:t>
                  </w:r>
                </w:p>
              </w:tc>
              <w:tc>
                <w:tcPr>
                  <w:tcW w:w="520" w:type="pct"/>
                  <w:vMerge w:val="continue"/>
                  <w:tcBorders>
                    <w:tl2br w:val="nil"/>
                    <w:tr2bl w:val="nil"/>
                  </w:tcBorders>
                  <w:noWrap w:val="0"/>
                  <w:vAlign w:val="center"/>
                </w:tcPr>
                <w:p w14:paraId="3C3315D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745DFD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V2型收尘机</w:t>
                  </w:r>
                </w:p>
              </w:tc>
              <w:tc>
                <w:tcPr>
                  <w:tcW w:w="1054" w:type="pct"/>
                  <w:tcBorders>
                    <w:tl2br w:val="nil"/>
                    <w:tr2bl w:val="nil"/>
                  </w:tcBorders>
                  <w:noWrap w:val="0"/>
                  <w:vAlign w:val="center"/>
                </w:tcPr>
                <w:p w14:paraId="5730110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continue"/>
                  <w:tcBorders>
                    <w:tl2br w:val="nil"/>
                    <w:tr2bl w:val="nil"/>
                  </w:tcBorders>
                  <w:noWrap w:val="0"/>
                  <w:vAlign w:val="center"/>
                </w:tcPr>
                <w:p w14:paraId="4E7E162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42" w:type="pct"/>
                  <w:vMerge w:val="continue"/>
                  <w:tcBorders>
                    <w:tl2br w:val="nil"/>
                    <w:tr2bl w:val="nil"/>
                  </w:tcBorders>
                  <w:noWrap w:val="0"/>
                  <w:vAlign w:val="center"/>
                </w:tcPr>
                <w:p w14:paraId="6F8AEA54">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05D40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588C8D2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54</w:t>
                  </w:r>
                </w:p>
              </w:tc>
              <w:tc>
                <w:tcPr>
                  <w:tcW w:w="520" w:type="pct"/>
                  <w:vMerge w:val="continue"/>
                  <w:tcBorders>
                    <w:tl2br w:val="nil"/>
                    <w:tr2bl w:val="nil"/>
                  </w:tcBorders>
                  <w:noWrap w:val="0"/>
                  <w:vAlign w:val="center"/>
                </w:tcPr>
                <w:p w14:paraId="27894A2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36D2CC9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料位计</w:t>
                  </w:r>
                </w:p>
              </w:tc>
              <w:tc>
                <w:tcPr>
                  <w:tcW w:w="1054" w:type="pct"/>
                  <w:tcBorders>
                    <w:tl2br w:val="nil"/>
                    <w:tr2bl w:val="nil"/>
                  </w:tcBorders>
                  <w:noWrap w:val="0"/>
                  <w:vAlign w:val="center"/>
                </w:tcPr>
                <w:p w14:paraId="6499FAA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continue"/>
                  <w:tcBorders>
                    <w:tl2br w:val="nil"/>
                    <w:tr2bl w:val="nil"/>
                  </w:tcBorders>
                  <w:noWrap w:val="0"/>
                  <w:vAlign w:val="center"/>
                </w:tcPr>
                <w:p w14:paraId="1EFB4E6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42" w:type="pct"/>
                  <w:vMerge w:val="continue"/>
                  <w:tcBorders>
                    <w:tl2br w:val="nil"/>
                    <w:tr2bl w:val="nil"/>
                  </w:tcBorders>
                  <w:noWrap w:val="0"/>
                  <w:vAlign w:val="center"/>
                </w:tcPr>
                <w:p w14:paraId="53B17251">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41F93B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179152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55</w:t>
                  </w:r>
                </w:p>
              </w:tc>
              <w:tc>
                <w:tcPr>
                  <w:tcW w:w="520" w:type="pct"/>
                  <w:vMerge w:val="continue"/>
                  <w:tcBorders>
                    <w:tl2br w:val="nil"/>
                    <w:tr2bl w:val="nil"/>
                  </w:tcBorders>
                  <w:noWrap w:val="0"/>
                  <w:vAlign w:val="center"/>
                </w:tcPr>
                <w:p w14:paraId="0DE75E0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016AC81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压力安全阀</w:t>
                  </w:r>
                </w:p>
              </w:tc>
              <w:tc>
                <w:tcPr>
                  <w:tcW w:w="1054" w:type="pct"/>
                  <w:tcBorders>
                    <w:tl2br w:val="nil"/>
                    <w:tr2bl w:val="nil"/>
                  </w:tcBorders>
                  <w:noWrap w:val="0"/>
                  <w:vAlign w:val="center"/>
                </w:tcPr>
                <w:p w14:paraId="5889742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continue"/>
                  <w:tcBorders>
                    <w:tl2br w:val="nil"/>
                    <w:tr2bl w:val="nil"/>
                  </w:tcBorders>
                  <w:noWrap w:val="0"/>
                  <w:vAlign w:val="center"/>
                </w:tcPr>
                <w:p w14:paraId="3E9755C3">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42" w:type="pct"/>
                  <w:vMerge w:val="continue"/>
                  <w:tcBorders>
                    <w:tl2br w:val="nil"/>
                    <w:tr2bl w:val="nil"/>
                  </w:tcBorders>
                  <w:noWrap w:val="0"/>
                  <w:vAlign w:val="center"/>
                </w:tcPr>
                <w:p w14:paraId="2C918578">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6BBFC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8108068">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56</w:t>
                  </w:r>
                </w:p>
              </w:tc>
              <w:tc>
                <w:tcPr>
                  <w:tcW w:w="520" w:type="pct"/>
                  <w:vMerge w:val="continue"/>
                  <w:tcBorders>
                    <w:tl2br w:val="nil"/>
                    <w:tr2bl w:val="nil"/>
                  </w:tcBorders>
                  <w:noWrap w:val="0"/>
                  <w:vAlign w:val="center"/>
                </w:tcPr>
                <w:p w14:paraId="7C2D747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41B13F3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手动蝶阀</w:t>
                  </w:r>
                </w:p>
              </w:tc>
              <w:tc>
                <w:tcPr>
                  <w:tcW w:w="1054" w:type="pct"/>
                  <w:tcBorders>
                    <w:tl2br w:val="nil"/>
                    <w:tr2bl w:val="nil"/>
                  </w:tcBorders>
                  <w:noWrap w:val="0"/>
                  <w:vAlign w:val="center"/>
                </w:tcPr>
                <w:p w14:paraId="767F718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continue"/>
                  <w:tcBorders>
                    <w:tl2br w:val="nil"/>
                    <w:tr2bl w:val="nil"/>
                  </w:tcBorders>
                  <w:noWrap w:val="0"/>
                  <w:vAlign w:val="center"/>
                </w:tcPr>
                <w:p w14:paraId="1AC89E6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42" w:type="pct"/>
                  <w:vMerge w:val="continue"/>
                  <w:tcBorders>
                    <w:tl2br w:val="nil"/>
                    <w:tr2bl w:val="nil"/>
                  </w:tcBorders>
                  <w:noWrap w:val="0"/>
                  <w:vAlign w:val="center"/>
                </w:tcPr>
                <w:p w14:paraId="484FB75A">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018744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DF9CF4E">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57</w:t>
                  </w:r>
                </w:p>
              </w:tc>
              <w:tc>
                <w:tcPr>
                  <w:tcW w:w="520" w:type="pct"/>
                  <w:vMerge w:val="continue"/>
                  <w:tcBorders>
                    <w:tl2br w:val="nil"/>
                    <w:tr2bl w:val="nil"/>
                  </w:tcBorders>
                  <w:noWrap w:val="0"/>
                  <w:vAlign w:val="center"/>
                </w:tcPr>
                <w:p w14:paraId="6A9409A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865" w:type="pct"/>
                  <w:tcBorders>
                    <w:tl2br w:val="nil"/>
                    <w:tr2bl w:val="nil"/>
                  </w:tcBorders>
                  <w:noWrap w:val="0"/>
                  <w:vAlign w:val="center"/>
                </w:tcPr>
                <w:p w14:paraId="6406D08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破拱装置</w:t>
                  </w:r>
                </w:p>
              </w:tc>
              <w:tc>
                <w:tcPr>
                  <w:tcW w:w="1054" w:type="pct"/>
                  <w:tcBorders>
                    <w:tl2br w:val="nil"/>
                    <w:tr2bl w:val="nil"/>
                  </w:tcBorders>
                  <w:noWrap w:val="0"/>
                  <w:vAlign w:val="center"/>
                </w:tcPr>
                <w:p w14:paraId="08F556AD">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634" w:type="pct"/>
                  <w:vMerge w:val="continue"/>
                  <w:tcBorders>
                    <w:tl2br w:val="nil"/>
                    <w:tr2bl w:val="nil"/>
                  </w:tcBorders>
                  <w:noWrap w:val="0"/>
                  <w:vAlign w:val="center"/>
                </w:tcPr>
                <w:p w14:paraId="6CF6BC9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42" w:type="pct"/>
                  <w:vMerge w:val="continue"/>
                  <w:tcBorders>
                    <w:tl2br w:val="nil"/>
                    <w:tr2bl w:val="nil"/>
                  </w:tcBorders>
                  <w:noWrap w:val="0"/>
                  <w:vAlign w:val="center"/>
                </w:tcPr>
                <w:p w14:paraId="0D5A67B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511387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A7A2931">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58</w:t>
                  </w:r>
                </w:p>
              </w:tc>
              <w:tc>
                <w:tcPr>
                  <w:tcW w:w="2386" w:type="pct"/>
                  <w:gridSpan w:val="2"/>
                  <w:tcBorders>
                    <w:tl2br w:val="nil"/>
                    <w:tr2bl w:val="nil"/>
                  </w:tcBorders>
                  <w:noWrap w:val="0"/>
                  <w:vAlign w:val="center"/>
                </w:tcPr>
                <w:p w14:paraId="76912D8D">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蓄水池</w:t>
                  </w:r>
                </w:p>
              </w:tc>
              <w:tc>
                <w:tcPr>
                  <w:tcW w:w="1054" w:type="pct"/>
                  <w:tcBorders>
                    <w:tl2br w:val="nil"/>
                    <w:tr2bl w:val="nil"/>
                  </w:tcBorders>
                  <w:noWrap w:val="0"/>
                  <w:vAlign w:val="center"/>
                </w:tcPr>
                <w:p w14:paraId="755D958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60m</w:t>
                  </w:r>
                  <w:r>
                    <w:rPr>
                      <w:rFonts w:hint="eastAsia" w:ascii="Times New Roman" w:hAnsi="Times New Roman" w:eastAsia="宋体" w:cs="Times New Roman"/>
                      <w:color w:val="auto"/>
                      <w:sz w:val="21"/>
                      <w:szCs w:val="21"/>
                      <w:highlight w:val="none"/>
                      <w:vertAlign w:val="superscript"/>
                      <w:lang w:val="en-US" w:eastAsia="zh-CN"/>
                    </w:rPr>
                    <w:t>3</w:t>
                  </w:r>
                </w:p>
              </w:tc>
              <w:tc>
                <w:tcPr>
                  <w:tcW w:w="634" w:type="pct"/>
                  <w:tcBorders>
                    <w:tl2br w:val="nil"/>
                    <w:tr2bl w:val="nil"/>
                  </w:tcBorders>
                  <w:noWrap w:val="0"/>
                  <w:vAlign w:val="center"/>
                </w:tcPr>
                <w:p w14:paraId="046790B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1座</w:t>
                  </w:r>
                </w:p>
              </w:tc>
              <w:tc>
                <w:tcPr>
                  <w:tcW w:w="642" w:type="pct"/>
                  <w:tcBorders>
                    <w:tl2br w:val="nil"/>
                    <w:tr2bl w:val="nil"/>
                  </w:tcBorders>
                  <w:noWrap w:val="0"/>
                  <w:vAlign w:val="center"/>
                </w:tcPr>
                <w:p w14:paraId="5CFAF5AB">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205CA5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2C5E84F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59</w:t>
                  </w:r>
                </w:p>
              </w:tc>
              <w:tc>
                <w:tcPr>
                  <w:tcW w:w="2386" w:type="pct"/>
                  <w:gridSpan w:val="2"/>
                  <w:tcBorders>
                    <w:tl2br w:val="nil"/>
                    <w:tr2bl w:val="nil"/>
                  </w:tcBorders>
                  <w:noWrap w:val="0"/>
                  <w:vAlign w:val="center"/>
                </w:tcPr>
                <w:p w14:paraId="733222F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砂石分离机</w:t>
                  </w:r>
                </w:p>
              </w:tc>
              <w:tc>
                <w:tcPr>
                  <w:tcW w:w="1054" w:type="pct"/>
                  <w:tcBorders>
                    <w:tl2br w:val="nil"/>
                    <w:tr2bl w:val="nil"/>
                  </w:tcBorders>
                  <w:noWrap w:val="0"/>
                  <w:vAlign w:val="center"/>
                </w:tcPr>
                <w:p w14:paraId="1BCD021E">
                  <w:pPr>
                    <w:bidi w:val="0"/>
                    <w:jc w:val="center"/>
                    <w:rPr>
                      <w:rFonts w:hint="eastAsia" w:ascii="Times New Roman" w:hAnsi="Times New Roman" w:cs="Times New Roman"/>
                      <w:color w:val="auto"/>
                      <w:kern w:val="2"/>
                      <w:sz w:val="21"/>
                      <w:szCs w:val="21"/>
                      <w:lang w:val="en-US" w:eastAsia="zh-CN" w:bidi="ar-SA"/>
                    </w:rPr>
                  </w:pPr>
                  <w:r>
                    <w:rPr>
                      <w:rFonts w:hint="default" w:ascii="Times New Roman" w:hAnsi="Times New Roman" w:cs="Times New Roman"/>
                      <w:color w:val="auto"/>
                      <w:sz w:val="21"/>
                      <w:szCs w:val="21"/>
                    </w:rPr>
                    <w:t>40-50m³/h</w:t>
                  </w:r>
                </w:p>
              </w:tc>
              <w:tc>
                <w:tcPr>
                  <w:tcW w:w="634" w:type="pct"/>
                  <w:tcBorders>
                    <w:tl2br w:val="nil"/>
                    <w:tr2bl w:val="nil"/>
                  </w:tcBorders>
                  <w:noWrap w:val="0"/>
                  <w:vAlign w:val="center"/>
                </w:tcPr>
                <w:p w14:paraId="772ECFFF">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1套</w:t>
                  </w:r>
                </w:p>
              </w:tc>
              <w:tc>
                <w:tcPr>
                  <w:tcW w:w="642" w:type="pct"/>
                  <w:tcBorders>
                    <w:tl2br w:val="nil"/>
                    <w:tr2bl w:val="nil"/>
                  </w:tcBorders>
                  <w:noWrap w:val="0"/>
                  <w:vAlign w:val="center"/>
                </w:tcPr>
                <w:p w14:paraId="0E9E8D1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6BECAA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C89B600">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w:t>
                  </w:r>
                </w:p>
              </w:tc>
              <w:tc>
                <w:tcPr>
                  <w:tcW w:w="2386" w:type="pct"/>
                  <w:gridSpan w:val="2"/>
                  <w:tcBorders>
                    <w:tl2br w:val="nil"/>
                    <w:tr2bl w:val="nil"/>
                  </w:tcBorders>
                  <w:noWrap w:val="0"/>
                  <w:vAlign w:val="center"/>
                </w:tcPr>
                <w:p w14:paraId="50875DF1">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洗车池（三级沉淀）</w:t>
                  </w:r>
                </w:p>
              </w:tc>
              <w:tc>
                <w:tcPr>
                  <w:tcW w:w="1054" w:type="pct"/>
                  <w:tcBorders>
                    <w:tl2br w:val="nil"/>
                    <w:tr2bl w:val="nil"/>
                  </w:tcBorders>
                  <w:noWrap w:val="0"/>
                  <w:vAlign w:val="center"/>
                </w:tcPr>
                <w:p w14:paraId="1A1FB58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80m</w:t>
                  </w:r>
                  <w:r>
                    <w:rPr>
                      <w:rFonts w:hint="eastAsia" w:ascii="Times New Roman" w:hAnsi="Times New Roman" w:eastAsia="宋体" w:cs="Times New Roman"/>
                      <w:color w:val="auto"/>
                      <w:sz w:val="21"/>
                      <w:szCs w:val="21"/>
                      <w:highlight w:val="none"/>
                      <w:vertAlign w:val="superscript"/>
                      <w:lang w:val="en-US" w:eastAsia="zh-CN"/>
                    </w:rPr>
                    <w:t>3</w:t>
                  </w:r>
                </w:p>
              </w:tc>
              <w:tc>
                <w:tcPr>
                  <w:tcW w:w="634" w:type="pct"/>
                  <w:tcBorders>
                    <w:tl2br w:val="nil"/>
                    <w:tr2bl w:val="nil"/>
                  </w:tcBorders>
                  <w:noWrap w:val="0"/>
                  <w:vAlign w:val="center"/>
                </w:tcPr>
                <w:p w14:paraId="2029C39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1座</w:t>
                  </w:r>
                </w:p>
              </w:tc>
              <w:tc>
                <w:tcPr>
                  <w:tcW w:w="642" w:type="pct"/>
                  <w:tcBorders>
                    <w:tl2br w:val="nil"/>
                    <w:tr2bl w:val="nil"/>
                  </w:tcBorders>
                  <w:noWrap w:val="0"/>
                  <w:vAlign w:val="center"/>
                </w:tcPr>
                <w:p w14:paraId="36DDAFE1">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366204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352F6515">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61</w:t>
                  </w:r>
                </w:p>
              </w:tc>
              <w:tc>
                <w:tcPr>
                  <w:tcW w:w="2386" w:type="pct"/>
                  <w:gridSpan w:val="2"/>
                  <w:tcBorders>
                    <w:tl2br w:val="nil"/>
                    <w:tr2bl w:val="nil"/>
                  </w:tcBorders>
                  <w:noWrap w:val="0"/>
                  <w:vAlign w:val="center"/>
                </w:tcPr>
                <w:p w14:paraId="31CE9A2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实验室</w:t>
                  </w:r>
                </w:p>
              </w:tc>
              <w:tc>
                <w:tcPr>
                  <w:tcW w:w="1054" w:type="pct"/>
                  <w:tcBorders>
                    <w:tl2br w:val="nil"/>
                    <w:tr2bl w:val="nil"/>
                  </w:tcBorders>
                  <w:noWrap w:val="0"/>
                  <w:vAlign w:val="center"/>
                </w:tcPr>
                <w:p w14:paraId="0D326E25">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力学性能</w:t>
                  </w:r>
                </w:p>
              </w:tc>
              <w:tc>
                <w:tcPr>
                  <w:tcW w:w="634" w:type="pct"/>
                  <w:tcBorders>
                    <w:tl2br w:val="nil"/>
                    <w:tr2bl w:val="nil"/>
                  </w:tcBorders>
                  <w:noWrap w:val="0"/>
                  <w:vAlign w:val="center"/>
                </w:tcPr>
                <w:p w14:paraId="6E5EA60B">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1套</w:t>
                  </w:r>
                </w:p>
              </w:tc>
              <w:tc>
                <w:tcPr>
                  <w:tcW w:w="642" w:type="pct"/>
                  <w:tcBorders>
                    <w:tl2br w:val="nil"/>
                    <w:tr2bl w:val="nil"/>
                  </w:tcBorders>
                  <w:noWrap w:val="0"/>
                  <w:vAlign w:val="center"/>
                </w:tcPr>
                <w:p w14:paraId="3AE5504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70771C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7B1960B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62</w:t>
                  </w:r>
                </w:p>
              </w:tc>
              <w:tc>
                <w:tcPr>
                  <w:tcW w:w="2386" w:type="pct"/>
                  <w:gridSpan w:val="2"/>
                  <w:tcBorders>
                    <w:tl2br w:val="nil"/>
                    <w:tr2bl w:val="nil"/>
                  </w:tcBorders>
                  <w:noWrap w:val="0"/>
                  <w:vAlign w:val="center"/>
                </w:tcPr>
                <w:p w14:paraId="67ACBCB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地磅</w:t>
                  </w:r>
                </w:p>
              </w:tc>
              <w:tc>
                <w:tcPr>
                  <w:tcW w:w="1054" w:type="pct"/>
                  <w:tcBorders>
                    <w:tl2br w:val="nil"/>
                    <w:tr2bl w:val="nil"/>
                  </w:tcBorders>
                  <w:noWrap w:val="0"/>
                  <w:vAlign w:val="center"/>
                </w:tcPr>
                <w:p w14:paraId="55A3B0A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634" w:type="pct"/>
                  <w:tcBorders>
                    <w:tl2br w:val="nil"/>
                    <w:tr2bl w:val="nil"/>
                  </w:tcBorders>
                  <w:noWrap w:val="0"/>
                  <w:vAlign w:val="center"/>
                </w:tcPr>
                <w:p w14:paraId="0E941AB7">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1套</w:t>
                  </w:r>
                </w:p>
              </w:tc>
              <w:tc>
                <w:tcPr>
                  <w:tcW w:w="642" w:type="pct"/>
                  <w:tcBorders>
                    <w:tl2br w:val="nil"/>
                    <w:tr2bl w:val="nil"/>
                  </w:tcBorders>
                  <w:noWrap w:val="0"/>
                  <w:vAlign w:val="center"/>
                </w:tcPr>
                <w:p w14:paraId="38F0E5A2">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0CA986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1" w:type="pct"/>
                  <w:tcBorders>
                    <w:tl2br w:val="nil"/>
                    <w:tr2bl w:val="nil"/>
                  </w:tcBorders>
                  <w:noWrap w:val="0"/>
                  <w:vAlign w:val="center"/>
                </w:tcPr>
                <w:p w14:paraId="6A81E649">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63</w:t>
                  </w:r>
                </w:p>
              </w:tc>
              <w:tc>
                <w:tcPr>
                  <w:tcW w:w="2386" w:type="pct"/>
                  <w:gridSpan w:val="2"/>
                  <w:tcBorders>
                    <w:tl2br w:val="nil"/>
                    <w:tr2bl w:val="nil"/>
                  </w:tcBorders>
                  <w:noWrap w:val="0"/>
                  <w:vAlign w:val="center"/>
                </w:tcPr>
                <w:p w14:paraId="2CB195BA">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商混运输车</w:t>
                  </w:r>
                </w:p>
              </w:tc>
              <w:tc>
                <w:tcPr>
                  <w:tcW w:w="1054" w:type="pct"/>
                  <w:tcBorders>
                    <w:tl2br w:val="nil"/>
                    <w:tr2bl w:val="nil"/>
                  </w:tcBorders>
                  <w:noWrap w:val="0"/>
                  <w:vAlign w:val="center"/>
                </w:tcPr>
                <w:p w14:paraId="1751ACDC">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8~12方</w:t>
                  </w:r>
                </w:p>
              </w:tc>
              <w:tc>
                <w:tcPr>
                  <w:tcW w:w="634" w:type="pct"/>
                  <w:tcBorders>
                    <w:tl2br w:val="nil"/>
                    <w:tr2bl w:val="nil"/>
                  </w:tcBorders>
                  <w:noWrap w:val="0"/>
                  <w:vAlign w:val="center"/>
                </w:tcPr>
                <w:p w14:paraId="21626046">
                  <w:pPr>
                    <w:keepNext w:val="0"/>
                    <w:keepLines w:val="0"/>
                    <w:pageBreakBefore w:val="0"/>
                    <w:widowControl/>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5辆</w:t>
                  </w:r>
                </w:p>
              </w:tc>
              <w:tc>
                <w:tcPr>
                  <w:tcW w:w="642" w:type="pct"/>
                  <w:tcBorders>
                    <w:tl2br w:val="nil"/>
                    <w:tr2bl w:val="nil"/>
                  </w:tcBorders>
                  <w:noWrap w:val="0"/>
                  <w:vAlign w:val="center"/>
                </w:tcPr>
                <w:p w14:paraId="04C71891">
                  <w:pPr>
                    <w:keepNext w:val="0"/>
                    <w:keepLines w:val="0"/>
                    <w:pageBreakBefore w:val="0"/>
                    <w:widowControl/>
                    <w:kinsoku/>
                    <w:wordWrap/>
                    <w:overflowPunct/>
                    <w:topLinePunct w:val="0"/>
                    <w:bidi w:val="0"/>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bl>
          <w:p w14:paraId="108BC4E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2.5主要原辅材料</w:t>
            </w:r>
          </w:p>
          <w:p w14:paraId="61C720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color w:val="auto"/>
                <w:spacing w:val="0"/>
                <w:sz w:val="24"/>
                <w:szCs w:val="24"/>
                <w:lang w:val="en-US" w:eastAsia="zh-CN"/>
              </w:rPr>
            </w:pPr>
            <w:r>
              <w:rPr>
                <w:rFonts w:hint="default" w:ascii="Times New Roman" w:hAnsi="Times New Roman" w:eastAsia="宋体" w:cs="Times New Roman"/>
                <w:color w:val="auto"/>
                <w:sz w:val="24"/>
                <w:highlight w:val="none"/>
                <w:lang w:val="zh-CN"/>
              </w:rPr>
              <w:t>本项目</w:t>
            </w:r>
            <w:r>
              <w:rPr>
                <w:rFonts w:hint="eastAsia" w:ascii="Times New Roman" w:hAnsi="Times New Roman" w:eastAsia="宋体" w:cs="Times New Roman"/>
                <w:color w:val="auto"/>
                <w:sz w:val="24"/>
                <w:highlight w:val="none"/>
                <w:lang w:val="en-US" w:eastAsia="zh-CN"/>
              </w:rPr>
              <w:t>商混站</w:t>
            </w:r>
            <w:r>
              <w:rPr>
                <w:rFonts w:hint="default" w:ascii="Times New Roman" w:hAnsi="Times New Roman" w:eastAsia="宋体" w:cs="Times New Roman"/>
                <w:color w:val="auto"/>
                <w:sz w:val="24"/>
                <w:highlight w:val="none"/>
                <w:lang w:val="zh-CN"/>
              </w:rPr>
              <w:t>主要原料为水泥、</w:t>
            </w:r>
            <w:r>
              <w:rPr>
                <w:rFonts w:hint="eastAsia" w:ascii="Times New Roman" w:hAnsi="Times New Roman" w:eastAsia="宋体" w:cs="Times New Roman"/>
                <w:color w:val="auto"/>
                <w:sz w:val="24"/>
                <w:highlight w:val="none"/>
                <w:lang w:val="en-US" w:eastAsia="zh-CN"/>
              </w:rPr>
              <w:t>砂石料</w:t>
            </w:r>
            <w:r>
              <w:rPr>
                <w:rFonts w:hint="default" w:ascii="Times New Roman" w:hAnsi="Times New Roman" w:eastAsia="宋体" w:cs="Times New Roman"/>
                <w:color w:val="auto"/>
                <w:sz w:val="24"/>
                <w:highlight w:val="none"/>
                <w:lang w:val="zh-CN"/>
              </w:rPr>
              <w:t>、外加剂、粉煤灰、水等，供货渠道根据生产情况与企业实际情况进行选择、货源充足。项目主要原辅材料及能源消耗情况</w:t>
            </w:r>
            <w:r>
              <w:rPr>
                <w:rFonts w:hint="eastAsia" w:ascii="Times New Roman" w:hAnsi="Times New Roman" w:cs="Times New Roman"/>
                <w:bCs/>
                <w:color w:val="auto"/>
                <w:spacing w:val="0"/>
                <w:sz w:val="24"/>
                <w:szCs w:val="24"/>
                <w:lang w:val="en-US" w:eastAsia="zh-CN"/>
              </w:rPr>
              <w:t>见表2-4。</w:t>
            </w:r>
          </w:p>
          <w:p w14:paraId="2B4F8274">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
                <w:bCs/>
                <w:color w:val="auto"/>
                <w:lang w:val="en-US" w:eastAsia="zh-CN"/>
              </w:rPr>
            </w:pPr>
            <w:r>
              <w:rPr>
                <w:rFonts w:hint="eastAsia"/>
                <w:b/>
                <w:bCs/>
                <w:color w:val="auto"/>
                <w:lang w:val="en-US" w:eastAsia="zh-CN"/>
              </w:rPr>
              <w:t>表2-4  本项目原辅材料消耗一览表</w:t>
            </w:r>
          </w:p>
          <w:tbl>
            <w:tblPr>
              <w:tblStyle w:val="28"/>
              <w:tblW w:w="4998"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121"/>
              <w:gridCol w:w="679"/>
              <w:gridCol w:w="1483"/>
              <w:gridCol w:w="1221"/>
              <w:gridCol w:w="1666"/>
              <w:gridCol w:w="1772"/>
            </w:tblGrid>
            <w:tr w14:paraId="78E9A19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PrEx>
              <w:trPr>
                <w:trHeight w:val="340" w:hRule="atLeast"/>
                <w:jc w:val="center"/>
              </w:trPr>
              <w:tc>
                <w:tcPr>
                  <w:tcW w:w="706" w:type="pct"/>
                  <w:tcBorders>
                    <w:tl2br w:val="nil"/>
                    <w:tr2bl w:val="nil"/>
                  </w:tcBorders>
                  <w:noWrap w:val="0"/>
                  <w:vAlign w:val="center"/>
                </w:tcPr>
                <w:p w14:paraId="19459DA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类别</w:t>
                  </w:r>
                </w:p>
              </w:tc>
              <w:tc>
                <w:tcPr>
                  <w:tcW w:w="427" w:type="pct"/>
                  <w:tcBorders>
                    <w:tl2br w:val="nil"/>
                    <w:tr2bl w:val="nil"/>
                  </w:tcBorders>
                  <w:noWrap w:val="0"/>
                  <w:vAlign w:val="center"/>
                </w:tcPr>
                <w:p w14:paraId="2DBC47D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序号</w:t>
                  </w:r>
                </w:p>
              </w:tc>
              <w:tc>
                <w:tcPr>
                  <w:tcW w:w="933" w:type="pct"/>
                  <w:tcBorders>
                    <w:tl2br w:val="nil"/>
                    <w:tr2bl w:val="nil"/>
                  </w:tcBorders>
                  <w:noWrap w:val="0"/>
                  <w:vAlign w:val="center"/>
                </w:tcPr>
                <w:p w14:paraId="1A2339E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名称</w:t>
                  </w:r>
                </w:p>
              </w:tc>
              <w:tc>
                <w:tcPr>
                  <w:tcW w:w="768" w:type="pct"/>
                  <w:tcBorders>
                    <w:tl2br w:val="nil"/>
                    <w:tr2bl w:val="nil"/>
                  </w:tcBorders>
                  <w:noWrap w:val="0"/>
                  <w:vAlign w:val="center"/>
                </w:tcPr>
                <w:p w14:paraId="2C036DC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单位</w:t>
                  </w:r>
                </w:p>
              </w:tc>
              <w:tc>
                <w:tcPr>
                  <w:tcW w:w="1048" w:type="pct"/>
                  <w:tcBorders>
                    <w:tl2br w:val="nil"/>
                    <w:tr2bl w:val="nil"/>
                  </w:tcBorders>
                  <w:noWrap w:val="0"/>
                  <w:vAlign w:val="center"/>
                </w:tcPr>
                <w:p w14:paraId="5F666A5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年耗量</w:t>
                  </w:r>
                </w:p>
              </w:tc>
              <w:tc>
                <w:tcPr>
                  <w:tcW w:w="1115" w:type="pct"/>
                  <w:tcBorders>
                    <w:tl2br w:val="nil"/>
                    <w:tr2bl w:val="nil"/>
                  </w:tcBorders>
                  <w:noWrap w:val="0"/>
                  <w:vAlign w:val="center"/>
                </w:tcPr>
                <w:p w14:paraId="2BB18930">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备注</w:t>
                  </w:r>
                </w:p>
              </w:tc>
            </w:tr>
            <w:tr w14:paraId="14E60F8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restart"/>
                  <w:tcBorders>
                    <w:tl2br w:val="nil"/>
                    <w:tr2bl w:val="nil"/>
                  </w:tcBorders>
                  <w:noWrap w:val="0"/>
                  <w:vAlign w:val="center"/>
                </w:tcPr>
                <w:p w14:paraId="27BE1E78">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lang w:val="en-US" w:eastAsia="zh-CN"/>
                    </w:rPr>
                    <w:t>商品混凝土</w:t>
                  </w:r>
                  <w:r>
                    <w:rPr>
                      <w:rFonts w:hint="default" w:ascii="Times New Roman" w:hAnsi="Times New Roman" w:eastAsia="宋体" w:cs="Times New Roman"/>
                      <w:color w:val="auto"/>
                      <w:kern w:val="0"/>
                      <w:szCs w:val="21"/>
                      <w:highlight w:val="none"/>
                    </w:rPr>
                    <w:t>生产线</w:t>
                  </w:r>
                  <w:r>
                    <w:rPr>
                      <w:rFonts w:hint="eastAsia" w:ascii="Times New Roman" w:hAnsi="Times New Roman" w:eastAsia="宋体" w:cs="Times New Roman"/>
                      <w:color w:val="auto"/>
                      <w:kern w:val="0"/>
                      <w:szCs w:val="21"/>
                      <w:highlight w:val="none"/>
                      <w:lang w:eastAsia="zh-CN"/>
                    </w:rPr>
                    <w:t>（</w:t>
                  </w:r>
                  <w:r>
                    <w:rPr>
                      <w:rFonts w:hint="eastAsia" w:ascii="Times New Roman" w:hAnsi="Times New Roman" w:eastAsia="宋体" w:cs="Times New Roman"/>
                      <w:color w:val="auto"/>
                      <w:kern w:val="0"/>
                      <w:szCs w:val="21"/>
                      <w:highlight w:val="none"/>
                      <w:lang w:val="en-US" w:eastAsia="zh-CN"/>
                    </w:rPr>
                    <w:t>1号综合站和3号综合站合计用量</w:t>
                  </w:r>
                  <w:r>
                    <w:rPr>
                      <w:rFonts w:hint="eastAsia" w:ascii="Times New Roman" w:hAnsi="Times New Roman" w:eastAsia="宋体" w:cs="Times New Roman"/>
                      <w:color w:val="auto"/>
                      <w:kern w:val="0"/>
                      <w:szCs w:val="21"/>
                      <w:highlight w:val="none"/>
                      <w:lang w:eastAsia="zh-CN"/>
                    </w:rPr>
                    <w:t>）</w:t>
                  </w:r>
                </w:p>
              </w:tc>
              <w:tc>
                <w:tcPr>
                  <w:tcW w:w="427" w:type="pct"/>
                  <w:tcBorders>
                    <w:tl2br w:val="nil"/>
                    <w:tr2bl w:val="nil"/>
                  </w:tcBorders>
                  <w:noWrap w:val="0"/>
                  <w:vAlign w:val="center"/>
                </w:tcPr>
                <w:p w14:paraId="593A7BE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w:t>
                  </w:r>
                </w:p>
              </w:tc>
              <w:tc>
                <w:tcPr>
                  <w:tcW w:w="933" w:type="pct"/>
                  <w:tcBorders>
                    <w:tl2br w:val="nil"/>
                    <w:tr2bl w:val="nil"/>
                  </w:tcBorders>
                  <w:noWrap w:val="0"/>
                  <w:vAlign w:val="center"/>
                </w:tcPr>
                <w:p w14:paraId="19F3E11A">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水泥</w:t>
                  </w:r>
                </w:p>
              </w:tc>
              <w:tc>
                <w:tcPr>
                  <w:tcW w:w="768" w:type="pct"/>
                  <w:tcBorders>
                    <w:tl2br w:val="nil"/>
                    <w:tr2bl w:val="nil"/>
                  </w:tcBorders>
                  <w:noWrap w:val="0"/>
                  <w:vAlign w:val="center"/>
                </w:tcPr>
                <w:p w14:paraId="28231BA1">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t</w:t>
                  </w:r>
                  <w:r>
                    <w:rPr>
                      <w:rFonts w:hint="default"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lang w:val="en-US" w:eastAsia="zh-CN"/>
                    </w:rPr>
                    <w:t>a</w:t>
                  </w:r>
                </w:p>
              </w:tc>
              <w:tc>
                <w:tcPr>
                  <w:tcW w:w="1048" w:type="pct"/>
                  <w:tcBorders>
                    <w:tl2br w:val="nil"/>
                    <w:tr2bl w:val="nil"/>
                  </w:tcBorders>
                  <w:noWrap w:val="0"/>
                  <w:vAlign w:val="center"/>
                </w:tcPr>
                <w:p w14:paraId="3DE53D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35000</w:t>
                  </w:r>
                </w:p>
              </w:tc>
              <w:tc>
                <w:tcPr>
                  <w:tcW w:w="1115" w:type="pct"/>
                  <w:tcBorders>
                    <w:tl2br w:val="nil"/>
                    <w:tr2bl w:val="nil"/>
                  </w:tcBorders>
                  <w:noWrap w:val="0"/>
                  <w:vAlign w:val="center"/>
                </w:tcPr>
                <w:p w14:paraId="5CD685BA">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外购</w:t>
                  </w:r>
                </w:p>
              </w:tc>
            </w:tr>
            <w:tr w14:paraId="6E6235D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continue"/>
                  <w:tcBorders>
                    <w:tl2br w:val="nil"/>
                    <w:tr2bl w:val="nil"/>
                  </w:tcBorders>
                  <w:noWrap w:val="0"/>
                  <w:vAlign w:val="center"/>
                </w:tcPr>
                <w:p w14:paraId="106803E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p>
              </w:tc>
              <w:tc>
                <w:tcPr>
                  <w:tcW w:w="427" w:type="pct"/>
                  <w:tcBorders>
                    <w:tl2br w:val="nil"/>
                    <w:tr2bl w:val="nil"/>
                  </w:tcBorders>
                  <w:noWrap w:val="0"/>
                  <w:vAlign w:val="center"/>
                </w:tcPr>
                <w:p w14:paraId="279BB7E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2</w:t>
                  </w:r>
                </w:p>
              </w:tc>
              <w:tc>
                <w:tcPr>
                  <w:tcW w:w="933" w:type="pct"/>
                  <w:tcBorders>
                    <w:tl2br w:val="nil"/>
                    <w:tr2bl w:val="nil"/>
                  </w:tcBorders>
                  <w:noWrap w:val="0"/>
                  <w:vAlign w:val="center"/>
                </w:tcPr>
                <w:p w14:paraId="76D9183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水</w:t>
                  </w:r>
                </w:p>
              </w:tc>
              <w:tc>
                <w:tcPr>
                  <w:tcW w:w="768" w:type="pct"/>
                  <w:tcBorders>
                    <w:tl2br w:val="nil"/>
                    <w:tr2bl w:val="nil"/>
                  </w:tcBorders>
                  <w:noWrap w:val="0"/>
                  <w:vAlign w:val="center"/>
                </w:tcPr>
                <w:p w14:paraId="09E2B81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t</w:t>
                  </w:r>
                  <w:r>
                    <w:rPr>
                      <w:rFonts w:hint="default"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lang w:val="en-US" w:eastAsia="zh-CN"/>
                    </w:rPr>
                    <w:t>a</w:t>
                  </w:r>
                </w:p>
              </w:tc>
              <w:tc>
                <w:tcPr>
                  <w:tcW w:w="1048" w:type="pct"/>
                  <w:tcBorders>
                    <w:tl2br w:val="nil"/>
                    <w:tr2bl w:val="nil"/>
                  </w:tcBorders>
                  <w:noWrap w:val="0"/>
                  <w:vAlign w:val="center"/>
                </w:tcPr>
                <w:p w14:paraId="575150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16500</w:t>
                  </w:r>
                </w:p>
              </w:tc>
              <w:tc>
                <w:tcPr>
                  <w:tcW w:w="1115" w:type="pct"/>
                  <w:tcBorders>
                    <w:tl2br w:val="nil"/>
                    <w:tr2bl w:val="nil"/>
                  </w:tcBorders>
                  <w:noWrap w:val="0"/>
                  <w:vAlign w:val="center"/>
                </w:tcPr>
                <w:p w14:paraId="39524879">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罐车拉运</w:t>
                  </w:r>
                </w:p>
              </w:tc>
            </w:tr>
            <w:tr w14:paraId="6B7A8ED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continue"/>
                  <w:tcBorders>
                    <w:tl2br w:val="nil"/>
                    <w:tr2bl w:val="nil"/>
                  </w:tcBorders>
                  <w:noWrap w:val="0"/>
                  <w:vAlign w:val="center"/>
                </w:tcPr>
                <w:p w14:paraId="602F153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p>
              </w:tc>
              <w:tc>
                <w:tcPr>
                  <w:tcW w:w="427" w:type="pct"/>
                  <w:tcBorders>
                    <w:tl2br w:val="nil"/>
                    <w:tr2bl w:val="nil"/>
                  </w:tcBorders>
                  <w:noWrap w:val="0"/>
                  <w:vAlign w:val="center"/>
                </w:tcPr>
                <w:p w14:paraId="63A43A8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3</w:t>
                  </w:r>
                </w:p>
              </w:tc>
              <w:tc>
                <w:tcPr>
                  <w:tcW w:w="933" w:type="pct"/>
                  <w:tcBorders>
                    <w:tl2br w:val="nil"/>
                    <w:tr2bl w:val="nil"/>
                  </w:tcBorders>
                  <w:noWrap w:val="0"/>
                  <w:vAlign w:val="center"/>
                </w:tcPr>
                <w:p w14:paraId="6B761421">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Cs w:val="21"/>
                      <w:highlight w:val="none"/>
                      <w:lang w:val="en-US" w:eastAsia="zh-CN"/>
                    </w:rPr>
                    <w:t>砂石料</w:t>
                  </w:r>
                </w:p>
              </w:tc>
              <w:tc>
                <w:tcPr>
                  <w:tcW w:w="768" w:type="pct"/>
                  <w:tcBorders>
                    <w:tl2br w:val="nil"/>
                    <w:tr2bl w:val="nil"/>
                  </w:tcBorders>
                  <w:noWrap w:val="0"/>
                  <w:vAlign w:val="center"/>
                </w:tcPr>
                <w:p w14:paraId="74C50724">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t</w:t>
                  </w:r>
                  <w:r>
                    <w:rPr>
                      <w:rFonts w:hint="default"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lang w:val="en-US" w:eastAsia="zh-CN"/>
                    </w:rPr>
                    <w:t>a</w:t>
                  </w:r>
                </w:p>
              </w:tc>
              <w:tc>
                <w:tcPr>
                  <w:tcW w:w="1048" w:type="pct"/>
                  <w:tcBorders>
                    <w:tl2br w:val="nil"/>
                    <w:tr2bl w:val="nil"/>
                  </w:tcBorders>
                  <w:noWrap w:val="0"/>
                  <w:vAlign w:val="center"/>
                </w:tcPr>
                <w:p w14:paraId="0E08E3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210000</w:t>
                  </w:r>
                </w:p>
              </w:tc>
              <w:tc>
                <w:tcPr>
                  <w:tcW w:w="1115" w:type="pct"/>
                  <w:tcBorders>
                    <w:tl2br w:val="nil"/>
                    <w:tr2bl w:val="nil"/>
                  </w:tcBorders>
                  <w:noWrap w:val="0"/>
                  <w:vAlign w:val="center"/>
                </w:tcPr>
                <w:p w14:paraId="78FE5DE7">
                  <w:pPr>
                    <w:keepNext w:val="0"/>
                    <w:keepLines w:val="0"/>
                    <w:pageBreakBefore w:val="0"/>
                    <w:kinsoku/>
                    <w:wordWrap/>
                    <w:overflowPunct/>
                    <w:topLinePunct w:val="0"/>
                    <w:autoSpaceDE/>
                    <w:autoSpaceDN/>
                    <w:bidi w:val="0"/>
                    <w:adjustRightInd/>
                    <w:snapToGrid/>
                    <w:jc w:val="center"/>
                    <w:rPr>
                      <w:rFonts w:hint="eastAsia" w:ascii="Times New Roman" w:hAnsi="Times New Roman" w:eastAsia="宋体" w:cs="Times New Roman"/>
                      <w:bCs/>
                      <w:color w:val="auto"/>
                      <w:szCs w:val="21"/>
                      <w:highlight w:val="none"/>
                      <w:lang w:eastAsia="zh-CN"/>
                    </w:rPr>
                  </w:pPr>
                  <w:r>
                    <w:rPr>
                      <w:rFonts w:hint="default" w:ascii="Times New Roman" w:hAnsi="Times New Roman" w:eastAsia="宋体" w:cs="Times New Roman"/>
                      <w:bCs/>
                      <w:color w:val="auto"/>
                      <w:szCs w:val="21"/>
                      <w:highlight w:val="none"/>
                    </w:rPr>
                    <w:t>外购</w:t>
                  </w:r>
                </w:p>
              </w:tc>
            </w:tr>
            <w:tr w14:paraId="65F61A2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continue"/>
                  <w:tcBorders>
                    <w:tl2br w:val="nil"/>
                    <w:tr2bl w:val="nil"/>
                  </w:tcBorders>
                  <w:noWrap w:val="0"/>
                  <w:vAlign w:val="center"/>
                </w:tcPr>
                <w:p w14:paraId="06F9DBE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p>
              </w:tc>
              <w:tc>
                <w:tcPr>
                  <w:tcW w:w="427" w:type="pct"/>
                  <w:tcBorders>
                    <w:tl2br w:val="nil"/>
                    <w:tr2bl w:val="nil"/>
                  </w:tcBorders>
                  <w:noWrap w:val="0"/>
                  <w:vAlign w:val="center"/>
                </w:tcPr>
                <w:p w14:paraId="41EF6ED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4</w:t>
                  </w:r>
                </w:p>
              </w:tc>
              <w:tc>
                <w:tcPr>
                  <w:tcW w:w="933" w:type="pct"/>
                  <w:tcBorders>
                    <w:tl2br w:val="nil"/>
                    <w:tr2bl w:val="nil"/>
                  </w:tcBorders>
                  <w:noWrap w:val="0"/>
                  <w:vAlign w:val="center"/>
                </w:tcPr>
                <w:p w14:paraId="4CC08662">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混凝土外加剂</w:t>
                  </w:r>
                </w:p>
              </w:tc>
              <w:tc>
                <w:tcPr>
                  <w:tcW w:w="768" w:type="pct"/>
                  <w:tcBorders>
                    <w:tl2br w:val="nil"/>
                    <w:tr2bl w:val="nil"/>
                  </w:tcBorders>
                  <w:noWrap w:val="0"/>
                  <w:vAlign w:val="center"/>
                </w:tcPr>
                <w:p w14:paraId="25ED0B25">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t</w:t>
                  </w:r>
                  <w:r>
                    <w:rPr>
                      <w:rFonts w:hint="default"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lang w:val="en-US" w:eastAsia="zh-CN"/>
                    </w:rPr>
                    <w:t>a</w:t>
                  </w:r>
                </w:p>
              </w:tc>
              <w:tc>
                <w:tcPr>
                  <w:tcW w:w="1048" w:type="pct"/>
                  <w:tcBorders>
                    <w:tl2br w:val="nil"/>
                    <w:tr2bl w:val="nil"/>
                  </w:tcBorders>
                  <w:noWrap w:val="0"/>
                  <w:vAlign w:val="center"/>
                </w:tcPr>
                <w:p w14:paraId="20889A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360</w:t>
                  </w:r>
                </w:p>
              </w:tc>
              <w:tc>
                <w:tcPr>
                  <w:tcW w:w="1115" w:type="pct"/>
                  <w:tcBorders>
                    <w:tl2br w:val="nil"/>
                    <w:tr2bl w:val="nil"/>
                  </w:tcBorders>
                  <w:noWrap w:val="0"/>
                  <w:vAlign w:val="center"/>
                </w:tcPr>
                <w:p w14:paraId="54EC0EB9">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rPr>
                    <w:t>外购</w:t>
                  </w:r>
                </w:p>
              </w:tc>
            </w:tr>
            <w:tr w14:paraId="04B2004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continue"/>
                  <w:tcBorders>
                    <w:tl2br w:val="nil"/>
                    <w:tr2bl w:val="nil"/>
                  </w:tcBorders>
                  <w:noWrap w:val="0"/>
                  <w:vAlign w:val="center"/>
                </w:tcPr>
                <w:p w14:paraId="782CD8A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p>
              </w:tc>
              <w:tc>
                <w:tcPr>
                  <w:tcW w:w="427" w:type="pct"/>
                  <w:tcBorders>
                    <w:tl2br w:val="nil"/>
                    <w:tr2bl w:val="nil"/>
                  </w:tcBorders>
                  <w:noWrap w:val="0"/>
                  <w:vAlign w:val="center"/>
                </w:tcPr>
                <w:p w14:paraId="31C35035">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5</w:t>
                  </w:r>
                </w:p>
              </w:tc>
              <w:tc>
                <w:tcPr>
                  <w:tcW w:w="933" w:type="pct"/>
                  <w:tcBorders>
                    <w:tl2br w:val="nil"/>
                    <w:tr2bl w:val="nil"/>
                  </w:tcBorders>
                  <w:noWrap w:val="0"/>
                  <w:vAlign w:val="center"/>
                </w:tcPr>
                <w:p w14:paraId="64D9FC9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eastAsia="zh-CN"/>
                    </w:rPr>
                    <w:t>粉煤灰</w:t>
                  </w:r>
                </w:p>
              </w:tc>
              <w:tc>
                <w:tcPr>
                  <w:tcW w:w="768" w:type="pct"/>
                  <w:tcBorders>
                    <w:tl2br w:val="nil"/>
                    <w:tr2bl w:val="nil"/>
                  </w:tcBorders>
                  <w:noWrap w:val="0"/>
                  <w:vAlign w:val="center"/>
                </w:tcPr>
                <w:p w14:paraId="14942DE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t</w:t>
                  </w:r>
                  <w:r>
                    <w:rPr>
                      <w:rFonts w:hint="default"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lang w:val="en-US" w:eastAsia="zh-CN"/>
                    </w:rPr>
                    <w:t>a</w:t>
                  </w:r>
                </w:p>
              </w:tc>
              <w:tc>
                <w:tcPr>
                  <w:tcW w:w="1048" w:type="pct"/>
                  <w:tcBorders>
                    <w:tl2br w:val="nil"/>
                    <w:tr2bl w:val="nil"/>
                  </w:tcBorders>
                  <w:noWrap w:val="0"/>
                  <w:vAlign w:val="center"/>
                </w:tcPr>
                <w:p w14:paraId="4A96BA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2800</w:t>
                  </w:r>
                </w:p>
              </w:tc>
              <w:tc>
                <w:tcPr>
                  <w:tcW w:w="1115" w:type="pct"/>
                  <w:tcBorders>
                    <w:tl2br w:val="nil"/>
                    <w:tr2bl w:val="nil"/>
                  </w:tcBorders>
                  <w:noWrap w:val="0"/>
                  <w:vAlign w:val="center"/>
                </w:tcPr>
                <w:p w14:paraId="6525EEF6">
                  <w:pPr>
                    <w:keepNext w:val="0"/>
                    <w:keepLines w:val="0"/>
                    <w:pageBreakBefore w:val="0"/>
                    <w:kinsoku/>
                    <w:wordWrap/>
                    <w:overflowPunct/>
                    <w:topLinePunct w:val="0"/>
                    <w:autoSpaceDE/>
                    <w:autoSpaceDN/>
                    <w:bidi w:val="0"/>
                    <w:adjustRightInd/>
                    <w:snapToGrid/>
                    <w:jc w:val="center"/>
                    <w:rPr>
                      <w:rFonts w:hint="eastAsia" w:ascii="Times New Roman" w:hAnsi="Times New Roman" w:eastAsia="宋体" w:cs="Times New Roman"/>
                      <w:bCs/>
                      <w:color w:val="auto"/>
                      <w:szCs w:val="21"/>
                      <w:highlight w:val="none"/>
                      <w:lang w:eastAsia="zh-CN"/>
                    </w:rPr>
                  </w:pPr>
                  <w:r>
                    <w:rPr>
                      <w:rFonts w:hint="default" w:ascii="Times New Roman" w:hAnsi="Times New Roman" w:eastAsia="宋体" w:cs="Times New Roman"/>
                      <w:bCs/>
                      <w:color w:val="auto"/>
                      <w:szCs w:val="21"/>
                      <w:highlight w:val="none"/>
                    </w:rPr>
                    <w:t>外购</w:t>
                  </w:r>
                </w:p>
              </w:tc>
            </w:tr>
            <w:tr w14:paraId="3159822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restart"/>
                  <w:tcBorders>
                    <w:tl2br w:val="nil"/>
                    <w:tr2bl w:val="nil"/>
                  </w:tcBorders>
                  <w:noWrap w:val="0"/>
                  <w:vAlign w:val="center"/>
                </w:tcPr>
                <w:p w14:paraId="1EAC217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能源消耗</w:t>
                  </w:r>
                </w:p>
              </w:tc>
              <w:tc>
                <w:tcPr>
                  <w:tcW w:w="427" w:type="pct"/>
                  <w:tcBorders>
                    <w:tl2br w:val="nil"/>
                    <w:tr2bl w:val="nil"/>
                  </w:tcBorders>
                  <w:noWrap w:val="0"/>
                  <w:vAlign w:val="center"/>
                </w:tcPr>
                <w:p w14:paraId="77E41CB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w:t>
                  </w:r>
                </w:p>
              </w:tc>
              <w:tc>
                <w:tcPr>
                  <w:tcW w:w="933" w:type="pct"/>
                  <w:tcBorders>
                    <w:tl2br w:val="nil"/>
                    <w:tr2bl w:val="nil"/>
                  </w:tcBorders>
                  <w:noWrap w:val="0"/>
                  <w:vAlign w:val="center"/>
                </w:tcPr>
                <w:p w14:paraId="2788C929">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电</w:t>
                  </w:r>
                </w:p>
              </w:tc>
              <w:tc>
                <w:tcPr>
                  <w:tcW w:w="768" w:type="pct"/>
                  <w:tcBorders>
                    <w:tl2br w:val="nil"/>
                    <w:tr2bl w:val="nil"/>
                  </w:tcBorders>
                  <w:noWrap w:val="0"/>
                  <w:vAlign w:val="center"/>
                </w:tcPr>
                <w:p w14:paraId="09B09790">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万kWh/年</w:t>
                  </w:r>
                </w:p>
              </w:tc>
              <w:tc>
                <w:tcPr>
                  <w:tcW w:w="1048" w:type="pct"/>
                  <w:tcBorders>
                    <w:tl2br w:val="nil"/>
                    <w:tr2bl w:val="nil"/>
                  </w:tcBorders>
                  <w:noWrap w:val="0"/>
                  <w:vAlign w:val="center"/>
                </w:tcPr>
                <w:p w14:paraId="002ED3AE">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28</w:t>
                  </w:r>
                </w:p>
              </w:tc>
              <w:tc>
                <w:tcPr>
                  <w:tcW w:w="1115" w:type="pct"/>
                  <w:tcBorders>
                    <w:tl2br w:val="nil"/>
                    <w:tr2bl w:val="nil"/>
                  </w:tcBorders>
                  <w:noWrap w:val="0"/>
                  <w:vAlign w:val="center"/>
                </w:tcPr>
                <w:p w14:paraId="5B3DE050">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bCs/>
                      <w:color w:val="auto"/>
                      <w:szCs w:val="21"/>
                      <w:highlight w:val="none"/>
                    </w:rPr>
                    <w:t>电网</w:t>
                  </w:r>
                  <w:r>
                    <w:rPr>
                      <w:rFonts w:hint="default" w:ascii="Times New Roman" w:hAnsi="Times New Roman" w:eastAsia="宋体" w:cs="Times New Roman"/>
                      <w:bCs/>
                      <w:color w:val="auto"/>
                      <w:szCs w:val="21"/>
                      <w:highlight w:val="none"/>
                      <w:lang w:val="en-US" w:eastAsia="zh-CN"/>
                    </w:rPr>
                    <w:t>供电</w:t>
                  </w:r>
                </w:p>
              </w:tc>
            </w:tr>
            <w:tr w14:paraId="0C497B8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pct"/>
                  <w:vMerge w:val="continue"/>
                  <w:tcBorders>
                    <w:tl2br w:val="nil"/>
                    <w:tr2bl w:val="nil"/>
                  </w:tcBorders>
                  <w:noWrap w:val="0"/>
                  <w:vAlign w:val="center"/>
                </w:tcPr>
                <w:p w14:paraId="3519271F">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p>
              </w:tc>
              <w:tc>
                <w:tcPr>
                  <w:tcW w:w="427" w:type="pct"/>
                  <w:tcBorders>
                    <w:tl2br w:val="nil"/>
                    <w:tr2bl w:val="nil"/>
                  </w:tcBorders>
                  <w:noWrap w:val="0"/>
                  <w:vAlign w:val="center"/>
                </w:tcPr>
                <w:p w14:paraId="01BCDA1F">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w:t>
                  </w:r>
                </w:p>
              </w:tc>
              <w:tc>
                <w:tcPr>
                  <w:tcW w:w="933" w:type="pct"/>
                  <w:tcBorders>
                    <w:tl2br w:val="nil"/>
                    <w:tr2bl w:val="nil"/>
                  </w:tcBorders>
                  <w:noWrap w:val="0"/>
                  <w:vAlign w:val="center"/>
                </w:tcPr>
                <w:p w14:paraId="5A80F80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水</w:t>
                  </w:r>
                </w:p>
              </w:tc>
              <w:tc>
                <w:tcPr>
                  <w:tcW w:w="768" w:type="pct"/>
                  <w:tcBorders>
                    <w:tl2br w:val="nil"/>
                    <w:tr2bl w:val="nil"/>
                  </w:tcBorders>
                  <w:noWrap w:val="0"/>
                  <w:vAlign w:val="center"/>
                </w:tcPr>
                <w:p w14:paraId="3480CC27">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Cs/>
                      <w:color w:val="auto"/>
                      <w:szCs w:val="21"/>
                      <w:highlight w:val="none"/>
                    </w:rPr>
                    <w:t>m³/a</w:t>
                  </w:r>
                </w:p>
              </w:tc>
              <w:tc>
                <w:tcPr>
                  <w:tcW w:w="1048" w:type="pct"/>
                  <w:tcBorders>
                    <w:tl2br w:val="nil"/>
                    <w:tr2bl w:val="nil"/>
                  </w:tcBorders>
                  <w:noWrap w:val="0"/>
                  <w:vAlign w:val="center"/>
                </w:tcPr>
                <w:p w14:paraId="36B13C40">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26400</w:t>
                  </w:r>
                </w:p>
              </w:tc>
              <w:tc>
                <w:tcPr>
                  <w:tcW w:w="1115" w:type="pct"/>
                  <w:tcBorders>
                    <w:tl2br w:val="nil"/>
                    <w:tr2bl w:val="nil"/>
                  </w:tcBorders>
                  <w:noWrap w:val="0"/>
                  <w:vAlign w:val="center"/>
                </w:tcPr>
                <w:p w14:paraId="415E540A">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bCs/>
                      <w:color w:val="auto"/>
                      <w:szCs w:val="21"/>
                      <w:highlight w:val="none"/>
                      <w:lang w:val="en-US" w:eastAsia="zh-CN"/>
                    </w:rPr>
                    <w:t>罐车拉运</w:t>
                  </w:r>
                </w:p>
              </w:tc>
            </w:tr>
          </w:tbl>
          <w:p w14:paraId="4A8DAE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highlight w:val="none"/>
                <w:lang w:val="en-US" w:eastAsia="zh-CN"/>
              </w:rPr>
            </w:pPr>
            <w:r>
              <w:rPr>
                <w:rFonts w:hint="eastAsia" w:ascii="Times New Roman" w:hAnsi="Times New Roman" w:eastAsia="宋体" w:cs="Times New Roman"/>
                <w:color w:val="auto"/>
                <w:sz w:val="24"/>
                <w:szCs w:val="32"/>
                <w:highlight w:val="none"/>
                <w:lang w:val="en-US" w:eastAsia="zh-CN"/>
              </w:rPr>
              <w:t>①砂石料：是砂和碎石的统称，主要用于混凝土材料中，起骨架作用的颗粒状岩石材料，是土木工程中用量最大的原材料之一。</w:t>
            </w:r>
          </w:p>
          <w:p w14:paraId="5A81EE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highlight w:val="none"/>
                <w:lang w:val="en-US" w:eastAsia="zh-CN"/>
              </w:rPr>
            </w:pPr>
            <w:r>
              <w:rPr>
                <w:rFonts w:hint="eastAsia" w:ascii="Times New Roman" w:hAnsi="Times New Roman" w:eastAsia="宋体" w:cs="Times New Roman"/>
                <w:color w:val="auto"/>
                <w:sz w:val="24"/>
                <w:szCs w:val="32"/>
                <w:highlight w:val="none"/>
                <w:lang w:val="en-US" w:eastAsia="zh-CN"/>
              </w:rPr>
              <w:t>②</w:t>
            </w:r>
            <w:r>
              <w:rPr>
                <w:rFonts w:hint="default" w:ascii="Times New Roman" w:hAnsi="Times New Roman" w:eastAsia="宋体" w:cs="Times New Roman"/>
                <w:color w:val="auto"/>
                <w:sz w:val="24"/>
                <w:szCs w:val="32"/>
                <w:highlight w:val="none"/>
                <w:lang w:val="en-US" w:eastAsia="zh-CN"/>
              </w:rPr>
              <w:t>水泥：水泥由石灰石、粘土、铁矿粉按比例磨细混合，这时候的混合物叫生料。然后进行煅烧，一般温度在1450℃左右，煅烧后的产物叫熟料。然后将熟料和石膏一起磨细，按比例混合，才称之为水泥。化学式：Ca0·Si0</w:t>
            </w:r>
            <w:r>
              <w:rPr>
                <w:rFonts w:hint="default" w:ascii="Times New Roman" w:hAnsi="Times New Roman" w:eastAsia="宋体" w:cs="Times New Roman"/>
                <w:color w:val="auto"/>
                <w:sz w:val="24"/>
                <w:szCs w:val="32"/>
                <w:highlight w:val="none"/>
                <w:vertAlign w:val="subscript"/>
                <w:lang w:val="en-US" w:eastAsia="zh-CN"/>
              </w:rPr>
              <w:t>2</w:t>
            </w:r>
            <w:r>
              <w:rPr>
                <w:rFonts w:hint="default" w:ascii="Times New Roman" w:hAnsi="Times New Roman" w:eastAsia="宋体" w:cs="Times New Roman"/>
                <w:color w:val="auto"/>
                <w:sz w:val="24"/>
                <w:szCs w:val="32"/>
                <w:highlight w:val="none"/>
                <w:lang w:val="en-US" w:eastAsia="zh-CN"/>
              </w:rPr>
              <w:t>·A</w:t>
            </w:r>
            <w:r>
              <w:rPr>
                <w:rFonts w:hint="eastAsia" w:cs="Times New Roman"/>
                <w:color w:val="auto"/>
                <w:sz w:val="24"/>
                <w:szCs w:val="32"/>
                <w:highlight w:val="none"/>
                <w:lang w:val="en-US" w:eastAsia="zh-CN"/>
              </w:rPr>
              <w:t>l</w:t>
            </w:r>
            <w:r>
              <w:rPr>
                <w:rFonts w:hint="default" w:ascii="Times New Roman" w:hAnsi="Times New Roman" w:eastAsia="宋体" w:cs="Times New Roman"/>
                <w:color w:val="auto"/>
                <w:sz w:val="24"/>
                <w:szCs w:val="32"/>
                <w:highlight w:val="none"/>
                <w:vertAlign w:val="subscript"/>
                <w:lang w:val="en-US" w:eastAsia="zh-CN"/>
              </w:rPr>
              <w:t>2</w:t>
            </w:r>
            <w:r>
              <w:rPr>
                <w:rFonts w:hint="default" w:ascii="Times New Roman" w:hAnsi="Times New Roman" w:eastAsia="宋体" w:cs="Times New Roman"/>
                <w:color w:val="auto"/>
                <w:sz w:val="24"/>
                <w:szCs w:val="32"/>
                <w:highlight w:val="none"/>
                <w:lang w:val="en-US" w:eastAsia="zh-CN"/>
              </w:rPr>
              <w:t>0</w:t>
            </w:r>
            <w:r>
              <w:rPr>
                <w:rFonts w:hint="default" w:ascii="Times New Roman" w:hAnsi="Times New Roman" w:eastAsia="宋体" w:cs="Times New Roman"/>
                <w:color w:val="auto"/>
                <w:sz w:val="24"/>
                <w:szCs w:val="32"/>
                <w:highlight w:val="none"/>
                <w:vertAlign w:val="subscript"/>
                <w:lang w:val="en-US" w:eastAsia="zh-CN"/>
              </w:rPr>
              <w:t>3</w:t>
            </w:r>
            <w:r>
              <w:rPr>
                <w:rFonts w:hint="default" w:ascii="Times New Roman" w:hAnsi="Times New Roman" w:eastAsia="宋体" w:cs="Times New Roman"/>
                <w:color w:val="auto"/>
                <w:sz w:val="24"/>
                <w:szCs w:val="32"/>
                <w:highlight w:val="none"/>
                <w:lang w:val="en-US" w:eastAsia="zh-CN"/>
              </w:rPr>
              <w:t>·Fe</w:t>
            </w:r>
            <w:r>
              <w:rPr>
                <w:rFonts w:hint="default" w:ascii="Times New Roman" w:hAnsi="Times New Roman" w:eastAsia="宋体" w:cs="Times New Roman"/>
                <w:color w:val="auto"/>
                <w:sz w:val="24"/>
                <w:szCs w:val="32"/>
                <w:highlight w:val="none"/>
                <w:vertAlign w:val="subscript"/>
                <w:lang w:val="en-US" w:eastAsia="zh-CN"/>
              </w:rPr>
              <w:t>2</w:t>
            </w:r>
            <w:r>
              <w:rPr>
                <w:rFonts w:hint="default" w:ascii="Times New Roman" w:hAnsi="Times New Roman" w:eastAsia="宋体" w:cs="Times New Roman"/>
                <w:color w:val="auto"/>
                <w:sz w:val="24"/>
                <w:szCs w:val="32"/>
                <w:highlight w:val="none"/>
                <w:lang w:val="en-US" w:eastAsia="zh-CN"/>
              </w:rPr>
              <w:t>0</w:t>
            </w:r>
            <w:r>
              <w:rPr>
                <w:rFonts w:hint="default" w:ascii="Times New Roman" w:hAnsi="Times New Roman" w:eastAsia="宋体" w:cs="Times New Roman"/>
                <w:color w:val="auto"/>
                <w:sz w:val="24"/>
                <w:szCs w:val="32"/>
                <w:highlight w:val="none"/>
                <w:vertAlign w:val="subscript"/>
                <w:lang w:val="en-US" w:eastAsia="zh-CN"/>
              </w:rPr>
              <w:t>3</w:t>
            </w:r>
            <w:r>
              <w:rPr>
                <w:rFonts w:hint="default" w:ascii="Times New Roman" w:hAnsi="Times New Roman" w:eastAsia="宋体" w:cs="Times New Roman"/>
                <w:color w:val="auto"/>
                <w:sz w:val="24"/>
                <w:szCs w:val="32"/>
                <w:highlight w:val="none"/>
                <w:lang w:val="en-US" w:eastAsia="zh-CN"/>
              </w:rPr>
              <w:t>（即主要成分是氧化钙、硅酸盐、铝酸盐和氧化铁）。由散装水泥粉罐车到厂后抽吸至水泥筒仓。密度2.8</w:t>
            </w:r>
            <w:r>
              <w:rPr>
                <w:rFonts w:hint="eastAsia" w:ascii="Times New Roman" w:hAnsi="Times New Roman" w:eastAsia="宋体" w:cs="Times New Roman"/>
                <w:color w:val="auto"/>
                <w:sz w:val="24"/>
                <w:szCs w:val="32"/>
                <w:highlight w:val="none"/>
                <w:lang w:val="en-US" w:eastAsia="zh-CN"/>
              </w:rPr>
              <w:t>～</w:t>
            </w:r>
            <w:r>
              <w:rPr>
                <w:rFonts w:hint="default" w:ascii="Times New Roman" w:hAnsi="Times New Roman" w:eastAsia="宋体" w:cs="Times New Roman"/>
                <w:color w:val="auto"/>
                <w:sz w:val="24"/>
                <w:szCs w:val="32"/>
                <w:highlight w:val="none"/>
                <w:lang w:val="en-US" w:eastAsia="zh-CN"/>
              </w:rPr>
              <w:t>3.15g/cm</w:t>
            </w:r>
            <w:r>
              <w:rPr>
                <w:rFonts w:hint="default" w:ascii="Times New Roman" w:hAnsi="Times New Roman" w:eastAsia="宋体" w:cs="Times New Roman"/>
                <w:color w:val="auto"/>
                <w:sz w:val="24"/>
                <w:szCs w:val="32"/>
                <w:highlight w:val="none"/>
                <w:vertAlign w:val="superscript"/>
                <w:lang w:val="en-US" w:eastAsia="zh-CN"/>
              </w:rPr>
              <w:t>3</w:t>
            </w:r>
            <w:r>
              <w:rPr>
                <w:rFonts w:hint="default" w:ascii="Times New Roman" w:hAnsi="Times New Roman" w:eastAsia="宋体" w:cs="Times New Roman"/>
                <w:color w:val="auto"/>
                <w:sz w:val="24"/>
                <w:szCs w:val="32"/>
                <w:highlight w:val="none"/>
                <w:lang w:val="en-US" w:eastAsia="zh-CN"/>
              </w:rPr>
              <w:t>。</w:t>
            </w:r>
          </w:p>
          <w:p w14:paraId="106FEE4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粉煤灰：</w:t>
            </w:r>
            <w:r>
              <w:rPr>
                <w:rFonts w:hint="default" w:ascii="Times New Roman" w:hAnsi="Times New Roman" w:eastAsia="宋体" w:cs="Times New Roman"/>
                <w:i w:val="0"/>
                <w:iCs w:val="0"/>
                <w:caps w:val="0"/>
                <w:color w:val="auto"/>
                <w:spacing w:val="0"/>
                <w:sz w:val="24"/>
                <w:szCs w:val="24"/>
                <w:highlight w:val="none"/>
                <w:shd w:val="clear" w:color="auto" w:fill="FFFFFF"/>
              </w:rPr>
              <w:t>粉煤灰是指从煤燃烧后的烟气中收捕下来的细灰，是燃煤电厂排出的主要固体废物。</w:t>
            </w:r>
            <w:bookmarkStart w:id="5" w:name="ref_1"/>
            <w:bookmarkEnd w:id="5"/>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"https://baike.sogou.com/lemma/ShowInnerLink.htm?lemmaId=5192752&amp;ss_c=ssc.citiao.link"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中国火</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电厂粉煤灰的主要</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"https://baike.sogou.com/lemma/ShowInnerLink.htm?lemmaId=142267&amp;ss_c=ssc.citiao.link"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氧化物</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组成为：</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"https://baike.sogou.com/lemma/ShowInnerLink.htm?lemmaId=151842&amp;ss_c=ssc.citiao.link"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SiO</w:t>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vertAlign w:val="subscript"/>
              </w:rPr>
              <w:t>2</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、Al</w:t>
            </w:r>
            <w:r>
              <w:rPr>
                <w:rFonts w:hint="default" w:ascii="Times New Roman" w:hAnsi="Times New Roman" w:eastAsia="宋体" w:cs="Times New Roman"/>
                <w:i w:val="0"/>
                <w:iCs w:val="0"/>
                <w:caps w:val="0"/>
                <w:color w:val="auto"/>
                <w:spacing w:val="0"/>
                <w:sz w:val="24"/>
                <w:szCs w:val="24"/>
                <w:highlight w:val="none"/>
                <w:shd w:val="clear" w:color="auto" w:fill="FFFFFF"/>
                <w:vertAlign w:val="subscript"/>
              </w:rPr>
              <w:t>2</w:t>
            </w:r>
            <w:r>
              <w:rPr>
                <w:rFonts w:hint="default" w:ascii="Times New Roman" w:hAnsi="Times New Roman" w:eastAsia="宋体" w:cs="Times New Roman"/>
                <w:i w:val="0"/>
                <w:iCs w:val="0"/>
                <w:caps w:val="0"/>
                <w:color w:val="auto"/>
                <w:spacing w:val="0"/>
                <w:sz w:val="24"/>
                <w:szCs w:val="24"/>
                <w:highlight w:val="none"/>
                <w:shd w:val="clear" w:color="auto" w:fill="FFFFFF"/>
              </w:rPr>
              <w:t>O</w:t>
            </w:r>
            <w:r>
              <w:rPr>
                <w:rFonts w:hint="default" w:ascii="Times New Roman" w:hAnsi="Times New Roman" w:eastAsia="宋体" w:cs="Times New Roman"/>
                <w:i w:val="0"/>
                <w:iCs w:val="0"/>
                <w:caps w:val="0"/>
                <w:color w:val="auto"/>
                <w:spacing w:val="0"/>
                <w:sz w:val="24"/>
                <w:szCs w:val="24"/>
                <w:highlight w:val="none"/>
                <w:shd w:val="clear" w:color="auto" w:fill="FFFFFF"/>
                <w:vertAlign w:val="subscript"/>
              </w:rPr>
              <w:t>3</w:t>
            </w:r>
            <w:r>
              <w:rPr>
                <w:rFonts w:hint="default" w:ascii="Times New Roman" w:hAnsi="Times New Roman" w:eastAsia="宋体" w:cs="Times New Roman"/>
                <w:i w:val="0"/>
                <w:iCs w:val="0"/>
                <w:caps w:val="0"/>
                <w:color w:val="auto"/>
                <w:spacing w:val="0"/>
                <w:sz w:val="24"/>
                <w:szCs w:val="24"/>
                <w:highlight w:val="none"/>
                <w:shd w:val="clear" w:color="auto" w:fill="FFFFFF"/>
              </w:rPr>
              <w:t>、FeO、</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"https://baike.sogou.com/lemma/ShowInnerLink.htm?lemmaId=546316&amp;ss_c=ssc.citiao.link"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Fe</w:t>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vertAlign w:val="subscript"/>
              </w:rPr>
              <w:t>2</w:t>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O</w:t>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vertAlign w:val="subscript"/>
              </w:rPr>
              <w:t>3</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、CaO、</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"https://baike.sogou.com/lemma/ShowInnerLink.htm?lemmaId=338472&amp;ss_c=ssc.citiao.link"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TiO</w:t>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vertAlign w:val="subscript"/>
              </w:rPr>
              <w:t>2</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等。粉煤灰外观类似水泥，颜色在乳白色到灰黑色之间变化。粉煤灰的颜色是一项重要的质量指标，可以反映含碳量的多少和差异。在一定程度上也可以反映粉煤灰的细度，颜色越深粉煤灰粒度越细，含碳量越高。粉煤灰就有低钙粉煤灰和</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"https://baike.sogou.com/lemma/ShowInnerLink.htm?lemmaId=73221886&amp;ss_c=ssc.citiao.link"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高钙粉煤灰</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之分。通常高钙粉煤灰的颜色偏黄</w:t>
            </w: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w:t>
            </w:r>
            <w:r>
              <w:rPr>
                <w:rFonts w:hint="default" w:ascii="Times New Roman" w:hAnsi="Times New Roman" w:eastAsia="宋体" w:cs="Times New Roman"/>
                <w:i w:val="0"/>
                <w:iCs w:val="0"/>
                <w:caps w:val="0"/>
                <w:color w:val="auto"/>
                <w:spacing w:val="0"/>
                <w:sz w:val="24"/>
                <w:szCs w:val="24"/>
                <w:highlight w:val="none"/>
                <w:shd w:val="clear" w:color="auto" w:fill="FFFFFF"/>
              </w:rPr>
              <w:t>低钙粉煤灰的颜色偏灰。粉煤灰颗粒呈多孔型蜂窝状组织，比表面积较大，具有较高的吸附活性，颗粒的粒径范围为0.5~300μm。并且珠壁具有多孔结构，</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begin"/>
            </w:r>
            <w:r>
              <w:rPr>
                <w:rFonts w:hint="default" w:ascii="Times New Roman" w:hAnsi="Times New Roman" w:eastAsia="宋体" w:cs="Times New Roman"/>
                <w:i w:val="0"/>
                <w:iCs w:val="0"/>
                <w:caps w:val="0"/>
                <w:color w:val="auto"/>
                <w:spacing w:val="0"/>
                <w:sz w:val="24"/>
                <w:szCs w:val="24"/>
                <w:highlight w:val="none"/>
                <w:u w:val="none"/>
                <w:shd w:val="clear" w:color="auto" w:fill="FFFFFF"/>
              </w:rPr>
              <w:instrText xml:space="preserve"> HYPERLINK "https://baike.sogou.com/lemma/ShowInnerLink.htm?lemmaId=489162&amp;ss_c=ssc.citiao.link" \t "https://baike.sogou.com/_blank" </w:instrTex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separate"/>
            </w:r>
            <w:r>
              <w:rPr>
                <w:rStyle w:val="34"/>
                <w:rFonts w:hint="default" w:ascii="Times New Roman" w:hAnsi="Times New Roman" w:eastAsia="宋体" w:cs="Times New Roman"/>
                <w:i w:val="0"/>
                <w:iCs w:val="0"/>
                <w:caps w:val="0"/>
                <w:color w:val="auto"/>
                <w:spacing w:val="0"/>
                <w:sz w:val="24"/>
                <w:szCs w:val="24"/>
                <w:highlight w:val="none"/>
                <w:u w:val="none"/>
                <w:shd w:val="clear" w:color="auto" w:fill="FFFFFF"/>
              </w:rPr>
              <w:t>孔隙率</w:t>
            </w:r>
            <w:r>
              <w:rPr>
                <w:rFonts w:hint="default" w:ascii="Times New Roman" w:hAnsi="Times New Roman" w:eastAsia="宋体" w:cs="Times New Roman"/>
                <w:i w:val="0"/>
                <w:iCs w:val="0"/>
                <w:caps w:val="0"/>
                <w:color w:val="auto"/>
                <w:spacing w:val="0"/>
                <w:sz w:val="24"/>
                <w:szCs w:val="24"/>
                <w:highlight w:val="none"/>
                <w:u w:val="none"/>
                <w:shd w:val="clear" w:color="auto" w:fill="FFFFFF"/>
              </w:rPr>
              <w:fldChar w:fldCharType="end"/>
            </w:r>
            <w:r>
              <w:rPr>
                <w:rFonts w:hint="default" w:ascii="Times New Roman" w:hAnsi="Times New Roman" w:eastAsia="宋体" w:cs="Times New Roman"/>
                <w:i w:val="0"/>
                <w:iCs w:val="0"/>
                <w:caps w:val="0"/>
                <w:color w:val="auto"/>
                <w:spacing w:val="0"/>
                <w:sz w:val="24"/>
                <w:szCs w:val="24"/>
                <w:highlight w:val="none"/>
                <w:shd w:val="clear" w:color="auto" w:fill="FFFFFF"/>
              </w:rPr>
              <w:t>高达50%</w:t>
            </w:r>
            <w:r>
              <w:rPr>
                <w:rFonts w:hint="eastAsia" w:ascii="Times New Roman" w:hAnsi="Times New Roman" w:eastAsia="宋体" w:cs="Times New Roman"/>
                <w:i w:val="0"/>
                <w:iCs w:val="0"/>
                <w:caps w:val="0"/>
                <w:color w:val="auto"/>
                <w:spacing w:val="0"/>
                <w:sz w:val="24"/>
                <w:szCs w:val="24"/>
                <w:highlight w:val="none"/>
                <w:shd w:val="clear" w:color="auto" w:fill="FFFFFF"/>
                <w:lang w:eastAsia="zh-CN"/>
              </w:rPr>
              <w:t>～</w:t>
            </w:r>
            <w:r>
              <w:rPr>
                <w:rFonts w:hint="default" w:ascii="Times New Roman" w:hAnsi="Times New Roman" w:eastAsia="宋体" w:cs="Times New Roman"/>
                <w:i w:val="0"/>
                <w:iCs w:val="0"/>
                <w:caps w:val="0"/>
                <w:color w:val="auto"/>
                <w:spacing w:val="0"/>
                <w:sz w:val="24"/>
                <w:szCs w:val="24"/>
                <w:highlight w:val="none"/>
                <w:shd w:val="clear" w:color="auto" w:fill="FFFFFF"/>
              </w:rPr>
              <w:t>80%，有很强的吸水性。</w:t>
            </w:r>
          </w:p>
          <w:p w14:paraId="0D59D3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auto"/>
                <w:spacing w:val="0"/>
                <w:sz w:val="24"/>
                <w:szCs w:val="24"/>
                <w:lang w:val="en-US" w:eastAsia="zh-CN"/>
              </w:rPr>
            </w:pPr>
            <w:r>
              <w:rPr>
                <w:rFonts w:hint="eastAsia" w:cs="Times New Roman"/>
                <w:i w:val="0"/>
                <w:iCs w:val="0"/>
                <w:caps w:val="0"/>
                <w:color w:val="auto"/>
                <w:spacing w:val="0"/>
                <w:sz w:val="24"/>
                <w:szCs w:val="24"/>
                <w:highlight w:val="none"/>
                <w:shd w:val="clear" w:color="auto" w:fill="FFFFFF"/>
                <w:lang w:val="en-US" w:eastAsia="zh-CN"/>
              </w:rPr>
              <w:t>④</w:t>
            </w:r>
            <w:r>
              <w:rPr>
                <w:rFonts w:hint="default" w:ascii="Times New Roman" w:hAnsi="Times New Roman" w:eastAsia="宋体" w:cs="Times New Roman"/>
                <w:bCs/>
                <w:color w:val="auto"/>
                <w:sz w:val="24"/>
                <w:highlight w:val="none"/>
                <w:lang w:val="en-US" w:eastAsia="zh-CN"/>
              </w:rPr>
              <w:t>外加剂：主要为减水剂，它是一种减水率高，缓凝和引气作用极小的混凝土外加剂。以磷酸基为主要官能团的高效减水剂包括：改性木质素磺酸盐（MLS）、萘系（NSF）、三聚氰胺系（MSF）、氨基磺酸系（ASF）等。</w:t>
            </w:r>
            <w:r>
              <w:rPr>
                <w:rFonts w:hint="eastAsia" w:ascii="Times New Roman" w:hAnsi="Times New Roman" w:eastAsia="宋体" w:cs="Times New Roman"/>
                <w:bCs/>
                <w:color w:val="auto"/>
                <w:sz w:val="24"/>
                <w:highlight w:val="none"/>
                <w:lang w:val="en-US" w:eastAsia="zh-CN"/>
              </w:rPr>
              <w:t>它们</w:t>
            </w:r>
            <w:r>
              <w:rPr>
                <w:rFonts w:hint="default" w:ascii="Times New Roman" w:hAnsi="Times New Roman" w:eastAsia="宋体" w:cs="Times New Roman"/>
                <w:bCs/>
                <w:color w:val="auto"/>
                <w:sz w:val="24"/>
                <w:highlight w:val="none"/>
                <w:lang w:val="en-US" w:eastAsia="zh-CN"/>
              </w:rPr>
              <w:t>分子结构单元中都含有磺酸基，最佳的分子结构一般为</w:t>
            </w:r>
            <w:r>
              <w:rPr>
                <w:rFonts w:hint="eastAsia" w:ascii="Times New Roman" w:hAnsi="Times New Roman" w:eastAsia="宋体" w:cs="Times New Roman"/>
                <w:bCs/>
                <w:color w:val="auto"/>
                <w:sz w:val="24"/>
                <w:highlight w:val="none"/>
                <w:lang w:val="en-US" w:eastAsia="zh-CN"/>
              </w:rPr>
              <w:t>线性</w:t>
            </w:r>
            <w:r>
              <w:rPr>
                <w:rFonts w:hint="default" w:ascii="Times New Roman" w:hAnsi="Times New Roman" w:eastAsia="宋体" w:cs="Times New Roman"/>
                <w:bCs/>
                <w:color w:val="auto"/>
                <w:sz w:val="24"/>
                <w:highlight w:val="none"/>
                <w:lang w:val="en-US" w:eastAsia="zh-CN"/>
              </w:rPr>
              <w:t>的主链，并同时有多个长支链，主要通过缩合反应得到。混凝土减水剂对混凝土的作用主要</w:t>
            </w:r>
            <w:r>
              <w:rPr>
                <w:rFonts w:hint="eastAsia" w:cs="Times New Roman"/>
                <w:bCs/>
                <w:color w:val="auto"/>
                <w:sz w:val="24"/>
                <w:highlight w:val="none"/>
                <w:lang w:val="en-US" w:eastAsia="zh-CN"/>
              </w:rPr>
              <w:t>是</w:t>
            </w:r>
            <w:r>
              <w:rPr>
                <w:rFonts w:hint="default" w:ascii="Times New Roman" w:hAnsi="Times New Roman" w:eastAsia="宋体" w:cs="Times New Roman"/>
                <w:bCs/>
                <w:color w:val="auto"/>
                <w:sz w:val="24"/>
                <w:highlight w:val="none"/>
                <w:lang w:val="en-US" w:eastAsia="zh-CN"/>
              </w:rPr>
              <w:t>表面活性作用，减水剂本身并不与水泥产生化学反应。</w:t>
            </w:r>
          </w:p>
          <w:p w14:paraId="30D1672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2.6公用工程</w:t>
            </w:r>
          </w:p>
          <w:p w14:paraId="13DA27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（1）给水</w:t>
            </w:r>
          </w:p>
          <w:p w14:paraId="36650E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本项目用水</w:t>
            </w:r>
            <w:r>
              <w:rPr>
                <w:rFonts w:hint="eastAsia" w:cs="Times New Roman"/>
                <w:bCs/>
                <w:color w:val="auto"/>
                <w:sz w:val="24"/>
                <w:szCs w:val="24"/>
                <w:lang w:val="en-US" w:eastAsia="zh-CN"/>
              </w:rPr>
              <w:t>由罐车</w:t>
            </w:r>
            <w:r>
              <w:rPr>
                <w:rFonts w:hint="eastAsia" w:ascii="Times New Roman" w:hAnsi="Times New Roman" w:cs="Times New Roman"/>
                <w:bCs/>
                <w:color w:val="auto"/>
                <w:sz w:val="24"/>
                <w:szCs w:val="24"/>
                <w:lang w:val="en-US" w:eastAsia="zh-CN"/>
              </w:rPr>
              <w:t>就近拉运。</w:t>
            </w:r>
          </w:p>
          <w:p w14:paraId="05404B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①生产用水</w:t>
            </w:r>
          </w:p>
          <w:p w14:paraId="3F4B8A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生产用水主要是混合搅拌站用水，根据建设单位提供资料为</w:t>
            </w:r>
            <w:r>
              <w:rPr>
                <w:rFonts w:hint="eastAsia"/>
                <w:color w:val="auto"/>
                <w:sz w:val="24"/>
                <w:lang w:val="en-US" w:eastAsia="zh-CN"/>
              </w:rPr>
              <w:t>16500</w:t>
            </w:r>
            <w:r>
              <w:rPr>
                <w:rFonts w:hint="eastAsia"/>
                <w:color w:val="auto"/>
                <w:sz w:val="24"/>
              </w:rPr>
              <w:t>m</w:t>
            </w:r>
            <w:r>
              <w:rPr>
                <w:rFonts w:hint="eastAsia"/>
                <w:color w:val="auto"/>
                <w:sz w:val="24"/>
                <w:vertAlign w:val="superscript"/>
              </w:rPr>
              <w:t>3</w:t>
            </w:r>
            <w:r>
              <w:rPr>
                <w:rFonts w:hint="eastAsia"/>
                <w:color w:val="auto"/>
                <w:sz w:val="24"/>
              </w:rPr>
              <w:t>/a，</w:t>
            </w:r>
            <w:r>
              <w:rPr>
                <w:rFonts w:hint="eastAsia"/>
                <w:color w:val="auto"/>
                <w:sz w:val="24"/>
                <w:lang w:val="en-US" w:eastAsia="zh-CN"/>
              </w:rPr>
              <w:t>其中新鲜用水15972</w:t>
            </w:r>
            <w:r>
              <w:rPr>
                <w:rFonts w:hint="eastAsia"/>
                <w:color w:val="auto"/>
                <w:sz w:val="24"/>
              </w:rPr>
              <w:t>m</w:t>
            </w:r>
            <w:r>
              <w:rPr>
                <w:rFonts w:hint="eastAsia"/>
                <w:color w:val="auto"/>
                <w:sz w:val="24"/>
                <w:vertAlign w:val="superscript"/>
              </w:rPr>
              <w:t>3</w:t>
            </w:r>
            <w:r>
              <w:rPr>
                <w:rFonts w:hint="eastAsia"/>
                <w:color w:val="auto"/>
                <w:sz w:val="24"/>
              </w:rPr>
              <w:t>/a</w:t>
            </w:r>
            <w:r>
              <w:rPr>
                <w:rFonts w:hint="eastAsia"/>
                <w:color w:val="auto"/>
                <w:sz w:val="24"/>
                <w:lang w:val="en-US" w:eastAsia="zh-CN"/>
              </w:rPr>
              <w:t>，</w:t>
            </w:r>
            <w:r>
              <w:rPr>
                <w:rFonts w:hint="eastAsia"/>
                <w:color w:val="auto"/>
                <w:sz w:val="24"/>
              </w:rPr>
              <w:t>该部分水进入产品</w:t>
            </w:r>
            <w:r>
              <w:rPr>
                <w:rFonts w:hint="eastAsia"/>
                <w:color w:val="auto"/>
                <w:sz w:val="24"/>
                <w:lang w:eastAsia="zh-CN"/>
              </w:rPr>
              <w:t>；</w:t>
            </w:r>
            <w:r>
              <w:rPr>
                <w:rFonts w:hint="eastAsia"/>
                <w:color w:val="auto"/>
                <w:sz w:val="24"/>
                <w:lang w:val="en-US" w:eastAsia="zh-CN"/>
              </w:rPr>
              <w:t>其中回用水来自搅拌设备清洗水，回用水量528m</w:t>
            </w:r>
            <w:r>
              <w:rPr>
                <w:rFonts w:hint="eastAsia"/>
                <w:color w:val="auto"/>
                <w:sz w:val="24"/>
                <w:vertAlign w:val="superscript"/>
                <w:lang w:val="en-US" w:eastAsia="zh-CN"/>
              </w:rPr>
              <w:t>3</w:t>
            </w:r>
            <w:r>
              <w:rPr>
                <w:rFonts w:hint="eastAsia"/>
                <w:color w:val="auto"/>
                <w:sz w:val="24"/>
                <w:lang w:val="en-US" w:eastAsia="zh-CN"/>
              </w:rPr>
              <w:t>/a</w:t>
            </w:r>
            <w:r>
              <w:rPr>
                <w:rFonts w:hint="eastAsia"/>
                <w:color w:val="auto"/>
                <w:sz w:val="24"/>
              </w:rPr>
              <w:t>。</w:t>
            </w:r>
          </w:p>
          <w:p w14:paraId="3C9546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②喷淋用水</w:t>
            </w:r>
          </w:p>
          <w:p w14:paraId="081B3E46">
            <w:pPr>
              <w:spacing w:line="360" w:lineRule="auto"/>
              <w:ind w:firstLine="480" w:firstLineChars="200"/>
              <w:rPr>
                <w:color w:val="auto"/>
                <w:sz w:val="24"/>
              </w:rPr>
            </w:pPr>
            <w:r>
              <w:rPr>
                <w:rFonts w:hint="eastAsia"/>
                <w:color w:val="auto"/>
                <w:sz w:val="24"/>
              </w:rPr>
              <w:t>项目拟在</w:t>
            </w:r>
            <w:r>
              <w:rPr>
                <w:rFonts w:hint="eastAsia"/>
                <w:color w:val="auto"/>
                <w:sz w:val="24"/>
                <w:lang w:val="en-US" w:eastAsia="zh-CN"/>
              </w:rPr>
              <w:t>砂石</w:t>
            </w:r>
            <w:r>
              <w:rPr>
                <w:rFonts w:hint="eastAsia"/>
                <w:color w:val="auto"/>
                <w:sz w:val="24"/>
              </w:rPr>
              <w:t>原料储存区安装水雾喷淋装置，根据建设单位提供资料，拟设置</w:t>
            </w:r>
            <w:r>
              <w:rPr>
                <w:rFonts w:hint="eastAsia"/>
                <w:color w:val="auto"/>
                <w:sz w:val="24"/>
                <w:lang w:val="en-US" w:eastAsia="zh-CN"/>
              </w:rPr>
              <w:t>10</w:t>
            </w:r>
            <w:r>
              <w:rPr>
                <w:rFonts w:hint="eastAsia"/>
                <w:color w:val="auto"/>
                <w:sz w:val="24"/>
              </w:rPr>
              <w:t>个喷头，单个喷头耗水量0.</w:t>
            </w:r>
            <w:r>
              <w:rPr>
                <w:rFonts w:hint="eastAsia"/>
                <w:color w:val="auto"/>
                <w:sz w:val="24"/>
                <w:lang w:val="en-US" w:eastAsia="zh-CN"/>
              </w:rPr>
              <w:t>1</w:t>
            </w:r>
            <w:r>
              <w:rPr>
                <w:rFonts w:hint="eastAsia"/>
                <w:color w:val="auto"/>
                <w:sz w:val="24"/>
              </w:rPr>
              <w:t>m</w:t>
            </w:r>
            <w:r>
              <w:rPr>
                <w:rFonts w:hint="eastAsia"/>
                <w:color w:val="auto"/>
                <w:sz w:val="24"/>
                <w:vertAlign w:val="superscript"/>
              </w:rPr>
              <w:t>3</w:t>
            </w:r>
            <w:r>
              <w:rPr>
                <w:rFonts w:hint="eastAsia"/>
                <w:color w:val="auto"/>
                <w:sz w:val="24"/>
              </w:rPr>
              <w:t>/h，平均每天喷淋时间</w:t>
            </w:r>
            <w:r>
              <w:rPr>
                <w:rFonts w:hint="eastAsia"/>
                <w:color w:val="auto"/>
                <w:sz w:val="24"/>
                <w:lang w:val="en-US" w:eastAsia="zh-CN"/>
              </w:rPr>
              <w:t>8</w:t>
            </w:r>
            <w:r>
              <w:rPr>
                <w:rFonts w:hint="eastAsia"/>
                <w:color w:val="auto"/>
                <w:sz w:val="24"/>
              </w:rPr>
              <w:t>h，则喷淋用水量为</w:t>
            </w:r>
            <w:r>
              <w:rPr>
                <w:rFonts w:hint="eastAsia"/>
                <w:color w:val="auto"/>
                <w:sz w:val="24"/>
                <w:lang w:val="en-US" w:eastAsia="zh-CN"/>
              </w:rPr>
              <w:t>2640</w:t>
            </w:r>
            <w:r>
              <w:rPr>
                <w:rFonts w:hint="eastAsia"/>
                <w:color w:val="auto"/>
                <w:sz w:val="24"/>
              </w:rPr>
              <w:t>m</w:t>
            </w:r>
            <w:r>
              <w:rPr>
                <w:rFonts w:hint="eastAsia"/>
                <w:color w:val="auto"/>
                <w:sz w:val="24"/>
                <w:vertAlign w:val="superscript"/>
              </w:rPr>
              <w:t>3</w:t>
            </w:r>
            <w:r>
              <w:rPr>
                <w:rFonts w:hint="eastAsia"/>
                <w:color w:val="auto"/>
                <w:sz w:val="24"/>
              </w:rPr>
              <w:t>/a，该部分水蒸发。</w:t>
            </w:r>
          </w:p>
          <w:p w14:paraId="1DDB8C1F">
            <w:pPr>
              <w:spacing w:line="360" w:lineRule="auto"/>
              <w:ind w:firstLine="480" w:firstLineChars="200"/>
              <w:rPr>
                <w:rFonts w:hint="eastAsia"/>
                <w:color w:val="auto"/>
                <w:sz w:val="24"/>
              </w:rPr>
            </w:pPr>
            <w:r>
              <w:rPr>
                <w:rFonts w:hint="eastAsia"/>
                <w:color w:val="auto"/>
                <w:sz w:val="24"/>
              </w:rPr>
              <w:t>③地面降尘用水</w:t>
            </w:r>
          </w:p>
          <w:p w14:paraId="4C1FF1AB">
            <w:pPr>
              <w:spacing w:line="360" w:lineRule="auto"/>
              <w:ind w:firstLine="480" w:firstLineChars="200"/>
              <w:rPr>
                <w:color w:val="auto"/>
                <w:sz w:val="24"/>
              </w:rPr>
            </w:pPr>
            <w:r>
              <w:rPr>
                <w:rFonts w:hint="eastAsia"/>
                <w:color w:val="auto"/>
                <w:sz w:val="24"/>
              </w:rPr>
              <w:t>由于物料装卸及车辆运输，道路及卸料场地容易起尘，需不定时洒水降尘，用水量按0.02m</w:t>
            </w:r>
            <w:r>
              <w:rPr>
                <w:rFonts w:hint="eastAsia"/>
                <w:color w:val="auto"/>
                <w:sz w:val="24"/>
                <w:vertAlign w:val="superscript"/>
              </w:rPr>
              <w:t>3</w:t>
            </w:r>
            <w:r>
              <w:rPr>
                <w:rFonts w:hint="eastAsia"/>
                <w:color w:val="auto"/>
                <w:sz w:val="24"/>
              </w:rPr>
              <w:t>/</w:t>
            </w:r>
            <w:r>
              <w:rPr>
                <w:color w:val="auto"/>
                <w:sz w:val="24"/>
              </w:rPr>
              <w:t>m</w:t>
            </w:r>
            <w:r>
              <w:rPr>
                <w:color w:val="auto"/>
                <w:sz w:val="24"/>
                <w:vertAlign w:val="superscript"/>
              </w:rPr>
              <w:t>2</w:t>
            </w:r>
            <w:r>
              <w:rPr>
                <w:color w:val="auto"/>
                <w:sz w:val="24"/>
              </w:rPr>
              <w:t>·d</w:t>
            </w:r>
            <w:r>
              <w:rPr>
                <w:rFonts w:hint="eastAsia"/>
                <w:color w:val="auto"/>
                <w:sz w:val="24"/>
              </w:rPr>
              <w:t>估算，洒水面积按</w:t>
            </w:r>
            <w:r>
              <w:rPr>
                <w:rFonts w:hint="eastAsia"/>
                <w:color w:val="auto"/>
                <w:sz w:val="24"/>
                <w:lang w:val="en-US" w:eastAsia="zh-CN"/>
              </w:rPr>
              <w:t>10</w:t>
            </w:r>
            <w:r>
              <w:rPr>
                <w:rFonts w:hint="eastAsia"/>
                <w:color w:val="auto"/>
                <w:sz w:val="24"/>
              </w:rPr>
              <w:t>00m</w:t>
            </w:r>
            <w:r>
              <w:rPr>
                <w:rFonts w:hint="eastAsia"/>
                <w:color w:val="auto"/>
                <w:sz w:val="24"/>
                <w:vertAlign w:val="superscript"/>
              </w:rPr>
              <w:t>2</w:t>
            </w:r>
            <w:r>
              <w:rPr>
                <w:rFonts w:hint="eastAsia"/>
                <w:color w:val="auto"/>
                <w:sz w:val="24"/>
              </w:rPr>
              <w:t>考虑，则用水量为</w:t>
            </w:r>
            <w:r>
              <w:rPr>
                <w:rFonts w:hint="eastAsia"/>
                <w:color w:val="auto"/>
                <w:sz w:val="24"/>
                <w:lang w:val="en-US" w:eastAsia="zh-CN"/>
              </w:rPr>
              <w:t>6600</w:t>
            </w:r>
            <w:r>
              <w:rPr>
                <w:rFonts w:hint="eastAsia"/>
                <w:color w:val="auto"/>
                <w:sz w:val="24"/>
              </w:rPr>
              <w:t>m</w:t>
            </w:r>
            <w:r>
              <w:rPr>
                <w:rFonts w:hint="eastAsia"/>
                <w:color w:val="auto"/>
                <w:sz w:val="24"/>
                <w:vertAlign w:val="superscript"/>
              </w:rPr>
              <w:t>3</w:t>
            </w:r>
            <w:r>
              <w:rPr>
                <w:rFonts w:hint="eastAsia"/>
                <w:color w:val="auto"/>
                <w:sz w:val="24"/>
              </w:rPr>
              <w:t>/a，该部分水蒸发。</w:t>
            </w:r>
          </w:p>
          <w:p w14:paraId="7EE3A4F0">
            <w:pPr>
              <w:spacing w:line="360" w:lineRule="auto"/>
              <w:ind w:firstLine="480" w:firstLineChars="200"/>
              <w:rPr>
                <w:color w:val="auto"/>
                <w:sz w:val="24"/>
              </w:rPr>
            </w:pPr>
            <w:r>
              <w:rPr>
                <w:rFonts w:hint="eastAsia"/>
                <w:color w:val="auto"/>
                <w:sz w:val="24"/>
              </w:rPr>
              <w:t>④清洗用水</w:t>
            </w:r>
          </w:p>
          <w:p w14:paraId="46BD2291">
            <w:pPr>
              <w:spacing w:line="360" w:lineRule="auto"/>
              <w:ind w:firstLine="480" w:firstLineChars="200"/>
              <w:rPr>
                <w:color w:val="auto"/>
                <w:sz w:val="24"/>
              </w:rPr>
            </w:pPr>
            <w:r>
              <w:rPr>
                <w:rFonts w:hint="eastAsia"/>
                <w:color w:val="auto"/>
                <w:sz w:val="24"/>
              </w:rPr>
              <w:t>搅拌机</w:t>
            </w:r>
            <w:r>
              <w:rPr>
                <w:rFonts w:hint="eastAsia"/>
                <w:color w:val="auto"/>
                <w:sz w:val="24"/>
                <w:szCs w:val="24"/>
                <w:lang w:eastAsia="zh-CN"/>
              </w:rPr>
              <w:t>、</w:t>
            </w:r>
            <w:r>
              <w:rPr>
                <w:rFonts w:hint="eastAsia" w:ascii="Times New Roman" w:hAnsi="Times New Roman" w:eastAsia="宋体" w:cs="Times New Roman"/>
                <w:bCs/>
                <w:color w:val="auto"/>
                <w:spacing w:val="-6"/>
                <w:sz w:val="24"/>
                <w:szCs w:val="24"/>
                <w:lang w:val="en-US" w:eastAsia="zh-CN"/>
              </w:rPr>
              <w:t>商混运输车</w:t>
            </w:r>
            <w:r>
              <w:rPr>
                <w:rFonts w:hint="eastAsia"/>
                <w:color w:val="auto"/>
                <w:sz w:val="24"/>
              </w:rPr>
              <w:t>为本项目的主要生产设备，其在暂时停产时必须冲洗干净，防止</w:t>
            </w:r>
            <w:r>
              <w:rPr>
                <w:rFonts w:hint="eastAsia"/>
                <w:color w:val="auto"/>
                <w:sz w:val="24"/>
                <w:lang w:val="en-US" w:eastAsia="zh-CN"/>
              </w:rPr>
              <w:t>设备</w:t>
            </w:r>
            <w:r>
              <w:rPr>
                <w:rFonts w:hint="eastAsia"/>
                <w:color w:val="auto"/>
                <w:sz w:val="24"/>
              </w:rPr>
              <w:t>内混凝土结块。冲洗水以</w:t>
            </w:r>
            <w:r>
              <w:rPr>
                <w:rFonts w:hint="eastAsia"/>
                <w:color w:val="auto"/>
                <w:sz w:val="24"/>
                <w:lang w:val="en-US" w:eastAsia="zh-CN"/>
              </w:rPr>
              <w:t>2</w:t>
            </w:r>
            <w:r>
              <w:rPr>
                <w:rFonts w:hint="eastAsia"/>
                <w:color w:val="auto"/>
                <w:sz w:val="24"/>
              </w:rPr>
              <w:t>.0m</w:t>
            </w:r>
            <w:r>
              <w:rPr>
                <w:rFonts w:hint="eastAsia"/>
                <w:color w:val="auto"/>
                <w:sz w:val="24"/>
                <w:vertAlign w:val="superscript"/>
              </w:rPr>
              <w:t>3</w:t>
            </w:r>
            <w:r>
              <w:rPr>
                <w:rFonts w:hint="eastAsia"/>
                <w:color w:val="auto"/>
                <w:sz w:val="24"/>
              </w:rPr>
              <w:t>/d计，则清洗用水量为</w:t>
            </w:r>
            <w:r>
              <w:rPr>
                <w:rFonts w:hint="eastAsia"/>
                <w:color w:val="auto"/>
                <w:sz w:val="24"/>
                <w:lang w:val="en-US" w:eastAsia="zh-CN"/>
              </w:rPr>
              <w:t>660</w:t>
            </w:r>
            <w:r>
              <w:rPr>
                <w:rFonts w:hint="eastAsia"/>
                <w:color w:val="auto"/>
                <w:sz w:val="24"/>
              </w:rPr>
              <w:t>m</w:t>
            </w:r>
            <w:r>
              <w:rPr>
                <w:rFonts w:hint="eastAsia"/>
                <w:color w:val="auto"/>
                <w:sz w:val="24"/>
                <w:vertAlign w:val="superscript"/>
              </w:rPr>
              <w:t>3</w:t>
            </w:r>
            <w:r>
              <w:rPr>
                <w:rFonts w:hint="eastAsia"/>
                <w:color w:val="auto"/>
                <w:sz w:val="24"/>
              </w:rPr>
              <w:t>/a。</w:t>
            </w:r>
          </w:p>
          <w:p w14:paraId="32694863">
            <w:pPr>
              <w:spacing w:line="360" w:lineRule="auto"/>
              <w:ind w:firstLine="480" w:firstLineChars="200"/>
              <w:rPr>
                <w:rFonts w:hint="eastAsia"/>
                <w:color w:val="auto"/>
                <w:sz w:val="24"/>
                <w:szCs w:val="24"/>
              </w:rPr>
            </w:pPr>
            <w:r>
              <w:rPr>
                <w:rFonts w:hint="eastAsia"/>
                <w:color w:val="auto"/>
                <w:sz w:val="24"/>
                <w:szCs w:val="24"/>
              </w:rPr>
              <w:t>⑤生活用水</w:t>
            </w:r>
          </w:p>
          <w:p w14:paraId="1771039E">
            <w:pPr>
              <w:spacing w:line="360" w:lineRule="auto"/>
              <w:ind w:firstLine="480" w:firstLineChars="200"/>
              <w:rPr>
                <w:rFonts w:ascii="Times New Roman" w:cs="Times New Roman"/>
                <w:b w:val="0"/>
                <w:bCs/>
                <w:color w:val="auto"/>
                <w:sz w:val="24"/>
                <w:szCs w:val="24"/>
              </w:rPr>
            </w:pPr>
            <w:r>
              <w:rPr>
                <w:rFonts w:ascii="Times New Roman" w:eastAsia="宋体" w:cs="Times New Roman"/>
                <w:b w:val="0"/>
                <w:bCs/>
                <w:color w:val="auto"/>
                <w:sz w:val="24"/>
                <w:szCs w:val="24"/>
              </w:rPr>
              <w:t>根据《新疆维吾尔自治区生活用水定额》中</w:t>
            </w:r>
            <w:r>
              <w:rPr>
                <w:rFonts w:hint="eastAsia" w:ascii="Times New Roman" w:eastAsia="宋体" w:cs="Times New Roman"/>
                <w:b w:val="0"/>
                <w:bCs/>
                <w:color w:val="auto"/>
                <w:sz w:val="24"/>
                <w:szCs w:val="24"/>
                <w:lang w:val="en-US" w:eastAsia="zh-CN"/>
              </w:rPr>
              <w:t>农村</w:t>
            </w:r>
            <w:r>
              <w:rPr>
                <w:rFonts w:hint="eastAsia" w:ascii="Times New Roman" w:eastAsia="宋体" w:cs="Times New Roman"/>
                <w:b w:val="0"/>
                <w:bCs/>
                <w:color w:val="auto"/>
                <w:sz w:val="24"/>
                <w:szCs w:val="24"/>
              </w:rPr>
              <w:t>居民住宅</w:t>
            </w:r>
            <w:r>
              <w:rPr>
                <w:rFonts w:ascii="Times New Roman" w:eastAsia="宋体" w:cs="Times New Roman"/>
                <w:b w:val="0"/>
                <w:bCs/>
                <w:color w:val="auto"/>
                <w:sz w:val="24"/>
                <w:szCs w:val="24"/>
              </w:rPr>
              <w:t>用水定额为</w:t>
            </w:r>
            <w:r>
              <w:rPr>
                <w:rFonts w:hint="eastAsia" w:ascii="Times New Roman" w:eastAsia="宋体" w:cs="Times New Roman"/>
                <w:b w:val="0"/>
                <w:bCs/>
                <w:color w:val="auto"/>
                <w:sz w:val="24"/>
                <w:szCs w:val="24"/>
              </w:rPr>
              <w:t>75</w:t>
            </w:r>
            <w:r>
              <w:rPr>
                <w:rFonts w:ascii="Times New Roman" w:eastAsia="宋体" w:cs="Times New Roman"/>
                <w:b w:val="0"/>
                <w:bCs/>
                <w:color w:val="auto"/>
                <w:sz w:val="24"/>
                <w:szCs w:val="24"/>
              </w:rPr>
              <w:t>-</w:t>
            </w:r>
            <w:r>
              <w:rPr>
                <w:rFonts w:hint="eastAsia" w:ascii="Times New Roman" w:eastAsia="宋体" w:cs="Times New Roman"/>
                <w:b w:val="0"/>
                <w:bCs/>
                <w:color w:val="auto"/>
                <w:sz w:val="24"/>
                <w:szCs w:val="24"/>
              </w:rPr>
              <w:t>8</w:t>
            </w:r>
            <w:r>
              <w:rPr>
                <w:rFonts w:ascii="Times New Roman" w:eastAsia="宋体" w:cs="Times New Roman"/>
                <w:b w:val="0"/>
                <w:bCs/>
                <w:color w:val="auto"/>
                <w:sz w:val="24"/>
                <w:szCs w:val="24"/>
              </w:rPr>
              <w:t>0L/人·日。为计算用水的最大影响，本次职工生活用水取最大值，即</w:t>
            </w:r>
            <w:r>
              <w:rPr>
                <w:rFonts w:hint="eastAsia" w:ascii="Times New Roman" w:eastAsia="宋体" w:cs="Times New Roman"/>
                <w:b w:val="0"/>
                <w:bCs/>
                <w:color w:val="auto"/>
                <w:sz w:val="24"/>
                <w:szCs w:val="24"/>
              </w:rPr>
              <w:t>8</w:t>
            </w:r>
            <w:r>
              <w:rPr>
                <w:rFonts w:ascii="Times New Roman" w:eastAsia="宋体" w:cs="Times New Roman"/>
                <w:b w:val="0"/>
                <w:bCs/>
                <w:color w:val="auto"/>
                <w:sz w:val="24"/>
                <w:szCs w:val="24"/>
              </w:rPr>
              <w:t>0L/人·日。</w:t>
            </w:r>
            <w:r>
              <w:rPr>
                <w:rFonts w:hint="eastAsia" w:ascii="Times New Roman" w:eastAsia="宋体" w:cs="Times New Roman"/>
                <w:b w:val="0"/>
                <w:bCs/>
                <w:color w:val="auto"/>
                <w:sz w:val="24"/>
                <w:szCs w:val="24"/>
              </w:rPr>
              <w:t>因此本项目用水</w:t>
            </w:r>
            <w:r>
              <w:rPr>
                <w:rFonts w:ascii="Times New Roman" w:eastAsia="宋体" w:cs="Times New Roman"/>
                <w:b w:val="0"/>
                <w:bCs/>
                <w:color w:val="auto"/>
                <w:sz w:val="24"/>
                <w:szCs w:val="24"/>
              </w:rPr>
              <w:t>量为</w:t>
            </w:r>
            <w:r>
              <w:rPr>
                <w:rFonts w:hint="eastAsia" w:ascii="Times New Roman" w:eastAsia="宋体" w:cs="Times New Roman"/>
                <w:b w:val="0"/>
                <w:bCs/>
                <w:color w:val="auto"/>
                <w:sz w:val="24"/>
                <w:szCs w:val="24"/>
                <w:lang w:val="en-US" w:eastAsia="zh-CN"/>
              </w:rPr>
              <w:t>528</w:t>
            </w:r>
            <w:r>
              <w:rPr>
                <w:rFonts w:ascii="Times New Roman" w:cs="Times New Roman"/>
                <w:b w:val="0"/>
                <w:bCs/>
                <w:color w:val="auto"/>
                <w:sz w:val="24"/>
                <w:szCs w:val="24"/>
              </w:rPr>
              <w:t>m</w:t>
            </w:r>
            <w:r>
              <w:rPr>
                <w:rFonts w:ascii="Times New Roman" w:cs="Times New Roman"/>
                <w:b w:val="0"/>
                <w:bCs/>
                <w:color w:val="auto"/>
                <w:sz w:val="24"/>
                <w:szCs w:val="24"/>
                <w:vertAlign w:val="superscript"/>
              </w:rPr>
              <w:t>3</w:t>
            </w:r>
            <w:r>
              <w:rPr>
                <w:rFonts w:ascii="Times New Roman" w:cs="Times New Roman"/>
                <w:b w:val="0"/>
                <w:bCs/>
                <w:color w:val="auto"/>
                <w:sz w:val="24"/>
                <w:szCs w:val="24"/>
              </w:rPr>
              <w:t>/a（</w:t>
            </w:r>
            <w:r>
              <w:rPr>
                <w:rFonts w:hint="eastAsia" w:ascii="Times New Roman" w:cs="Times New Roman"/>
                <w:b w:val="0"/>
                <w:bCs/>
                <w:color w:val="auto"/>
                <w:sz w:val="24"/>
                <w:szCs w:val="24"/>
                <w:lang w:val="en-US" w:eastAsia="zh-CN"/>
              </w:rPr>
              <w:t>1.6</w:t>
            </w:r>
            <w:r>
              <w:rPr>
                <w:rFonts w:ascii="Times New Roman" w:cs="Times New Roman"/>
                <w:b w:val="0"/>
                <w:bCs/>
                <w:color w:val="auto"/>
                <w:sz w:val="24"/>
                <w:szCs w:val="24"/>
              </w:rPr>
              <w:t>m</w:t>
            </w:r>
            <w:r>
              <w:rPr>
                <w:rFonts w:ascii="Times New Roman" w:cs="Times New Roman"/>
                <w:b w:val="0"/>
                <w:bCs/>
                <w:color w:val="auto"/>
                <w:sz w:val="24"/>
                <w:szCs w:val="24"/>
                <w:vertAlign w:val="superscript"/>
              </w:rPr>
              <w:t>3</w:t>
            </w:r>
            <w:r>
              <w:rPr>
                <w:rFonts w:ascii="Times New Roman" w:cs="Times New Roman"/>
                <w:b w:val="0"/>
                <w:bCs/>
                <w:color w:val="auto"/>
                <w:sz w:val="24"/>
                <w:szCs w:val="24"/>
              </w:rPr>
              <w:t>/d）。</w:t>
            </w:r>
          </w:p>
          <w:p w14:paraId="3DF6973D">
            <w:pPr>
              <w:spacing w:line="360" w:lineRule="auto"/>
              <w:ind w:firstLine="480" w:firstLineChars="200"/>
              <w:rPr>
                <w:rFonts w:hint="eastAsia"/>
                <w:color w:val="auto"/>
                <w:sz w:val="24"/>
              </w:rPr>
            </w:pPr>
            <w:r>
              <w:rPr>
                <w:rFonts w:hint="eastAsia"/>
                <w:color w:val="auto"/>
                <w:sz w:val="24"/>
              </w:rPr>
              <w:t>（2）排水</w:t>
            </w:r>
          </w:p>
          <w:p w14:paraId="0915F2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color w:val="auto"/>
                <w:sz w:val="24"/>
              </w:rPr>
              <w:t>项目商品混凝土生产过程中的用水全部消耗，喷淋用水、地面降尘用水和绿化用水全部蒸发损耗，项目产生的废水主要为</w:t>
            </w:r>
            <w:r>
              <w:rPr>
                <w:rFonts w:hint="eastAsia"/>
                <w:color w:val="auto"/>
                <w:sz w:val="24"/>
                <w:lang w:val="en-US" w:eastAsia="zh-CN"/>
              </w:rPr>
              <w:t>商混站</w:t>
            </w:r>
            <w:r>
              <w:rPr>
                <w:rFonts w:hint="eastAsia"/>
                <w:color w:val="auto"/>
                <w:sz w:val="24"/>
              </w:rPr>
              <w:t>清洗废水</w:t>
            </w:r>
            <w:r>
              <w:rPr>
                <w:rFonts w:hint="eastAsia"/>
                <w:color w:val="auto"/>
                <w:sz w:val="24"/>
                <w:lang w:val="en-US" w:eastAsia="zh-CN"/>
              </w:rPr>
              <w:t>和项目区生活污水</w:t>
            </w:r>
            <w:r>
              <w:rPr>
                <w:rFonts w:hint="eastAsia"/>
                <w:color w:val="auto"/>
                <w:sz w:val="24"/>
              </w:rPr>
              <w:t>。</w:t>
            </w:r>
          </w:p>
          <w:p w14:paraId="1FC23F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eastAsia="宋体" w:cs="Times New Roman"/>
                <w:b w:val="0"/>
                <w:bCs/>
                <w:color w:val="auto"/>
                <w:kern w:val="2"/>
                <w:sz w:val="24"/>
                <w:szCs w:val="24"/>
              </w:rPr>
            </w:pPr>
            <w:r>
              <w:rPr>
                <w:rFonts w:hint="eastAsia" w:ascii="Times New Roman" w:hAnsi="Times New Roman" w:eastAsia="宋体" w:cs="Times New Roman"/>
                <w:b w:val="0"/>
                <w:bCs/>
                <w:color w:val="auto"/>
                <w:kern w:val="2"/>
                <w:sz w:val="24"/>
                <w:szCs w:val="24"/>
                <w:lang w:val="en-US" w:eastAsia="zh-CN" w:bidi="ar-SA"/>
              </w:rPr>
              <w:t>搅拌机、商混运输车清洗</w:t>
            </w:r>
            <w:r>
              <w:rPr>
                <w:rFonts w:hint="eastAsia" w:ascii="Times New Roman" w:eastAsia="宋体" w:cs="Times New Roman"/>
                <w:b w:val="0"/>
                <w:bCs/>
                <w:color w:val="auto"/>
                <w:kern w:val="2"/>
                <w:sz w:val="24"/>
                <w:szCs w:val="24"/>
              </w:rPr>
              <w:t>废水产生系数按80%计算，则</w:t>
            </w:r>
            <w:r>
              <w:rPr>
                <w:rFonts w:hint="eastAsia" w:ascii="Times New Roman" w:hAnsi="Times New Roman" w:eastAsia="宋体" w:cs="Times New Roman"/>
                <w:b w:val="0"/>
                <w:bCs/>
                <w:color w:val="auto"/>
                <w:kern w:val="2"/>
                <w:sz w:val="24"/>
                <w:szCs w:val="24"/>
                <w:lang w:val="en-US" w:eastAsia="zh-CN" w:bidi="ar-SA"/>
              </w:rPr>
              <w:t>清洗废</w:t>
            </w:r>
            <w:r>
              <w:rPr>
                <w:rFonts w:hint="eastAsia" w:ascii="Times New Roman" w:eastAsia="宋体" w:cs="Times New Roman"/>
                <w:b w:val="0"/>
                <w:bCs/>
                <w:color w:val="auto"/>
                <w:kern w:val="2"/>
                <w:sz w:val="24"/>
                <w:szCs w:val="24"/>
              </w:rPr>
              <w:t>水产生量为</w:t>
            </w:r>
            <w:r>
              <w:rPr>
                <w:rFonts w:hint="eastAsia" w:ascii="Times New Roman" w:eastAsia="宋体" w:cs="Times New Roman"/>
                <w:b w:val="0"/>
                <w:bCs/>
                <w:color w:val="auto"/>
                <w:kern w:val="2"/>
                <w:sz w:val="24"/>
                <w:szCs w:val="24"/>
                <w:lang w:val="en-US" w:eastAsia="zh-CN"/>
              </w:rPr>
              <w:t>528</w:t>
            </w:r>
            <w:r>
              <w:rPr>
                <w:rFonts w:hint="eastAsia" w:ascii="Times New Roman" w:eastAsia="宋体" w:cs="Times New Roman"/>
                <w:b w:val="0"/>
                <w:bCs/>
                <w:color w:val="auto"/>
                <w:kern w:val="2"/>
                <w:sz w:val="24"/>
                <w:szCs w:val="24"/>
              </w:rPr>
              <w:t>m</w:t>
            </w:r>
            <w:r>
              <w:rPr>
                <w:rFonts w:hint="eastAsia" w:ascii="Times New Roman" w:eastAsia="宋体" w:cs="Times New Roman"/>
                <w:b w:val="0"/>
                <w:bCs/>
                <w:color w:val="auto"/>
                <w:kern w:val="2"/>
                <w:sz w:val="24"/>
                <w:szCs w:val="24"/>
                <w:vertAlign w:val="superscript"/>
              </w:rPr>
              <w:t>3</w:t>
            </w:r>
            <w:r>
              <w:rPr>
                <w:rFonts w:hint="eastAsia" w:ascii="Times New Roman" w:eastAsia="宋体" w:cs="Times New Roman"/>
                <w:b w:val="0"/>
                <w:bCs/>
                <w:color w:val="auto"/>
                <w:kern w:val="2"/>
                <w:sz w:val="24"/>
                <w:szCs w:val="24"/>
              </w:rPr>
              <w:t>/a（</w:t>
            </w:r>
            <w:r>
              <w:rPr>
                <w:rFonts w:hint="eastAsia" w:ascii="Times New Roman" w:eastAsia="宋体" w:cs="Times New Roman"/>
                <w:b w:val="0"/>
                <w:bCs/>
                <w:color w:val="auto"/>
                <w:kern w:val="2"/>
                <w:sz w:val="24"/>
                <w:szCs w:val="24"/>
                <w:lang w:val="en-US" w:eastAsia="zh-CN"/>
              </w:rPr>
              <w:t>1.6</w:t>
            </w:r>
            <w:r>
              <w:rPr>
                <w:rFonts w:hint="eastAsia" w:ascii="Times New Roman" w:eastAsia="宋体" w:cs="Times New Roman"/>
                <w:b w:val="0"/>
                <w:bCs/>
                <w:color w:val="auto"/>
                <w:kern w:val="2"/>
                <w:sz w:val="24"/>
                <w:szCs w:val="24"/>
              </w:rPr>
              <w:t>m</w:t>
            </w:r>
            <w:r>
              <w:rPr>
                <w:rFonts w:hint="eastAsia" w:ascii="Times New Roman" w:eastAsia="宋体" w:cs="Times New Roman"/>
                <w:b w:val="0"/>
                <w:bCs/>
                <w:color w:val="auto"/>
                <w:kern w:val="2"/>
                <w:sz w:val="24"/>
                <w:szCs w:val="24"/>
                <w:vertAlign w:val="superscript"/>
              </w:rPr>
              <w:t>3</w:t>
            </w:r>
            <w:r>
              <w:rPr>
                <w:rFonts w:hint="eastAsia" w:ascii="Times New Roman" w:eastAsia="宋体" w:cs="Times New Roman"/>
                <w:b w:val="0"/>
                <w:bCs/>
                <w:color w:val="auto"/>
                <w:kern w:val="2"/>
                <w:sz w:val="24"/>
                <w:szCs w:val="24"/>
              </w:rPr>
              <w:t>/d），经</w:t>
            </w:r>
            <w:r>
              <w:rPr>
                <w:rFonts w:hint="eastAsia" w:ascii="Times New Roman" w:eastAsia="宋体" w:cs="Times New Roman"/>
                <w:b w:val="0"/>
                <w:bCs/>
                <w:color w:val="auto"/>
                <w:kern w:val="2"/>
                <w:sz w:val="24"/>
                <w:szCs w:val="24"/>
                <w:lang w:val="en-US" w:eastAsia="zh-CN"/>
              </w:rPr>
              <w:t>沉淀</w:t>
            </w:r>
            <w:r>
              <w:rPr>
                <w:rFonts w:hint="eastAsia" w:ascii="Times New Roman" w:eastAsia="宋体" w:cs="Times New Roman"/>
                <w:b w:val="0"/>
                <w:bCs/>
                <w:color w:val="auto"/>
                <w:kern w:val="2"/>
                <w:sz w:val="24"/>
                <w:szCs w:val="24"/>
              </w:rPr>
              <w:t>分离后回用生产。</w:t>
            </w:r>
          </w:p>
          <w:p w14:paraId="1E0AF598">
            <w:pPr>
              <w:spacing w:line="360" w:lineRule="auto"/>
              <w:ind w:firstLine="480" w:firstLineChars="200"/>
              <w:rPr>
                <w:rFonts w:hint="eastAsia" w:ascii="Times New Roman" w:eastAsia="宋体" w:cs="Times New Roman"/>
                <w:b w:val="0"/>
                <w:bCs/>
                <w:color w:val="auto"/>
                <w:kern w:val="2"/>
                <w:sz w:val="24"/>
                <w:szCs w:val="24"/>
              </w:rPr>
            </w:pPr>
            <w:r>
              <w:rPr>
                <w:rFonts w:hint="eastAsia" w:ascii="Times New Roman" w:eastAsia="宋体" w:cs="Times New Roman"/>
                <w:b w:val="0"/>
                <w:bCs/>
                <w:color w:val="auto"/>
                <w:kern w:val="2"/>
                <w:sz w:val="24"/>
                <w:szCs w:val="24"/>
              </w:rPr>
              <w:t>生活污水产生量按照用水量的80%计算，则项目工作人员产生的污水量为</w:t>
            </w:r>
            <w:r>
              <w:rPr>
                <w:rFonts w:hint="eastAsia" w:ascii="Times New Roman" w:eastAsia="宋体" w:cs="Times New Roman"/>
                <w:b w:val="0"/>
                <w:bCs/>
                <w:color w:val="auto"/>
                <w:kern w:val="2"/>
                <w:sz w:val="24"/>
                <w:szCs w:val="24"/>
                <w:lang w:val="en-US" w:eastAsia="zh-CN"/>
              </w:rPr>
              <w:t>422.4</w:t>
            </w:r>
            <w:r>
              <w:rPr>
                <w:rFonts w:ascii="Times New Roman" w:eastAsia="宋体" w:cs="Times New Roman"/>
                <w:b w:val="0"/>
                <w:bCs/>
                <w:color w:val="auto"/>
                <w:kern w:val="2"/>
                <w:sz w:val="24"/>
                <w:szCs w:val="24"/>
              </w:rPr>
              <w:t>m</w:t>
            </w:r>
            <w:r>
              <w:rPr>
                <w:rFonts w:ascii="Times New Roman" w:eastAsia="宋体" w:cs="Times New Roman"/>
                <w:b w:val="0"/>
                <w:bCs/>
                <w:color w:val="auto"/>
                <w:kern w:val="2"/>
                <w:sz w:val="24"/>
                <w:szCs w:val="24"/>
                <w:vertAlign w:val="superscript"/>
              </w:rPr>
              <w:t>3</w:t>
            </w:r>
            <w:r>
              <w:rPr>
                <w:rFonts w:ascii="Times New Roman" w:eastAsia="宋体" w:cs="Times New Roman"/>
                <w:b w:val="0"/>
                <w:bCs/>
                <w:color w:val="auto"/>
                <w:kern w:val="2"/>
                <w:sz w:val="24"/>
                <w:szCs w:val="24"/>
              </w:rPr>
              <w:t>/a（</w:t>
            </w:r>
            <w:r>
              <w:rPr>
                <w:rFonts w:hint="eastAsia" w:ascii="Times New Roman" w:eastAsia="宋体" w:cs="Times New Roman"/>
                <w:b w:val="0"/>
                <w:bCs/>
                <w:color w:val="auto"/>
                <w:kern w:val="2"/>
                <w:sz w:val="24"/>
                <w:szCs w:val="24"/>
                <w:lang w:val="en-US" w:eastAsia="zh-CN"/>
              </w:rPr>
              <w:t>1.28</w:t>
            </w:r>
            <w:r>
              <w:rPr>
                <w:rFonts w:ascii="Times New Roman" w:eastAsia="宋体" w:cs="Times New Roman"/>
                <w:b w:val="0"/>
                <w:bCs/>
                <w:color w:val="auto"/>
                <w:kern w:val="2"/>
                <w:sz w:val="24"/>
                <w:szCs w:val="24"/>
              </w:rPr>
              <w:t>m</w:t>
            </w:r>
            <w:r>
              <w:rPr>
                <w:rFonts w:ascii="Times New Roman" w:eastAsia="宋体" w:cs="Times New Roman"/>
                <w:b w:val="0"/>
                <w:bCs/>
                <w:color w:val="auto"/>
                <w:kern w:val="2"/>
                <w:sz w:val="24"/>
                <w:szCs w:val="24"/>
                <w:vertAlign w:val="superscript"/>
              </w:rPr>
              <w:t>3</w:t>
            </w:r>
            <w:r>
              <w:rPr>
                <w:rFonts w:ascii="Times New Roman" w:eastAsia="宋体" w:cs="Times New Roman"/>
                <w:b w:val="0"/>
                <w:bCs/>
                <w:color w:val="auto"/>
                <w:kern w:val="2"/>
                <w:sz w:val="24"/>
                <w:szCs w:val="24"/>
              </w:rPr>
              <w:t>/d）。</w:t>
            </w:r>
            <w:r>
              <w:rPr>
                <w:rFonts w:hint="eastAsia" w:ascii="Times New Roman" w:eastAsia="宋体" w:cs="Times New Roman"/>
                <w:b w:val="0"/>
                <w:bCs/>
                <w:color w:val="auto"/>
                <w:kern w:val="2"/>
                <w:sz w:val="24"/>
                <w:szCs w:val="24"/>
              </w:rPr>
              <w:t>项目区工作人员产生的生活污水</w:t>
            </w:r>
            <w:r>
              <w:rPr>
                <w:rFonts w:hint="eastAsia" w:ascii="宋体" w:hAnsi="宋体" w:eastAsia="宋体" w:cs="宋体"/>
                <w:i w:val="0"/>
                <w:iCs w:val="0"/>
                <w:color w:val="auto"/>
                <w:sz w:val="24"/>
                <w:szCs w:val="24"/>
                <w:u w:val="none"/>
                <w:lang w:val="en-US" w:eastAsia="zh-CN"/>
              </w:rPr>
              <w:t>依托高速公路配套生活区</w:t>
            </w:r>
            <w:r>
              <w:rPr>
                <w:rFonts w:hint="eastAsia" w:ascii="Times New Roman" w:eastAsia="宋体" w:cs="Times New Roman"/>
                <w:b w:val="0"/>
                <w:bCs/>
                <w:color w:val="auto"/>
                <w:kern w:val="2"/>
                <w:sz w:val="24"/>
                <w:szCs w:val="24"/>
                <w:lang w:val="en-US" w:eastAsia="zh-CN"/>
              </w:rPr>
              <w:t>一体化污水设备，处理达到《城市污水再生利用城市杂用水水质》（GB/T18920-2020）标准后回用绿化、道路清扫</w:t>
            </w:r>
            <w:r>
              <w:rPr>
                <w:rFonts w:hint="eastAsia" w:ascii="Times New Roman" w:eastAsia="宋体" w:cs="Times New Roman"/>
                <w:b w:val="0"/>
                <w:bCs/>
                <w:color w:val="auto"/>
                <w:kern w:val="2"/>
                <w:sz w:val="24"/>
                <w:szCs w:val="24"/>
              </w:rPr>
              <w:t>。项目水平衡见图2.1。</w:t>
            </w:r>
          </w:p>
          <w:p w14:paraId="5AA8B3F5">
            <w:pPr>
              <w:spacing w:line="360" w:lineRule="auto"/>
              <w:ind w:firstLine="480" w:firstLineChars="200"/>
              <w:rPr>
                <w:color w:val="auto"/>
                <w:sz w:val="24"/>
              </w:rPr>
            </w:pPr>
            <w:r>
              <w:rPr>
                <w:rFonts w:hint="eastAsia"/>
                <w:color w:val="auto"/>
                <w:sz w:val="24"/>
              </w:rPr>
              <w:t>（3）供暖</w:t>
            </w:r>
          </w:p>
          <w:p w14:paraId="7B9D8A2A">
            <w:pPr>
              <w:spacing w:line="360" w:lineRule="auto"/>
              <w:ind w:firstLine="480" w:firstLineChars="200"/>
              <w:rPr>
                <w:color w:val="auto"/>
                <w:sz w:val="24"/>
              </w:rPr>
            </w:pPr>
            <w:r>
              <w:rPr>
                <w:rFonts w:hint="eastAsia"/>
                <w:color w:val="auto"/>
                <w:sz w:val="24"/>
              </w:rPr>
              <w:t>采用</w:t>
            </w:r>
            <w:r>
              <w:rPr>
                <w:rFonts w:hint="eastAsia"/>
                <w:color w:val="auto"/>
                <w:sz w:val="24"/>
                <w:lang w:val="en-US" w:eastAsia="zh-CN"/>
              </w:rPr>
              <w:t>电锅炉</w:t>
            </w:r>
            <w:r>
              <w:rPr>
                <w:rFonts w:hint="eastAsia"/>
                <w:color w:val="auto"/>
                <w:sz w:val="24"/>
              </w:rPr>
              <w:t>供暖。</w:t>
            </w:r>
          </w:p>
          <w:p w14:paraId="7F1EA855">
            <w:pPr>
              <w:spacing w:line="360" w:lineRule="auto"/>
              <w:ind w:firstLine="480" w:firstLineChars="200"/>
              <w:rPr>
                <w:rFonts w:hint="eastAsia"/>
                <w:color w:val="auto"/>
                <w:sz w:val="24"/>
              </w:rPr>
            </w:pPr>
            <w:r>
              <w:rPr>
                <w:rFonts w:hint="eastAsia"/>
                <w:color w:val="auto"/>
                <w:sz w:val="24"/>
              </w:rPr>
              <w:t>（4）供电</w:t>
            </w:r>
          </w:p>
          <w:p w14:paraId="27AA8D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eastAsia="宋体" w:cs="Times New Roman"/>
                <w:b w:val="0"/>
                <w:bCs/>
                <w:color w:val="auto"/>
                <w:kern w:val="2"/>
                <w:sz w:val="24"/>
                <w:szCs w:val="24"/>
                <w:lang w:val="en-US" w:eastAsia="zh-CN"/>
              </w:rPr>
            </w:pPr>
            <w:r>
              <w:rPr>
                <w:rFonts w:hint="eastAsia"/>
                <w:color w:val="auto"/>
                <w:sz w:val="24"/>
              </w:rPr>
              <w:t>本项目运营期供电由国家电网统一供给。</w:t>
            </w:r>
          </w:p>
          <w:p w14:paraId="4F99145F">
            <w:pPr>
              <w:spacing w:line="360" w:lineRule="auto"/>
              <w:rPr>
                <w:b/>
                <w:bCs/>
                <w:color w:val="auto"/>
                <w:sz w:val="24"/>
              </w:rPr>
            </w:pPr>
            <w:r>
              <w:rPr>
                <w:rFonts w:hint="eastAsia"/>
                <w:b/>
                <w:bCs/>
                <w:color w:val="auto"/>
                <w:sz w:val="24"/>
              </w:rPr>
              <w:t>2.</w:t>
            </w:r>
            <w:r>
              <w:rPr>
                <w:rFonts w:hint="eastAsia"/>
                <w:b/>
                <w:bCs/>
                <w:color w:val="auto"/>
                <w:sz w:val="24"/>
                <w:lang w:val="en-US" w:eastAsia="zh-CN"/>
              </w:rPr>
              <w:t>7</w:t>
            </w:r>
            <w:r>
              <w:rPr>
                <w:rFonts w:hint="eastAsia"/>
                <w:b/>
                <w:bCs/>
                <w:color w:val="auto"/>
                <w:sz w:val="24"/>
              </w:rPr>
              <w:t>劳动定员及工作制度</w:t>
            </w:r>
          </w:p>
          <w:p w14:paraId="0350191E">
            <w:pPr>
              <w:spacing w:line="360" w:lineRule="auto"/>
              <w:ind w:firstLine="480" w:firstLineChars="200"/>
              <w:rPr>
                <w:rFonts w:hint="eastAsia" w:ascii="Times New Roman" w:eastAsia="宋体" w:cs="Times New Roman"/>
                <w:b w:val="0"/>
                <w:bCs/>
                <w:color w:val="auto"/>
                <w:kern w:val="2"/>
                <w:sz w:val="24"/>
                <w:szCs w:val="24"/>
              </w:rPr>
            </w:pPr>
            <w:r>
              <w:rPr>
                <w:rFonts w:hint="eastAsia"/>
                <w:color w:val="auto"/>
                <w:sz w:val="24"/>
              </w:rPr>
              <w:t>项目劳动定员</w:t>
            </w:r>
            <w:r>
              <w:rPr>
                <w:rFonts w:hint="eastAsia"/>
                <w:color w:val="auto"/>
                <w:sz w:val="24"/>
                <w:lang w:val="en-US" w:eastAsia="zh-CN"/>
              </w:rPr>
              <w:t>20</w:t>
            </w:r>
            <w:r>
              <w:rPr>
                <w:rFonts w:hint="eastAsia"/>
                <w:color w:val="auto"/>
                <w:sz w:val="24"/>
              </w:rPr>
              <w:t>人，工作制度为</w:t>
            </w:r>
            <w:r>
              <w:rPr>
                <w:rFonts w:hint="eastAsia"/>
                <w:color w:val="auto"/>
                <w:sz w:val="24"/>
                <w:lang w:val="en-US" w:eastAsia="zh-CN"/>
              </w:rPr>
              <w:t>两</w:t>
            </w:r>
            <w:r>
              <w:rPr>
                <w:rFonts w:hint="eastAsia"/>
                <w:color w:val="auto"/>
                <w:sz w:val="24"/>
              </w:rPr>
              <w:t>班制，每班</w:t>
            </w:r>
            <w:r>
              <w:rPr>
                <w:rFonts w:hint="eastAsia"/>
                <w:color w:val="auto"/>
                <w:sz w:val="24"/>
                <w:lang w:val="en-US" w:eastAsia="zh-CN"/>
              </w:rPr>
              <w:t>12</w:t>
            </w:r>
            <w:r>
              <w:rPr>
                <w:rFonts w:hint="eastAsia"/>
                <w:color w:val="auto"/>
                <w:sz w:val="24"/>
              </w:rPr>
              <w:t>h工作制，年工作天数</w:t>
            </w:r>
            <w:r>
              <w:rPr>
                <w:rFonts w:hint="eastAsia"/>
                <w:color w:val="auto"/>
                <w:sz w:val="24"/>
                <w:lang w:val="en-US" w:eastAsia="zh-CN"/>
              </w:rPr>
              <w:t>330</w:t>
            </w:r>
            <w:r>
              <w:rPr>
                <w:rFonts w:hint="eastAsia"/>
                <w:color w:val="auto"/>
                <w:sz w:val="24"/>
              </w:rPr>
              <w:t>天。</w:t>
            </w:r>
          </w:p>
          <w:p w14:paraId="2BA37430">
            <w:pPr>
              <w:spacing w:line="360" w:lineRule="auto"/>
              <w:jc w:val="center"/>
              <w:rPr>
                <w:rFonts w:hint="eastAsia" w:eastAsia="宋体"/>
                <w:color w:val="auto"/>
                <w:sz w:val="24"/>
                <w:lang w:eastAsia="zh-CN"/>
              </w:rPr>
            </w:pPr>
            <w:r>
              <w:rPr>
                <w:rFonts w:hint="eastAsia"/>
                <w:b/>
                <w:bCs/>
                <w:color w:val="auto"/>
                <w:szCs w:val="21"/>
              </w:rPr>
              <w:object>
                <v:shape id="_x0000_i1025" o:spt="75" type="#_x0000_t75" style="height:298.8pt;width:397.1pt;" o:ole="t" filled="f" o:preferrelative="t" stroked="f" coordsize="21600,21600">
                  <v:path/>
                  <v:fill on="f" focussize="0,0"/>
                  <v:stroke on="f"/>
                  <v:imagedata r:id="rId8" o:title=""/>
                  <o:lock v:ext="edit" aspectratio="f"/>
                  <w10:wrap type="none"/>
                  <w10:anchorlock/>
                </v:shape>
                <o:OLEObject Type="Embed" ProgID="Visio.Drawing.15" ShapeID="_x0000_i1025" DrawAspect="Content" ObjectID="_1468075725" r:id="rId7">
                  <o:LockedField>false</o:LockedField>
                </o:OLEObject>
              </w:object>
            </w:r>
            <w:r>
              <w:rPr>
                <w:rFonts w:hint="eastAsia"/>
                <w:b/>
                <w:bCs/>
                <w:color w:val="auto"/>
                <w:szCs w:val="21"/>
              </w:rPr>
              <w:t>图2.1  项目水平衡图  单位：m</w:t>
            </w:r>
            <w:r>
              <w:rPr>
                <w:rFonts w:hint="eastAsia"/>
                <w:b/>
                <w:bCs/>
                <w:color w:val="auto"/>
                <w:szCs w:val="21"/>
                <w:vertAlign w:val="superscript"/>
              </w:rPr>
              <w:t>3</w:t>
            </w:r>
            <w:r>
              <w:rPr>
                <w:rFonts w:hint="eastAsia"/>
                <w:b/>
                <w:bCs/>
                <w:color w:val="auto"/>
                <w:szCs w:val="21"/>
              </w:rPr>
              <w:t>/</w:t>
            </w:r>
            <w:r>
              <w:rPr>
                <w:rFonts w:hint="eastAsia"/>
                <w:b/>
                <w:bCs/>
                <w:color w:val="auto"/>
                <w:szCs w:val="21"/>
                <w:lang w:val="en-US" w:eastAsia="zh-CN"/>
              </w:rPr>
              <w:t>a</w:t>
            </w:r>
          </w:p>
          <w:p w14:paraId="569C5A24">
            <w:pPr>
              <w:spacing w:line="360" w:lineRule="auto"/>
              <w:rPr>
                <w:b/>
                <w:bCs/>
                <w:color w:val="auto"/>
                <w:sz w:val="24"/>
              </w:rPr>
            </w:pPr>
            <w:r>
              <w:rPr>
                <w:rFonts w:hint="eastAsia"/>
                <w:b/>
                <w:bCs/>
                <w:color w:val="auto"/>
                <w:sz w:val="24"/>
              </w:rPr>
              <w:t>2.</w:t>
            </w:r>
            <w:r>
              <w:rPr>
                <w:rFonts w:hint="eastAsia"/>
                <w:b/>
                <w:bCs/>
                <w:color w:val="auto"/>
                <w:sz w:val="24"/>
                <w:lang w:val="en-US" w:eastAsia="zh-CN"/>
              </w:rPr>
              <w:t>8</w:t>
            </w:r>
            <w:r>
              <w:rPr>
                <w:rFonts w:hint="eastAsia"/>
                <w:b/>
                <w:bCs/>
                <w:color w:val="auto"/>
                <w:sz w:val="24"/>
              </w:rPr>
              <w:t>总平面图布置</w:t>
            </w:r>
          </w:p>
          <w:p w14:paraId="2ACEF638">
            <w:pPr>
              <w:spacing w:line="360" w:lineRule="auto"/>
              <w:ind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w:t>
            </w:r>
            <w:r>
              <w:rPr>
                <w:rFonts w:hint="eastAsia"/>
                <w:color w:val="auto"/>
                <w:sz w:val="24"/>
                <w:lang w:val="en-US" w:eastAsia="zh-CN"/>
              </w:rPr>
              <w:t>项目四至情况</w:t>
            </w:r>
          </w:p>
          <w:p w14:paraId="45B17719">
            <w:pPr>
              <w:spacing w:line="360" w:lineRule="auto"/>
              <w:ind w:firstLine="480" w:firstLineChars="200"/>
              <w:rPr>
                <w:rFonts w:hint="default" w:ascii="Times New Roman" w:hAnsi="Times New Roman" w:cs="Times New Roman"/>
                <w:color w:val="auto"/>
                <w:kern w:val="0"/>
                <w:sz w:val="24"/>
                <w:szCs w:val="24"/>
                <w:lang w:val="en-US"/>
              </w:rPr>
            </w:pPr>
            <w:r>
              <w:rPr>
                <w:rFonts w:hint="eastAsia"/>
                <w:color w:val="auto"/>
                <w:sz w:val="24"/>
                <w:lang w:val="en-US" w:eastAsia="zh-CN"/>
              </w:rPr>
              <w:t>本项目位于塔城地区乌苏市</w:t>
            </w:r>
            <w:r>
              <w:rPr>
                <w:rFonts w:hint="eastAsia" w:ascii="Times New Roman" w:hAnsi="Times New Roman" w:cs="Times New Roman"/>
                <w:color w:val="auto"/>
                <w:sz w:val="24"/>
                <w:szCs w:val="24"/>
                <w:u w:val="none"/>
                <w:lang w:val="en-US" w:eastAsia="zh-CN"/>
              </w:rPr>
              <w:t>，G217西侧约19.3km处</w:t>
            </w:r>
            <w:r>
              <w:rPr>
                <w:rFonts w:hint="default" w:ascii="Times New Roman" w:hAnsi="Times New Roman" w:cs="Times New Roman"/>
                <w:color w:val="auto"/>
                <w:kern w:val="0"/>
                <w:sz w:val="24"/>
                <w:szCs w:val="24"/>
              </w:rPr>
              <w:t>，</w:t>
            </w:r>
            <w:r>
              <w:rPr>
                <w:rFonts w:hint="eastAsia" w:ascii="Times New Roman" w:hAnsi="Times New Roman" w:cs="Times New Roman"/>
                <w:color w:val="auto"/>
                <w:kern w:val="0"/>
                <w:sz w:val="24"/>
                <w:szCs w:val="24"/>
                <w:lang w:val="en-US" w:eastAsia="zh-CN"/>
              </w:rPr>
              <w:t>项目四周均为山体。</w:t>
            </w:r>
          </w:p>
          <w:p w14:paraId="611E50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4"/>
                <w:lang w:val="en-US" w:eastAsia="zh-CN"/>
              </w:rPr>
            </w:pPr>
            <w:r>
              <w:rPr>
                <w:rFonts w:hint="eastAsia" w:ascii="Times New Roman" w:hAnsi="Times New Roman" w:cs="Times New Roman"/>
                <w:bCs/>
                <w:color w:val="auto"/>
                <w:sz w:val="24"/>
                <w:szCs w:val="24"/>
                <w:lang w:val="en-US" w:eastAsia="zh-CN"/>
              </w:rPr>
              <w:t>（2）项目平面布置</w:t>
            </w:r>
          </w:p>
          <w:p w14:paraId="1F1B8D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s="宋体"/>
                <w:bCs/>
                <w:color w:val="auto"/>
                <w:sz w:val="24"/>
                <w:szCs w:val="24"/>
              </w:rPr>
            </w:pPr>
            <w:r>
              <w:rPr>
                <w:rFonts w:hint="eastAsia" w:ascii="Times New Roman" w:hAnsi="Times New Roman" w:cs="Times New Roman"/>
                <w:bCs/>
                <w:color w:val="auto"/>
                <w:sz w:val="24"/>
                <w:szCs w:val="24"/>
                <w:lang w:val="en-US" w:eastAsia="zh-CN"/>
              </w:rPr>
              <w:t>商品混凝土生产区主要有搅拌区、料仓储存区等，1号综合站场位于3号综合站场北侧，2座站场直线距离相距约4.42km。</w:t>
            </w:r>
          </w:p>
        </w:tc>
      </w:tr>
      <w:tr w14:paraId="6D354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60" w:hRule="atLeast"/>
          <w:jc w:val="center"/>
        </w:trPr>
        <w:tc>
          <w:tcPr>
            <w:tcW w:w="823" w:type="dxa"/>
            <w:noWrap w:val="0"/>
            <w:vAlign w:val="center"/>
          </w:tcPr>
          <w:p w14:paraId="069CA2EE">
            <w:pPr>
              <w:pStyle w:val="24"/>
              <w:adjustRightInd w:val="0"/>
              <w:snapToGrid w:val="0"/>
              <w:spacing w:before="0" w:beforeAutospacing="0" w:after="0" w:afterAutospacing="0"/>
              <w:jc w:val="center"/>
              <w:rPr>
                <w:rFonts w:cs="宋体"/>
                <w:color w:val="auto"/>
                <w:sz w:val="24"/>
                <w:szCs w:val="24"/>
              </w:rPr>
            </w:pPr>
            <w:r>
              <w:rPr>
                <w:rFonts w:hint="eastAsia" w:cs="宋体"/>
                <w:color w:val="auto"/>
                <w:sz w:val="24"/>
                <w:szCs w:val="24"/>
              </w:rPr>
              <w:t>工艺流程和产排污环节</w:t>
            </w:r>
          </w:p>
        </w:tc>
        <w:tc>
          <w:tcPr>
            <w:tcW w:w="8161" w:type="dxa"/>
            <w:noWrap w:val="0"/>
            <w:vAlign w:val="top"/>
          </w:tcPr>
          <w:p w14:paraId="378DB73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2.9</w:t>
            </w:r>
            <w:r>
              <w:rPr>
                <w:rFonts w:hint="eastAsia" w:ascii="Times New Roman" w:hAnsi="Times New Roman" w:cs="Times New Roman"/>
                <w:b/>
                <w:bCs w:val="0"/>
                <w:color w:val="auto"/>
                <w:sz w:val="24"/>
                <w:szCs w:val="24"/>
                <w:lang w:val="en-US" w:eastAsia="zh-CN"/>
              </w:rPr>
              <w:t>施工期</w:t>
            </w:r>
          </w:p>
          <w:p w14:paraId="09FED520">
            <w:pPr>
              <w:spacing w:line="360" w:lineRule="auto"/>
              <w:ind w:firstLine="480" w:firstLineChars="200"/>
              <w:rPr>
                <w:bCs/>
                <w:color w:val="auto"/>
                <w:sz w:val="24"/>
              </w:rPr>
            </w:pPr>
            <w:r>
              <w:rPr>
                <w:color w:val="auto"/>
                <w:sz w:val="24"/>
              </w:rPr>
              <w:t>建设项目施工期间会产生扬尘、施工机械废气、运输车辆尾气、噪声以及临时占地等，以上各种因素均会对环境造成一定的影响。但施工期的环境影响为阶段性影响，工程建设完成后，环境影响均会消失。</w:t>
            </w:r>
            <w:r>
              <w:rPr>
                <w:rFonts w:hint="eastAsia"/>
                <w:bCs/>
                <w:color w:val="auto"/>
                <w:sz w:val="24"/>
              </w:rPr>
              <w:t>项目施工期的工艺流程及产污环节见图2.2。</w:t>
            </w:r>
          </w:p>
          <w:p w14:paraId="6196E6A3">
            <w:pPr>
              <w:spacing w:line="360" w:lineRule="auto"/>
              <w:jc w:val="center"/>
              <w:rPr>
                <w:rFonts w:ascii="Times New Roman" w:hAnsi="Times New Roman" w:cs="Times New Roman"/>
                <w:b/>
                <w:bCs/>
                <w:color w:val="auto"/>
              </w:rPr>
            </w:pPr>
            <w:r>
              <w:rPr>
                <w:color w:val="auto"/>
                <w:sz w:val="24"/>
              </w:rPr>
              <w:drawing>
                <wp:anchor distT="0" distB="0" distL="114300" distR="114300" simplePos="0" relativeHeight="251661312" behindDoc="0" locked="0" layoutInCell="1" allowOverlap="1">
                  <wp:simplePos x="0" y="0"/>
                  <wp:positionH relativeFrom="page">
                    <wp:posOffset>86360</wp:posOffset>
                  </wp:positionH>
                  <wp:positionV relativeFrom="page">
                    <wp:posOffset>1488440</wp:posOffset>
                  </wp:positionV>
                  <wp:extent cx="5009515" cy="1511935"/>
                  <wp:effectExtent l="0" t="0" r="635" b="12065"/>
                  <wp:wrapTopAndBottom/>
                  <wp:docPr id="7" name="图片 1" descr="1619797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1619797888(1)"/>
                          <pic:cNvPicPr>
                            <a:picLocks noChangeAspect="1"/>
                          </pic:cNvPicPr>
                        </pic:nvPicPr>
                        <pic:blipFill>
                          <a:blip r:embed="rId9"/>
                          <a:stretch>
                            <a:fillRect/>
                          </a:stretch>
                        </pic:blipFill>
                        <pic:spPr>
                          <a:xfrm>
                            <a:off x="0" y="0"/>
                            <a:ext cx="5009515" cy="1511935"/>
                          </a:xfrm>
                          <a:prstGeom prst="rect">
                            <a:avLst/>
                          </a:prstGeom>
                          <a:noFill/>
                          <a:ln>
                            <a:noFill/>
                          </a:ln>
                        </pic:spPr>
                      </pic:pic>
                    </a:graphicData>
                  </a:graphic>
                </wp:anchor>
              </w:drawing>
            </w:r>
            <w:r>
              <w:rPr>
                <w:rFonts w:ascii="Times New Roman" w:hAnsi="Times New Roman" w:cs="Times New Roman"/>
                <w:b/>
                <w:bCs/>
                <w:color w:val="auto"/>
              </w:rPr>
              <w:t>图2.2  施工期工艺流程及产污环节图</w:t>
            </w:r>
          </w:p>
          <w:p w14:paraId="61168AEB">
            <w:pPr>
              <w:pStyle w:val="13"/>
              <w:spacing w:line="360" w:lineRule="auto"/>
              <w:ind w:firstLine="480" w:firstLineChars="200"/>
              <w:rPr>
                <w:rFonts w:hint="eastAsia" w:hAnsi="宋体" w:cs="宋体"/>
                <w:color w:val="auto"/>
                <w:sz w:val="24"/>
                <w:szCs w:val="24"/>
              </w:rPr>
            </w:pPr>
            <w:r>
              <w:rPr>
                <w:rFonts w:hAnsi="宋体" w:cs="宋体"/>
                <w:color w:val="auto"/>
                <w:sz w:val="24"/>
                <w:szCs w:val="24"/>
              </w:rPr>
              <w:t>项目施工过程主要是先进行场地清理、平整地坪，然后进行基础建设和主体施工，进行设备安装后，检验合格、投入使用</w:t>
            </w:r>
            <w:r>
              <w:rPr>
                <w:rFonts w:hint="eastAsia" w:hAnsi="宋体" w:cs="宋体"/>
                <w:color w:val="auto"/>
                <w:sz w:val="24"/>
                <w:szCs w:val="24"/>
              </w:rPr>
              <w:t>。</w:t>
            </w:r>
          </w:p>
          <w:p w14:paraId="6A870431">
            <w:pPr>
              <w:spacing w:line="360" w:lineRule="auto"/>
              <w:rPr>
                <w:b/>
                <w:color w:val="auto"/>
                <w:sz w:val="24"/>
              </w:rPr>
            </w:pPr>
            <w:r>
              <w:rPr>
                <w:rFonts w:hint="eastAsia"/>
                <w:b/>
                <w:color w:val="auto"/>
                <w:sz w:val="24"/>
              </w:rPr>
              <w:t>2.</w:t>
            </w:r>
            <w:r>
              <w:rPr>
                <w:rFonts w:hint="eastAsia"/>
                <w:b/>
                <w:color w:val="auto"/>
                <w:sz w:val="24"/>
                <w:lang w:val="en-US" w:eastAsia="zh-CN"/>
              </w:rPr>
              <w:t>10</w:t>
            </w:r>
            <w:r>
              <w:rPr>
                <w:rFonts w:hint="eastAsia"/>
                <w:b/>
                <w:color w:val="auto"/>
                <w:sz w:val="24"/>
              </w:rPr>
              <w:t>运营期</w:t>
            </w:r>
          </w:p>
          <w:p w14:paraId="3EFA9464">
            <w:pPr>
              <w:spacing w:line="360" w:lineRule="auto"/>
              <w:ind w:firstLine="480" w:firstLineChars="200"/>
              <w:rPr>
                <w:color w:val="auto"/>
                <w:sz w:val="24"/>
              </w:rPr>
            </w:pPr>
            <w:r>
              <w:rPr>
                <w:color w:val="auto"/>
                <w:sz w:val="24"/>
              </w:rPr>
              <w:t>本项目工艺混合、搅拌过程，为物理反应，无化学反应</w:t>
            </w:r>
            <w:r>
              <w:rPr>
                <w:rFonts w:hint="eastAsia"/>
                <w:color w:val="auto"/>
                <w:sz w:val="24"/>
              </w:rPr>
              <w:t>，项目</w:t>
            </w:r>
            <w:r>
              <w:rPr>
                <w:rFonts w:hint="eastAsia"/>
                <w:color w:val="auto"/>
                <w:sz w:val="24"/>
                <w:lang w:val="en-US" w:eastAsia="zh-CN"/>
              </w:rPr>
              <w:t>共</w:t>
            </w:r>
            <w:r>
              <w:rPr>
                <w:rFonts w:hint="eastAsia"/>
                <w:color w:val="auto"/>
                <w:sz w:val="24"/>
              </w:rPr>
              <w:t>设置</w:t>
            </w:r>
            <w:r>
              <w:rPr>
                <w:rFonts w:hint="eastAsia"/>
                <w:color w:val="auto"/>
                <w:sz w:val="24"/>
                <w:lang w:val="en-US" w:eastAsia="zh-CN"/>
              </w:rPr>
              <w:t>4</w:t>
            </w:r>
            <w:r>
              <w:rPr>
                <w:rFonts w:hint="eastAsia"/>
                <w:color w:val="auto"/>
                <w:sz w:val="24"/>
              </w:rPr>
              <w:t>条搅拌生产线</w:t>
            </w:r>
            <w:r>
              <w:rPr>
                <w:color w:val="auto"/>
                <w:sz w:val="24"/>
              </w:rPr>
              <w:t>。</w:t>
            </w:r>
          </w:p>
          <w:p w14:paraId="41883662">
            <w:pPr>
              <w:spacing w:line="360" w:lineRule="auto"/>
              <w:ind w:firstLine="480" w:firstLineChars="200"/>
              <w:rPr>
                <w:color w:val="auto"/>
                <w:sz w:val="24"/>
              </w:rPr>
            </w:pPr>
            <w:r>
              <w:rPr>
                <w:rFonts w:hint="eastAsia"/>
                <w:color w:val="auto"/>
                <w:sz w:val="24"/>
                <w:lang w:val="en-US" w:eastAsia="zh-CN"/>
              </w:rPr>
              <w:t>①</w:t>
            </w:r>
            <w:r>
              <w:rPr>
                <w:color w:val="auto"/>
                <w:sz w:val="24"/>
              </w:rPr>
              <w:t>原料进厂：生产用</w:t>
            </w:r>
            <w:r>
              <w:rPr>
                <w:rFonts w:hint="eastAsia"/>
                <w:color w:val="auto"/>
                <w:sz w:val="24"/>
              </w:rPr>
              <w:t>砂石料和外加剂</w:t>
            </w:r>
            <w:r>
              <w:rPr>
                <w:color w:val="auto"/>
                <w:sz w:val="24"/>
              </w:rPr>
              <w:t>用汽车运输进厂，储存在料</w:t>
            </w:r>
            <w:r>
              <w:rPr>
                <w:rFonts w:hint="eastAsia"/>
                <w:color w:val="auto"/>
                <w:sz w:val="24"/>
                <w:lang w:val="en-US" w:eastAsia="zh-CN"/>
              </w:rPr>
              <w:t>仓</w:t>
            </w:r>
            <w:r>
              <w:rPr>
                <w:color w:val="auto"/>
                <w:sz w:val="24"/>
              </w:rPr>
              <w:t>内。水泥、粉煤灰使用罐车运输进厂后，使用软管连接料仓的进料口，使用运输车辆的动力系统将物料打进</w:t>
            </w:r>
            <w:r>
              <w:rPr>
                <w:rFonts w:hint="eastAsia"/>
                <w:color w:val="auto"/>
                <w:sz w:val="24"/>
              </w:rPr>
              <w:t>筒</w:t>
            </w:r>
            <w:r>
              <w:rPr>
                <w:color w:val="auto"/>
                <w:sz w:val="24"/>
              </w:rPr>
              <w:t>仓。</w:t>
            </w:r>
          </w:p>
          <w:p w14:paraId="1AEA59C9">
            <w:pPr>
              <w:spacing w:line="360" w:lineRule="auto"/>
              <w:ind w:firstLine="480" w:firstLineChars="200"/>
              <w:rPr>
                <w:color w:val="auto"/>
                <w:sz w:val="24"/>
              </w:rPr>
            </w:pPr>
            <w:r>
              <w:rPr>
                <w:rFonts w:hint="eastAsia"/>
                <w:color w:val="auto"/>
                <w:sz w:val="24"/>
                <w:lang w:val="en-US" w:eastAsia="zh-CN"/>
              </w:rPr>
              <w:t>②</w:t>
            </w:r>
            <w:r>
              <w:rPr>
                <w:color w:val="auto"/>
                <w:sz w:val="24"/>
              </w:rPr>
              <w:t>配料：</w:t>
            </w:r>
            <w:r>
              <w:rPr>
                <w:rFonts w:hint="eastAsia"/>
                <w:color w:val="auto"/>
                <w:sz w:val="24"/>
              </w:rPr>
              <w:t>装载机</w:t>
            </w:r>
            <w:r>
              <w:rPr>
                <w:color w:val="auto"/>
                <w:sz w:val="24"/>
              </w:rPr>
              <w:t>在原料堆场将</w:t>
            </w:r>
            <w:r>
              <w:rPr>
                <w:rFonts w:hint="eastAsia"/>
                <w:color w:val="auto"/>
                <w:sz w:val="24"/>
              </w:rPr>
              <w:t>砂石料</w:t>
            </w:r>
            <w:r>
              <w:rPr>
                <w:color w:val="auto"/>
                <w:sz w:val="24"/>
              </w:rPr>
              <w:t>推入进料口，从进料口落入骨料仓中的配料斗。通过配料斗下边的计量系统计量后，经皮带输送机输送到骨料</w:t>
            </w:r>
            <w:r>
              <w:rPr>
                <w:rFonts w:hint="eastAsia"/>
                <w:color w:val="auto"/>
                <w:sz w:val="24"/>
              </w:rPr>
              <w:t>集料仓</w:t>
            </w:r>
            <w:r>
              <w:rPr>
                <w:color w:val="auto"/>
                <w:sz w:val="24"/>
              </w:rPr>
              <w:t>，后进入搅拌主机。水泥、粉煤灰通过仓底卸料阀门进入密封的计量设备和运输设备，将物料输送到搅拌主机。配料需要的水由水泵从储水</w:t>
            </w:r>
            <w:r>
              <w:rPr>
                <w:rFonts w:hint="eastAsia"/>
                <w:color w:val="auto"/>
                <w:sz w:val="24"/>
                <w:lang w:val="en-US" w:eastAsia="zh-CN"/>
              </w:rPr>
              <w:t>罐</w:t>
            </w:r>
            <w:r>
              <w:rPr>
                <w:color w:val="auto"/>
                <w:sz w:val="24"/>
              </w:rPr>
              <w:t>抽入计量设备，计量后进入搅拌主机。外加剂根据产品需求添加时，计量后采用外加剂泵送</w:t>
            </w:r>
            <w:r>
              <w:rPr>
                <w:rFonts w:hint="eastAsia"/>
                <w:color w:val="auto"/>
                <w:sz w:val="24"/>
              </w:rPr>
              <w:t>入</w:t>
            </w:r>
            <w:r>
              <w:rPr>
                <w:color w:val="auto"/>
                <w:sz w:val="24"/>
              </w:rPr>
              <w:t>搅拌主机。所有计量过程采用电脑控制，从而保证混凝土的品质。</w:t>
            </w:r>
          </w:p>
          <w:p w14:paraId="074D15C9">
            <w:pPr>
              <w:spacing w:line="360" w:lineRule="auto"/>
              <w:ind w:firstLine="480" w:firstLineChars="200"/>
              <w:rPr>
                <w:color w:val="auto"/>
                <w:sz w:val="24"/>
              </w:rPr>
            </w:pPr>
            <w:r>
              <w:rPr>
                <w:rFonts w:hint="eastAsia"/>
                <w:color w:val="auto"/>
                <w:sz w:val="24"/>
                <w:lang w:val="en-US" w:eastAsia="zh-CN"/>
              </w:rPr>
              <w:t>③</w:t>
            </w:r>
            <w:r>
              <w:rPr>
                <w:color w:val="auto"/>
                <w:sz w:val="24"/>
              </w:rPr>
              <w:t>搅拌工艺：将计量好的物料投入搅拌主机中，依靠旋转叶片对混合料进行强烈的搅拌，制成均匀的混凝土。</w:t>
            </w:r>
          </w:p>
          <w:p w14:paraId="45C9BCE4">
            <w:pPr>
              <w:spacing w:line="360" w:lineRule="auto"/>
              <w:ind w:firstLine="480" w:firstLineChars="200"/>
              <w:rPr>
                <w:rFonts w:hint="eastAsia"/>
                <w:bCs/>
                <w:color w:val="auto"/>
                <w:sz w:val="24"/>
              </w:rPr>
            </w:pPr>
            <w:r>
              <w:rPr>
                <w:rFonts w:hint="eastAsia"/>
                <w:color w:val="auto"/>
                <w:sz w:val="24"/>
                <w:lang w:val="en-US" w:eastAsia="zh-CN"/>
              </w:rPr>
              <w:t>④</w:t>
            </w:r>
            <w:r>
              <w:rPr>
                <w:color w:val="auto"/>
                <w:sz w:val="24"/>
              </w:rPr>
              <w:t>装车外运：搅拌好的混凝土直接从搅拌主机卸入混凝土运输车，外运至需</w:t>
            </w:r>
            <w:r>
              <w:rPr>
                <w:rFonts w:hint="eastAsia"/>
                <w:color w:val="auto"/>
                <w:sz w:val="24"/>
              </w:rPr>
              <w:t>要</w:t>
            </w:r>
            <w:r>
              <w:rPr>
                <w:color w:val="auto"/>
                <w:sz w:val="24"/>
              </w:rPr>
              <w:t>的工地。</w:t>
            </w:r>
            <w:r>
              <w:rPr>
                <w:rFonts w:hint="eastAsia"/>
                <w:bCs/>
                <w:color w:val="auto"/>
                <w:sz w:val="24"/>
              </w:rPr>
              <w:t>项目运营期工艺流程图及产污环节见图2.3。</w:t>
            </w:r>
          </w:p>
          <w:p w14:paraId="53F64CB5">
            <w:pPr>
              <w:bidi w:val="0"/>
              <w:jc w:val="center"/>
              <w:rPr>
                <w:rFonts w:hint="default"/>
                <w:b/>
                <w:bCs/>
                <w:color w:val="auto"/>
                <w:lang w:val="en-US" w:eastAsia="zh-CN"/>
              </w:rPr>
            </w:pPr>
            <w:r>
              <w:rPr>
                <w:rFonts w:hint="eastAsia"/>
                <w:b/>
                <w:bCs/>
                <w:color w:val="auto"/>
                <w:lang w:val="en-US" w:eastAsia="zh-CN"/>
              </w:rPr>
              <w:t>表2-5  商混站运营期产污环节及处置去向一览表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40"/>
              <w:gridCol w:w="1545"/>
              <w:gridCol w:w="1230"/>
              <w:gridCol w:w="3091"/>
            </w:tblGrid>
            <w:tr w14:paraId="11D95B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00" w:type="pct"/>
                  <w:tcBorders>
                    <w:tl2br w:val="nil"/>
                    <w:tr2bl w:val="nil"/>
                  </w:tcBorders>
                  <w:noWrap w:val="0"/>
                  <w:vAlign w:val="center"/>
                </w:tcPr>
                <w:p w14:paraId="0D69199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类别</w:t>
                  </w:r>
                </w:p>
              </w:tc>
              <w:tc>
                <w:tcPr>
                  <w:tcW w:w="906" w:type="pct"/>
                  <w:tcBorders>
                    <w:tl2br w:val="nil"/>
                    <w:tr2bl w:val="nil"/>
                  </w:tcBorders>
                  <w:noWrap w:val="0"/>
                  <w:vAlign w:val="center"/>
                </w:tcPr>
                <w:p w14:paraId="0214484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产生环节</w:t>
                  </w:r>
                </w:p>
              </w:tc>
              <w:tc>
                <w:tcPr>
                  <w:tcW w:w="972" w:type="pct"/>
                  <w:tcBorders>
                    <w:tl2br w:val="nil"/>
                    <w:tr2bl w:val="nil"/>
                  </w:tcBorders>
                  <w:noWrap w:val="0"/>
                  <w:vAlign w:val="center"/>
                </w:tcPr>
                <w:p w14:paraId="35AAD9D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污染物</w:t>
                  </w:r>
                </w:p>
              </w:tc>
              <w:tc>
                <w:tcPr>
                  <w:tcW w:w="774" w:type="pct"/>
                  <w:tcBorders>
                    <w:tl2br w:val="nil"/>
                    <w:tr2bl w:val="nil"/>
                  </w:tcBorders>
                  <w:noWrap w:val="0"/>
                  <w:vAlign w:val="center"/>
                </w:tcPr>
                <w:p w14:paraId="14D2424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产生类型</w:t>
                  </w:r>
                </w:p>
              </w:tc>
              <w:tc>
                <w:tcPr>
                  <w:tcW w:w="1945" w:type="pct"/>
                  <w:tcBorders>
                    <w:tl2br w:val="nil"/>
                    <w:tr2bl w:val="nil"/>
                  </w:tcBorders>
                  <w:noWrap w:val="0"/>
                  <w:vAlign w:val="center"/>
                </w:tcPr>
                <w:p w14:paraId="5D33AA0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措施及去向</w:t>
                  </w:r>
                </w:p>
              </w:tc>
            </w:tr>
            <w:tr w14:paraId="181828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0" w:type="pct"/>
                  <w:vMerge w:val="restart"/>
                  <w:tcBorders>
                    <w:tl2br w:val="nil"/>
                    <w:tr2bl w:val="nil"/>
                  </w:tcBorders>
                  <w:noWrap/>
                  <w:vAlign w:val="center"/>
                </w:tcPr>
                <w:p w14:paraId="32EEB9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废气</w:t>
                  </w:r>
                </w:p>
              </w:tc>
              <w:tc>
                <w:tcPr>
                  <w:tcW w:w="906" w:type="pct"/>
                  <w:tcBorders>
                    <w:tl2br w:val="nil"/>
                    <w:tr2bl w:val="nil"/>
                  </w:tcBorders>
                  <w:noWrap/>
                  <w:vAlign w:val="center"/>
                </w:tcPr>
                <w:p w14:paraId="5BA405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粉料</w:t>
                  </w:r>
                  <w:r>
                    <w:rPr>
                      <w:rFonts w:hint="eastAsia" w:ascii="宋体" w:hAnsi="宋体" w:eastAsia="宋体" w:cs="宋体"/>
                      <w:i w:val="0"/>
                      <w:iCs w:val="0"/>
                      <w:color w:val="auto"/>
                      <w:kern w:val="0"/>
                      <w:sz w:val="21"/>
                      <w:szCs w:val="21"/>
                      <w:u w:val="none"/>
                      <w:lang w:val="en-US" w:eastAsia="zh-CN" w:bidi="ar"/>
                    </w:rPr>
                    <w:t>筒仓</w:t>
                  </w:r>
                </w:p>
              </w:tc>
              <w:tc>
                <w:tcPr>
                  <w:tcW w:w="972" w:type="pct"/>
                  <w:tcBorders>
                    <w:tl2br w:val="nil"/>
                    <w:tr2bl w:val="nil"/>
                  </w:tcBorders>
                  <w:noWrap/>
                  <w:vAlign w:val="center"/>
                </w:tcPr>
                <w:p w14:paraId="0AD1FD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颗粒物</w:t>
                  </w:r>
                </w:p>
              </w:tc>
              <w:tc>
                <w:tcPr>
                  <w:tcW w:w="774" w:type="pct"/>
                  <w:tcBorders>
                    <w:tl2br w:val="nil"/>
                    <w:tr2bl w:val="nil"/>
                  </w:tcBorders>
                  <w:noWrap/>
                  <w:vAlign w:val="center"/>
                </w:tcPr>
                <w:p w14:paraId="4841F8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无组织</w:t>
                  </w:r>
                </w:p>
              </w:tc>
              <w:tc>
                <w:tcPr>
                  <w:tcW w:w="1945" w:type="pct"/>
                  <w:tcBorders>
                    <w:tl2br w:val="nil"/>
                    <w:tr2bl w:val="nil"/>
                  </w:tcBorders>
                  <w:noWrap w:val="0"/>
                  <w:vAlign w:val="center"/>
                </w:tcPr>
                <w:p w14:paraId="248D20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筒仓顶部设脉冲布袋除尘器</w:t>
                  </w:r>
                </w:p>
              </w:tc>
            </w:tr>
            <w:tr w14:paraId="49C07E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0" w:type="pct"/>
                  <w:vMerge w:val="continue"/>
                  <w:tcBorders>
                    <w:tl2br w:val="nil"/>
                    <w:tr2bl w:val="nil"/>
                  </w:tcBorders>
                  <w:noWrap/>
                  <w:vAlign w:val="center"/>
                </w:tcPr>
                <w:p w14:paraId="10459527">
                  <w:pPr>
                    <w:jc w:val="center"/>
                    <w:rPr>
                      <w:rFonts w:hint="eastAsia" w:ascii="宋体" w:hAnsi="宋体" w:eastAsia="宋体" w:cs="宋体"/>
                      <w:i w:val="0"/>
                      <w:iCs w:val="0"/>
                      <w:color w:val="auto"/>
                      <w:sz w:val="21"/>
                      <w:szCs w:val="21"/>
                      <w:u w:val="none"/>
                    </w:rPr>
                  </w:pPr>
                </w:p>
              </w:tc>
              <w:tc>
                <w:tcPr>
                  <w:tcW w:w="906" w:type="pct"/>
                  <w:tcBorders>
                    <w:tl2br w:val="nil"/>
                    <w:tr2bl w:val="nil"/>
                  </w:tcBorders>
                  <w:noWrap/>
                  <w:vAlign w:val="center"/>
                </w:tcPr>
                <w:p w14:paraId="078D3F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砂石料</w:t>
                  </w:r>
                  <w:r>
                    <w:rPr>
                      <w:rFonts w:hint="eastAsia" w:ascii="宋体" w:hAnsi="宋体" w:eastAsia="宋体" w:cs="宋体"/>
                      <w:i w:val="0"/>
                      <w:iCs w:val="0"/>
                      <w:color w:val="auto"/>
                      <w:kern w:val="0"/>
                      <w:sz w:val="21"/>
                      <w:szCs w:val="21"/>
                      <w:u w:val="none"/>
                      <w:lang w:val="en-US" w:eastAsia="zh-CN" w:bidi="ar"/>
                    </w:rPr>
                    <w:t>装卸</w:t>
                  </w:r>
                </w:p>
              </w:tc>
              <w:tc>
                <w:tcPr>
                  <w:tcW w:w="972" w:type="pct"/>
                  <w:tcBorders>
                    <w:tl2br w:val="nil"/>
                    <w:tr2bl w:val="nil"/>
                  </w:tcBorders>
                  <w:noWrap/>
                  <w:vAlign w:val="center"/>
                </w:tcPr>
                <w:p w14:paraId="4AF174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颗粒物</w:t>
                  </w:r>
                </w:p>
              </w:tc>
              <w:tc>
                <w:tcPr>
                  <w:tcW w:w="774" w:type="pct"/>
                  <w:tcBorders>
                    <w:tl2br w:val="nil"/>
                    <w:tr2bl w:val="nil"/>
                  </w:tcBorders>
                  <w:noWrap/>
                  <w:vAlign w:val="center"/>
                </w:tcPr>
                <w:p w14:paraId="5E17E7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无组织</w:t>
                  </w:r>
                </w:p>
              </w:tc>
              <w:tc>
                <w:tcPr>
                  <w:tcW w:w="1945" w:type="pct"/>
                  <w:tcBorders>
                    <w:tl2br w:val="nil"/>
                    <w:tr2bl w:val="nil"/>
                  </w:tcBorders>
                  <w:noWrap w:val="0"/>
                  <w:vAlign w:val="center"/>
                </w:tcPr>
                <w:p w14:paraId="11D6A2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全封闭料仓、喷淋降尘</w:t>
                  </w:r>
                </w:p>
              </w:tc>
            </w:tr>
            <w:tr w14:paraId="297ACD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00" w:type="pct"/>
                  <w:vMerge w:val="continue"/>
                  <w:tcBorders>
                    <w:tl2br w:val="nil"/>
                    <w:tr2bl w:val="nil"/>
                  </w:tcBorders>
                  <w:noWrap/>
                  <w:vAlign w:val="center"/>
                </w:tcPr>
                <w:p w14:paraId="55FF4374">
                  <w:pPr>
                    <w:jc w:val="center"/>
                    <w:rPr>
                      <w:rFonts w:hint="eastAsia" w:ascii="宋体" w:hAnsi="宋体" w:eastAsia="宋体" w:cs="宋体"/>
                      <w:i w:val="0"/>
                      <w:iCs w:val="0"/>
                      <w:color w:val="auto"/>
                      <w:sz w:val="21"/>
                      <w:szCs w:val="21"/>
                      <w:u w:val="none"/>
                    </w:rPr>
                  </w:pPr>
                </w:p>
              </w:tc>
              <w:tc>
                <w:tcPr>
                  <w:tcW w:w="906" w:type="pct"/>
                  <w:tcBorders>
                    <w:tl2br w:val="nil"/>
                    <w:tr2bl w:val="nil"/>
                  </w:tcBorders>
                  <w:noWrap/>
                  <w:vAlign w:val="center"/>
                </w:tcPr>
                <w:p w14:paraId="39F838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搅拌</w:t>
                  </w:r>
                </w:p>
              </w:tc>
              <w:tc>
                <w:tcPr>
                  <w:tcW w:w="972" w:type="pct"/>
                  <w:tcBorders>
                    <w:tl2br w:val="nil"/>
                    <w:tr2bl w:val="nil"/>
                  </w:tcBorders>
                  <w:noWrap/>
                  <w:vAlign w:val="center"/>
                </w:tcPr>
                <w:p w14:paraId="734B3E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颗粒物</w:t>
                  </w:r>
                </w:p>
              </w:tc>
              <w:tc>
                <w:tcPr>
                  <w:tcW w:w="774" w:type="pct"/>
                  <w:tcBorders>
                    <w:tl2br w:val="nil"/>
                    <w:tr2bl w:val="nil"/>
                  </w:tcBorders>
                  <w:noWrap/>
                  <w:vAlign w:val="center"/>
                </w:tcPr>
                <w:p w14:paraId="340F58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无组织</w:t>
                  </w:r>
                </w:p>
              </w:tc>
              <w:tc>
                <w:tcPr>
                  <w:tcW w:w="1945" w:type="pct"/>
                  <w:tcBorders>
                    <w:tl2br w:val="nil"/>
                    <w:tr2bl w:val="nil"/>
                  </w:tcBorders>
                  <w:noWrap w:val="0"/>
                  <w:vAlign w:val="center"/>
                </w:tcPr>
                <w:p w14:paraId="2BE66C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全封闭式输送带及搅拌机，采用湿法搅拌</w:t>
                  </w:r>
                </w:p>
              </w:tc>
            </w:tr>
            <w:tr w14:paraId="2A210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00" w:type="pct"/>
                  <w:vMerge w:val="continue"/>
                  <w:tcBorders>
                    <w:tl2br w:val="nil"/>
                    <w:tr2bl w:val="nil"/>
                  </w:tcBorders>
                  <w:noWrap/>
                  <w:vAlign w:val="center"/>
                </w:tcPr>
                <w:p w14:paraId="3631B43E">
                  <w:pPr>
                    <w:jc w:val="center"/>
                    <w:rPr>
                      <w:rFonts w:hint="eastAsia" w:ascii="宋体" w:hAnsi="宋体" w:eastAsia="宋体" w:cs="宋体"/>
                      <w:i w:val="0"/>
                      <w:iCs w:val="0"/>
                      <w:color w:val="auto"/>
                      <w:sz w:val="21"/>
                      <w:szCs w:val="21"/>
                      <w:u w:val="none"/>
                    </w:rPr>
                  </w:pPr>
                </w:p>
              </w:tc>
              <w:tc>
                <w:tcPr>
                  <w:tcW w:w="906" w:type="pct"/>
                  <w:tcBorders>
                    <w:tl2br w:val="nil"/>
                    <w:tr2bl w:val="nil"/>
                  </w:tcBorders>
                  <w:noWrap/>
                  <w:vAlign w:val="center"/>
                </w:tcPr>
                <w:p w14:paraId="3FA7F6B4">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车辆运输</w:t>
                  </w:r>
                </w:p>
              </w:tc>
              <w:tc>
                <w:tcPr>
                  <w:tcW w:w="972" w:type="pct"/>
                  <w:tcBorders>
                    <w:tl2br w:val="nil"/>
                    <w:tr2bl w:val="nil"/>
                  </w:tcBorders>
                  <w:noWrap/>
                  <w:vAlign w:val="center"/>
                </w:tcPr>
                <w:p w14:paraId="02B3DDF3">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颗粒物</w:t>
                  </w:r>
                </w:p>
              </w:tc>
              <w:tc>
                <w:tcPr>
                  <w:tcW w:w="774" w:type="pct"/>
                  <w:tcBorders>
                    <w:tl2br w:val="nil"/>
                    <w:tr2bl w:val="nil"/>
                  </w:tcBorders>
                  <w:noWrap/>
                  <w:vAlign w:val="center"/>
                </w:tcPr>
                <w:p w14:paraId="18540C18">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无组织</w:t>
                  </w:r>
                </w:p>
              </w:tc>
              <w:tc>
                <w:tcPr>
                  <w:tcW w:w="1945" w:type="pct"/>
                  <w:tcBorders>
                    <w:tl2br w:val="nil"/>
                    <w:tr2bl w:val="nil"/>
                  </w:tcBorders>
                  <w:noWrap w:val="0"/>
                  <w:vAlign w:val="center"/>
                </w:tcPr>
                <w:p w14:paraId="69E394A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运输过程限制车速，对厂区道路硬化，地面定期洒水、清扫</w:t>
                  </w:r>
                </w:p>
              </w:tc>
            </w:tr>
            <w:tr w14:paraId="6FF8F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400" w:type="pct"/>
                  <w:vMerge w:val="restart"/>
                  <w:tcBorders>
                    <w:tl2br w:val="nil"/>
                    <w:tr2bl w:val="nil"/>
                  </w:tcBorders>
                  <w:noWrap/>
                  <w:vAlign w:val="center"/>
                </w:tcPr>
                <w:p w14:paraId="5E3354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w:t>
                  </w:r>
                </w:p>
              </w:tc>
              <w:tc>
                <w:tcPr>
                  <w:tcW w:w="906" w:type="pct"/>
                  <w:tcBorders>
                    <w:tl2br w:val="nil"/>
                    <w:tr2bl w:val="nil"/>
                  </w:tcBorders>
                  <w:noWrap w:val="0"/>
                  <w:vAlign w:val="center"/>
                </w:tcPr>
                <w:p w14:paraId="516965DD">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清洗水（搅拌机和商混运输车等）</w:t>
                  </w:r>
                </w:p>
              </w:tc>
              <w:tc>
                <w:tcPr>
                  <w:tcW w:w="972" w:type="pct"/>
                  <w:tcBorders>
                    <w:tl2br w:val="nil"/>
                    <w:tr2bl w:val="nil"/>
                  </w:tcBorders>
                  <w:noWrap/>
                  <w:vAlign w:val="center"/>
                </w:tcPr>
                <w:p w14:paraId="4E2B1B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悬浮物</w:t>
                  </w:r>
                </w:p>
              </w:tc>
              <w:tc>
                <w:tcPr>
                  <w:tcW w:w="774" w:type="pct"/>
                  <w:tcBorders>
                    <w:tl2br w:val="nil"/>
                    <w:tr2bl w:val="nil"/>
                  </w:tcBorders>
                  <w:noWrap/>
                  <w:vAlign w:val="center"/>
                </w:tcPr>
                <w:p w14:paraId="4D727076">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1945" w:type="pct"/>
                  <w:tcBorders>
                    <w:tl2br w:val="nil"/>
                    <w:tr2bl w:val="nil"/>
                  </w:tcBorders>
                  <w:noWrap w:val="0"/>
                  <w:vAlign w:val="center"/>
                </w:tcPr>
                <w:p w14:paraId="5A23A3B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进入洗车池，沉淀物</w:t>
                  </w:r>
                  <w:r>
                    <w:rPr>
                      <w:rFonts w:hint="eastAsia" w:ascii="宋体" w:hAnsi="宋体" w:cs="宋体"/>
                      <w:i w:val="0"/>
                      <w:iCs w:val="0"/>
                      <w:color w:val="auto"/>
                      <w:kern w:val="0"/>
                      <w:sz w:val="21"/>
                      <w:szCs w:val="21"/>
                      <w:u w:val="none"/>
                      <w:lang w:val="en-US" w:eastAsia="zh-CN" w:bidi="ar"/>
                    </w:rPr>
                    <w:t>经沉淀</w:t>
                  </w:r>
                  <w:r>
                    <w:rPr>
                      <w:rFonts w:hint="eastAsia" w:ascii="宋体" w:hAnsi="宋体" w:eastAsia="宋体" w:cs="宋体"/>
                      <w:i w:val="0"/>
                      <w:iCs w:val="0"/>
                      <w:color w:val="auto"/>
                      <w:kern w:val="0"/>
                      <w:sz w:val="21"/>
                      <w:szCs w:val="21"/>
                      <w:u w:val="none"/>
                      <w:lang w:val="en-US" w:eastAsia="zh-CN" w:bidi="ar"/>
                    </w:rPr>
                    <w:t>过滤后，</w:t>
                  </w:r>
                  <w:r>
                    <w:rPr>
                      <w:rFonts w:hint="eastAsia" w:ascii="宋体" w:hAnsi="宋体" w:cs="宋体"/>
                      <w:i w:val="0"/>
                      <w:iCs w:val="0"/>
                      <w:color w:val="auto"/>
                      <w:kern w:val="0"/>
                      <w:sz w:val="21"/>
                      <w:szCs w:val="21"/>
                      <w:u w:val="none"/>
                      <w:lang w:val="en-US" w:eastAsia="zh-CN" w:bidi="ar"/>
                    </w:rPr>
                    <w:t>上清液回用生产</w:t>
                  </w:r>
                </w:p>
              </w:tc>
            </w:tr>
            <w:tr w14:paraId="43B10A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400" w:type="pct"/>
                  <w:vMerge w:val="continue"/>
                  <w:tcBorders>
                    <w:tl2br w:val="nil"/>
                    <w:tr2bl w:val="nil"/>
                  </w:tcBorders>
                  <w:noWrap/>
                  <w:vAlign w:val="center"/>
                </w:tcPr>
                <w:p w14:paraId="7B88856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906" w:type="pct"/>
                  <w:tcBorders>
                    <w:tl2br w:val="nil"/>
                    <w:tr2bl w:val="nil"/>
                  </w:tcBorders>
                  <w:noWrap w:val="0"/>
                  <w:vAlign w:val="center"/>
                </w:tcPr>
                <w:p w14:paraId="2AD11B8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生活污水</w:t>
                  </w:r>
                </w:p>
              </w:tc>
              <w:tc>
                <w:tcPr>
                  <w:tcW w:w="972" w:type="pct"/>
                  <w:tcBorders>
                    <w:tl2br w:val="nil"/>
                    <w:tr2bl w:val="nil"/>
                  </w:tcBorders>
                  <w:noWrap/>
                  <w:vAlign w:val="center"/>
                </w:tcPr>
                <w:p w14:paraId="04EEC2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BOD</w:t>
                  </w:r>
                  <w:r>
                    <w:rPr>
                      <w:rFonts w:hint="eastAsia" w:ascii="Times New Roman" w:hAnsi="Times New Roman" w:cs="Times New Roman"/>
                      <w:i w:val="0"/>
                      <w:iCs w:val="0"/>
                      <w:color w:val="auto"/>
                      <w:kern w:val="0"/>
                      <w:sz w:val="21"/>
                      <w:szCs w:val="21"/>
                      <w:u w:val="none"/>
                      <w:vertAlign w:val="subscript"/>
                      <w:lang w:val="en-US" w:eastAsia="zh-CN" w:bidi="ar"/>
                    </w:rPr>
                    <w:t>5</w:t>
                  </w:r>
                  <w:r>
                    <w:rPr>
                      <w:rFonts w:hint="default" w:ascii="Times New Roman" w:hAnsi="Times New Roman" w:cs="Times New Roman"/>
                      <w:i w:val="0"/>
                      <w:iCs w:val="0"/>
                      <w:color w:val="auto"/>
                      <w:kern w:val="0"/>
                      <w:sz w:val="21"/>
                      <w:szCs w:val="21"/>
                      <w:u w:val="none"/>
                      <w:lang w:val="en-US" w:eastAsia="zh-CN" w:bidi="ar"/>
                    </w:rPr>
                    <w:t>、COD、SS等</w:t>
                  </w:r>
                </w:p>
              </w:tc>
              <w:tc>
                <w:tcPr>
                  <w:tcW w:w="774" w:type="pct"/>
                  <w:tcBorders>
                    <w:tl2br w:val="nil"/>
                    <w:tr2bl w:val="nil"/>
                  </w:tcBorders>
                  <w:noWrap/>
                  <w:vAlign w:val="center"/>
                </w:tcPr>
                <w:p w14:paraId="3BF9E6DA">
                  <w:pPr>
                    <w:jc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cs="Times New Roman"/>
                      <w:i w:val="0"/>
                      <w:iCs w:val="0"/>
                      <w:color w:val="auto"/>
                      <w:sz w:val="21"/>
                      <w:szCs w:val="21"/>
                      <w:u w:val="none"/>
                      <w:lang w:val="en-US" w:eastAsia="zh-CN"/>
                    </w:rPr>
                    <w:t>/</w:t>
                  </w:r>
                </w:p>
              </w:tc>
              <w:tc>
                <w:tcPr>
                  <w:tcW w:w="1945" w:type="pct"/>
                  <w:tcBorders>
                    <w:tl2br w:val="nil"/>
                    <w:tr2bl w:val="nil"/>
                  </w:tcBorders>
                  <w:noWrap w:val="0"/>
                  <w:vAlign w:val="center"/>
                </w:tcPr>
                <w:p w14:paraId="46F568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sz w:val="21"/>
                      <w:szCs w:val="21"/>
                      <w:u w:val="none"/>
                      <w:lang w:val="en-US" w:eastAsia="zh-CN"/>
                    </w:rPr>
                    <w:t>依托高速公路配套生活区</w:t>
                  </w:r>
                  <w:r>
                    <w:rPr>
                      <w:rFonts w:hint="eastAsia" w:ascii="Times New Roman" w:hAnsi="Times New Roman" w:cs="Times New Roman"/>
                      <w:bCs/>
                      <w:color w:val="auto"/>
                      <w:sz w:val="21"/>
                      <w:szCs w:val="21"/>
                      <w:vertAlign w:val="baseline"/>
                      <w:lang w:val="en-US" w:eastAsia="zh-CN"/>
                    </w:rPr>
                    <w:t>一体化污水设备，处理达到《城市污水再生利用城市杂用水水质》（GB/T18920-2020）标准后回用绿化、道路清扫</w:t>
                  </w:r>
                </w:p>
              </w:tc>
            </w:tr>
            <w:tr w14:paraId="72130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00" w:type="pct"/>
                  <w:tcBorders>
                    <w:tl2br w:val="nil"/>
                    <w:tr2bl w:val="nil"/>
                  </w:tcBorders>
                  <w:noWrap/>
                  <w:vAlign w:val="center"/>
                </w:tcPr>
                <w:p w14:paraId="4061B2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噪声</w:t>
                  </w:r>
                </w:p>
              </w:tc>
              <w:tc>
                <w:tcPr>
                  <w:tcW w:w="906" w:type="pct"/>
                  <w:tcBorders>
                    <w:tl2br w:val="nil"/>
                    <w:tr2bl w:val="nil"/>
                  </w:tcBorders>
                  <w:noWrap/>
                  <w:vAlign w:val="center"/>
                </w:tcPr>
                <w:p w14:paraId="3930C6F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生产设备、车辆</w:t>
                  </w:r>
                </w:p>
              </w:tc>
              <w:tc>
                <w:tcPr>
                  <w:tcW w:w="972" w:type="pct"/>
                  <w:tcBorders>
                    <w:tl2br w:val="nil"/>
                    <w:tr2bl w:val="nil"/>
                  </w:tcBorders>
                  <w:noWrap/>
                  <w:vAlign w:val="center"/>
                </w:tcPr>
                <w:p w14:paraId="22FBE7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噪声</w:t>
                  </w:r>
                </w:p>
              </w:tc>
              <w:tc>
                <w:tcPr>
                  <w:tcW w:w="774" w:type="pct"/>
                  <w:tcBorders>
                    <w:tl2br w:val="nil"/>
                    <w:tr2bl w:val="nil"/>
                  </w:tcBorders>
                  <w:noWrap/>
                  <w:vAlign w:val="center"/>
                </w:tcPr>
                <w:p w14:paraId="25B8A742">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1945" w:type="pct"/>
                  <w:tcBorders>
                    <w:tl2br w:val="nil"/>
                    <w:tr2bl w:val="nil"/>
                  </w:tcBorders>
                  <w:noWrap w:val="0"/>
                  <w:vAlign w:val="center"/>
                </w:tcPr>
                <w:p w14:paraId="13F202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基础减振、定期维护和保养，配备个人防护措施</w:t>
                  </w:r>
                </w:p>
              </w:tc>
            </w:tr>
            <w:tr w14:paraId="4B4BD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0" w:type="pct"/>
                  <w:vMerge w:val="restart"/>
                  <w:tcBorders>
                    <w:tl2br w:val="nil"/>
                    <w:tr2bl w:val="nil"/>
                  </w:tcBorders>
                  <w:noWrap/>
                  <w:vAlign w:val="center"/>
                </w:tcPr>
                <w:p w14:paraId="63C9BE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固废</w:t>
                  </w:r>
                </w:p>
              </w:tc>
              <w:tc>
                <w:tcPr>
                  <w:tcW w:w="906" w:type="pct"/>
                  <w:tcBorders>
                    <w:tl2br w:val="nil"/>
                    <w:tr2bl w:val="nil"/>
                  </w:tcBorders>
                  <w:noWrap/>
                  <w:vAlign w:val="center"/>
                </w:tcPr>
                <w:p w14:paraId="6AA813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粉料</w:t>
                  </w:r>
                  <w:r>
                    <w:rPr>
                      <w:rFonts w:hint="eastAsia" w:ascii="宋体" w:hAnsi="宋体" w:eastAsia="宋体" w:cs="宋体"/>
                      <w:i w:val="0"/>
                      <w:iCs w:val="0"/>
                      <w:color w:val="auto"/>
                      <w:kern w:val="0"/>
                      <w:sz w:val="21"/>
                      <w:szCs w:val="21"/>
                      <w:u w:val="none"/>
                      <w:lang w:val="en-US" w:eastAsia="zh-CN" w:bidi="ar"/>
                    </w:rPr>
                    <w:t>筒仓</w:t>
                  </w:r>
                </w:p>
              </w:tc>
              <w:tc>
                <w:tcPr>
                  <w:tcW w:w="972" w:type="pct"/>
                  <w:tcBorders>
                    <w:tl2br w:val="nil"/>
                    <w:tr2bl w:val="nil"/>
                  </w:tcBorders>
                  <w:noWrap/>
                  <w:vAlign w:val="center"/>
                </w:tcPr>
                <w:p w14:paraId="6621E5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除尘灰</w:t>
                  </w:r>
                </w:p>
              </w:tc>
              <w:tc>
                <w:tcPr>
                  <w:tcW w:w="774" w:type="pct"/>
                  <w:tcBorders>
                    <w:tl2br w:val="nil"/>
                    <w:tr2bl w:val="nil"/>
                  </w:tcBorders>
                  <w:noWrap/>
                  <w:vAlign w:val="center"/>
                </w:tcPr>
                <w:p w14:paraId="484C72EC">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1945" w:type="pct"/>
                  <w:tcBorders>
                    <w:tl2br w:val="nil"/>
                    <w:tr2bl w:val="nil"/>
                  </w:tcBorders>
                  <w:noWrap/>
                  <w:vAlign w:val="center"/>
                </w:tcPr>
                <w:p w14:paraId="4D97F1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定期清理后回用生产</w:t>
                  </w:r>
                </w:p>
              </w:tc>
            </w:tr>
            <w:tr w14:paraId="33BDAC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0" w:type="pct"/>
                  <w:vMerge w:val="continue"/>
                  <w:tcBorders>
                    <w:tl2br w:val="nil"/>
                    <w:tr2bl w:val="nil"/>
                  </w:tcBorders>
                  <w:noWrap/>
                  <w:vAlign w:val="center"/>
                </w:tcPr>
                <w:p w14:paraId="4793EA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906" w:type="pct"/>
                  <w:tcBorders>
                    <w:tl2br w:val="nil"/>
                    <w:tr2bl w:val="nil"/>
                  </w:tcBorders>
                  <w:noWrap/>
                  <w:vAlign w:val="center"/>
                </w:tcPr>
                <w:p w14:paraId="4427DC04">
                  <w:pPr>
                    <w:keepNext w:val="0"/>
                    <w:keepLines w:val="0"/>
                    <w:widowControl/>
                    <w:suppressLineNumbers w:val="0"/>
                    <w:jc w:val="center"/>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洗车池沉渣</w:t>
                  </w:r>
                </w:p>
              </w:tc>
              <w:tc>
                <w:tcPr>
                  <w:tcW w:w="972" w:type="pct"/>
                  <w:tcBorders>
                    <w:tl2br w:val="nil"/>
                    <w:tr2bl w:val="nil"/>
                  </w:tcBorders>
                  <w:noWrap/>
                  <w:vAlign w:val="center"/>
                </w:tcPr>
                <w:p w14:paraId="0698B9D7">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沉渣</w:t>
                  </w:r>
                </w:p>
              </w:tc>
              <w:tc>
                <w:tcPr>
                  <w:tcW w:w="774" w:type="pct"/>
                  <w:tcBorders>
                    <w:tl2br w:val="nil"/>
                    <w:tr2bl w:val="nil"/>
                  </w:tcBorders>
                  <w:noWrap/>
                  <w:vAlign w:val="center"/>
                </w:tcPr>
                <w:p w14:paraId="7E9EDF1A">
                  <w:pPr>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w:t>
                  </w:r>
                </w:p>
              </w:tc>
              <w:tc>
                <w:tcPr>
                  <w:tcW w:w="1945" w:type="pct"/>
                  <w:tcBorders>
                    <w:tl2br w:val="nil"/>
                    <w:tr2bl w:val="nil"/>
                  </w:tcBorders>
                  <w:noWrap/>
                  <w:vAlign w:val="center"/>
                </w:tcPr>
                <w:p w14:paraId="289063E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定期清理后</w:t>
                  </w:r>
                  <w:r>
                    <w:rPr>
                      <w:rFonts w:hint="eastAsia" w:ascii="宋体" w:hAnsi="宋体" w:cs="宋体"/>
                      <w:i w:val="0"/>
                      <w:iCs w:val="0"/>
                      <w:color w:val="auto"/>
                      <w:kern w:val="0"/>
                      <w:sz w:val="21"/>
                      <w:szCs w:val="21"/>
                      <w:u w:val="none"/>
                      <w:lang w:val="en-US" w:eastAsia="zh-CN" w:bidi="ar"/>
                    </w:rPr>
                    <w:t>回用生产</w:t>
                  </w:r>
                </w:p>
              </w:tc>
            </w:tr>
            <w:tr w14:paraId="7CAAF5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00" w:type="pct"/>
                  <w:vMerge w:val="continue"/>
                  <w:tcBorders>
                    <w:tl2br w:val="nil"/>
                    <w:tr2bl w:val="nil"/>
                  </w:tcBorders>
                  <w:noWrap/>
                  <w:vAlign w:val="center"/>
                </w:tcPr>
                <w:p w14:paraId="336C88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906" w:type="pct"/>
                  <w:tcBorders>
                    <w:tl2br w:val="nil"/>
                    <w:tr2bl w:val="nil"/>
                  </w:tcBorders>
                  <w:noWrap/>
                  <w:vAlign w:val="center"/>
                </w:tcPr>
                <w:p w14:paraId="6249E292">
                  <w:pPr>
                    <w:keepNext w:val="0"/>
                    <w:keepLines w:val="0"/>
                    <w:widowControl/>
                    <w:suppressLineNumbers w:val="0"/>
                    <w:jc w:val="center"/>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力学室</w:t>
                  </w:r>
                </w:p>
              </w:tc>
              <w:tc>
                <w:tcPr>
                  <w:tcW w:w="972" w:type="pct"/>
                  <w:tcBorders>
                    <w:tl2br w:val="nil"/>
                    <w:tr2bl w:val="nil"/>
                  </w:tcBorders>
                  <w:noWrap/>
                  <w:vAlign w:val="center"/>
                </w:tcPr>
                <w:p w14:paraId="77A4BF0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检验废料</w:t>
                  </w:r>
                </w:p>
              </w:tc>
              <w:tc>
                <w:tcPr>
                  <w:tcW w:w="774" w:type="pct"/>
                  <w:tcBorders>
                    <w:tl2br w:val="nil"/>
                    <w:tr2bl w:val="nil"/>
                  </w:tcBorders>
                  <w:noWrap/>
                  <w:vAlign w:val="center"/>
                </w:tcPr>
                <w:p w14:paraId="0FE3F4B6">
                  <w:pPr>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w:t>
                  </w:r>
                </w:p>
              </w:tc>
              <w:tc>
                <w:tcPr>
                  <w:tcW w:w="1945" w:type="pct"/>
                  <w:tcBorders>
                    <w:tl2br w:val="nil"/>
                    <w:tr2bl w:val="nil"/>
                  </w:tcBorders>
                  <w:noWrap/>
                  <w:vAlign w:val="center"/>
                </w:tcPr>
                <w:p w14:paraId="32D9493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Times New Roman" w:hAnsi="Times New Roman" w:eastAsia="宋体" w:cs="Times New Roman"/>
                      <w:color w:val="auto"/>
                      <w:sz w:val="21"/>
                      <w:szCs w:val="21"/>
                      <w:highlight w:val="none"/>
                      <w:lang w:val="en-US" w:eastAsia="zh-CN"/>
                    </w:rPr>
                    <w:t>放置废砼区，定期拉运至固体废物填埋场处置</w:t>
                  </w:r>
                </w:p>
              </w:tc>
            </w:tr>
            <w:tr w14:paraId="6E9C97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00" w:type="pct"/>
                  <w:vMerge w:val="continue"/>
                  <w:tcBorders>
                    <w:tl2br w:val="nil"/>
                    <w:tr2bl w:val="nil"/>
                  </w:tcBorders>
                  <w:noWrap/>
                  <w:vAlign w:val="center"/>
                </w:tcPr>
                <w:p w14:paraId="2B90E90F">
                  <w:pPr>
                    <w:jc w:val="center"/>
                    <w:rPr>
                      <w:rFonts w:hint="eastAsia" w:ascii="宋体" w:hAnsi="宋体" w:eastAsia="宋体" w:cs="宋体"/>
                      <w:i w:val="0"/>
                      <w:iCs w:val="0"/>
                      <w:color w:val="auto"/>
                      <w:sz w:val="21"/>
                      <w:szCs w:val="21"/>
                      <w:u w:val="none"/>
                    </w:rPr>
                  </w:pPr>
                </w:p>
              </w:tc>
              <w:tc>
                <w:tcPr>
                  <w:tcW w:w="906" w:type="pct"/>
                  <w:tcBorders>
                    <w:tl2br w:val="nil"/>
                    <w:tr2bl w:val="nil"/>
                  </w:tcBorders>
                  <w:noWrap/>
                  <w:vAlign w:val="center"/>
                </w:tcPr>
                <w:p w14:paraId="3EC8751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生活垃圾</w:t>
                  </w:r>
                </w:p>
              </w:tc>
              <w:tc>
                <w:tcPr>
                  <w:tcW w:w="972" w:type="pct"/>
                  <w:tcBorders>
                    <w:tl2br w:val="nil"/>
                    <w:tr2bl w:val="nil"/>
                  </w:tcBorders>
                  <w:noWrap/>
                  <w:vAlign w:val="center"/>
                </w:tcPr>
                <w:p w14:paraId="4026C4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sz w:val="21"/>
                      <w:szCs w:val="21"/>
                      <w:u w:val="none"/>
                      <w:lang w:val="en-US" w:eastAsia="zh-CN"/>
                    </w:rPr>
                    <w:t>生活垃圾</w:t>
                  </w:r>
                </w:p>
              </w:tc>
              <w:tc>
                <w:tcPr>
                  <w:tcW w:w="774" w:type="pct"/>
                  <w:tcBorders>
                    <w:tl2br w:val="nil"/>
                    <w:tr2bl w:val="nil"/>
                  </w:tcBorders>
                  <w:noWrap/>
                  <w:vAlign w:val="center"/>
                </w:tcPr>
                <w:p w14:paraId="20597E99">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1945" w:type="pct"/>
                  <w:tcBorders>
                    <w:tl2br w:val="nil"/>
                    <w:tr2bl w:val="nil"/>
                  </w:tcBorders>
                  <w:noWrap w:val="0"/>
                  <w:vAlign w:val="center"/>
                </w:tcPr>
                <w:p w14:paraId="179D581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依托高速公路配套生活区，设置生活垃圾箱，定期拉运至生活垃圾填埋场处置</w:t>
                  </w:r>
                </w:p>
              </w:tc>
            </w:tr>
          </w:tbl>
          <w:p w14:paraId="74C8792A">
            <w:pPr>
              <w:spacing w:line="360" w:lineRule="auto"/>
              <w:jc w:val="center"/>
              <w:rPr>
                <w:bCs/>
                <w:color w:val="auto"/>
                <w:sz w:val="24"/>
              </w:rPr>
            </w:pPr>
            <w:r>
              <w:rPr>
                <w:bCs/>
                <w:color w:val="auto"/>
                <w:sz w:val="24"/>
              </w:rPr>
              <w:object>
                <v:shape id="_x0000_i1026" o:spt="75" type="#_x0000_t75" style="height:477.75pt;width:301.5pt;" o:ole="t" filled="f" o:preferrelative="t" stroked="f" coordsize="21600,21600">
                  <v:path/>
                  <v:fill on="f" focussize="0,0"/>
                  <v:stroke on="f"/>
                  <v:imagedata r:id="rId11" o:title=""/>
                  <o:lock v:ext="edit" aspectratio="f"/>
                  <w10:wrap type="none"/>
                  <w10:anchorlock/>
                </v:shape>
                <o:OLEObject Type="Embed" ProgID="Visio.Drawing.15" ShapeID="_x0000_i1026" DrawAspect="Content" ObjectID="_1468075726" r:id="rId10">
                  <o:LockedField>false</o:LockedField>
                </o:OLEObject>
              </w:object>
            </w:r>
          </w:p>
          <w:p w14:paraId="69C43A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Cs/>
                <w:color w:val="auto"/>
                <w:sz w:val="24"/>
                <w:szCs w:val="24"/>
              </w:rPr>
            </w:pPr>
            <w:r>
              <w:rPr>
                <w:rFonts w:hint="eastAsia"/>
                <w:b/>
                <w:color w:val="auto"/>
                <w:szCs w:val="21"/>
              </w:rPr>
              <w:t xml:space="preserve">图2.3  </w:t>
            </w:r>
            <w:r>
              <w:rPr>
                <w:rFonts w:hint="eastAsia"/>
                <w:b/>
                <w:color w:val="auto"/>
                <w:szCs w:val="21"/>
                <w:lang w:val="en-US" w:eastAsia="zh-CN"/>
              </w:rPr>
              <w:t>商混站</w:t>
            </w:r>
            <w:r>
              <w:rPr>
                <w:rFonts w:hint="eastAsia"/>
                <w:b/>
                <w:color w:val="auto"/>
                <w:szCs w:val="21"/>
              </w:rPr>
              <w:t>运营期工艺流程及产污环节</w:t>
            </w:r>
            <w:r>
              <w:rPr>
                <w:rFonts w:hint="eastAsia"/>
                <w:b/>
                <w:color w:val="auto"/>
                <w:szCs w:val="21"/>
                <w:lang w:val="en-US" w:eastAsia="zh-CN"/>
              </w:rPr>
              <w:t>示意</w:t>
            </w:r>
            <w:r>
              <w:rPr>
                <w:rFonts w:hint="eastAsia"/>
                <w:b/>
                <w:color w:val="auto"/>
                <w:szCs w:val="21"/>
              </w:rPr>
              <w:t>图</w:t>
            </w:r>
          </w:p>
        </w:tc>
      </w:tr>
      <w:tr w14:paraId="20F74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23" w:type="dxa"/>
            <w:noWrap w:val="0"/>
            <w:vAlign w:val="center"/>
          </w:tcPr>
          <w:p w14:paraId="7B66C320">
            <w:pPr>
              <w:pStyle w:val="24"/>
              <w:adjustRightInd w:val="0"/>
              <w:snapToGrid w:val="0"/>
              <w:spacing w:before="0" w:beforeAutospacing="0" w:after="0" w:afterAutospacing="0"/>
              <w:jc w:val="center"/>
              <w:rPr>
                <w:rFonts w:cs="宋体"/>
                <w:color w:val="auto"/>
                <w:sz w:val="24"/>
                <w:szCs w:val="24"/>
              </w:rPr>
            </w:pPr>
            <w:r>
              <w:rPr>
                <w:rFonts w:hint="eastAsia" w:cs="宋体"/>
                <w:bCs/>
                <w:color w:val="auto"/>
                <w:kern w:val="2"/>
                <w:sz w:val="24"/>
                <w:szCs w:val="24"/>
              </w:rPr>
              <w:t>与项目有关的原有环境污染问题</w:t>
            </w:r>
          </w:p>
        </w:tc>
        <w:tc>
          <w:tcPr>
            <w:tcW w:w="8161" w:type="dxa"/>
            <w:noWrap w:val="0"/>
            <w:vAlign w:val="center"/>
          </w:tcPr>
          <w:p w14:paraId="0F201A8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bCs/>
                <w:color w:val="auto"/>
                <w:sz w:val="24"/>
                <w:szCs w:val="24"/>
              </w:rPr>
            </w:pPr>
            <w:r>
              <w:rPr>
                <w:rFonts w:hint="eastAsia"/>
                <w:bCs/>
                <w:color w:val="auto"/>
                <w:sz w:val="24"/>
              </w:rPr>
              <w:t>项目为新建项目，不存在与项目有关的原有污染情况及主要环境问题。</w:t>
            </w:r>
          </w:p>
        </w:tc>
      </w:tr>
    </w:tbl>
    <w:p w14:paraId="26470EF2">
      <w:pPr>
        <w:pStyle w:val="24"/>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D0096CF">
      <w:pPr>
        <w:pStyle w:val="24"/>
        <w:jc w:val="center"/>
        <w:outlineLvl w:val="0"/>
        <w:rPr>
          <w:rFonts w:ascii="黑体" w:hAnsi="黑体" w:eastAsia="黑体"/>
          <w:snapToGrid w:val="0"/>
          <w:color w:val="auto"/>
          <w:sz w:val="30"/>
          <w:szCs w:val="30"/>
        </w:rPr>
      </w:pPr>
      <w:bookmarkStart w:id="6" w:name="_Toc9861"/>
      <w:r>
        <w:rPr>
          <w:rFonts w:hint="eastAsia" w:ascii="黑体" w:hAnsi="黑体" w:eastAsia="黑体"/>
          <w:snapToGrid w:val="0"/>
          <w:color w:val="auto"/>
          <w:sz w:val="30"/>
          <w:szCs w:val="30"/>
        </w:rPr>
        <w:t>三、区域环境质量现状、环境保护目标及评价标准</w:t>
      </w:r>
      <w:bookmarkEnd w:id="6"/>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4A92D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14:paraId="2A24F0A9">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区域</w:t>
            </w:r>
          </w:p>
          <w:p w14:paraId="25B8FA90">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环境</w:t>
            </w:r>
          </w:p>
          <w:p w14:paraId="7EB6498E">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质量</w:t>
            </w:r>
          </w:p>
          <w:p w14:paraId="584707C4">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现状</w:t>
            </w:r>
          </w:p>
        </w:tc>
        <w:tc>
          <w:tcPr>
            <w:tcW w:w="8190" w:type="dxa"/>
            <w:noWrap w:val="0"/>
            <w:vAlign w:val="top"/>
          </w:tcPr>
          <w:p w14:paraId="6A4932D6">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3.1</w:t>
            </w:r>
            <w:r>
              <w:rPr>
                <w:rFonts w:hint="default" w:ascii="Times New Roman" w:hAnsi="Times New Roman" w:cs="Times New Roman"/>
                <w:b/>
                <w:bCs/>
                <w:color w:val="auto"/>
                <w:sz w:val="24"/>
                <w:highlight w:val="none"/>
              </w:rPr>
              <w:t>环境空气质量现状调查与评价</w:t>
            </w:r>
          </w:p>
          <w:p w14:paraId="506CF61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1、达标情况判定</w:t>
            </w:r>
          </w:p>
          <w:p w14:paraId="1E6C34C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color w:val="auto"/>
                <w:sz w:val="24"/>
                <w:szCs w:val="32"/>
              </w:rPr>
            </w:pPr>
            <w:r>
              <w:rPr>
                <w:rFonts w:hint="eastAsia"/>
                <w:color w:val="auto"/>
                <w:sz w:val="24"/>
                <w:szCs w:val="32"/>
                <w:lang w:val="en-US" w:eastAsia="zh-CN"/>
              </w:rPr>
              <w:t>根据中华人民共和国生态环境部环境工程评估中心发布的“环境空气质量模型技术支持服务系统”中塔城地区2025年达标区判定数据。塔城地区环境空气中六项基本污染物</w:t>
            </w:r>
            <w:r>
              <w:rPr>
                <w:color w:val="auto"/>
                <w:sz w:val="24"/>
                <w:szCs w:val="32"/>
              </w:rPr>
              <w:t>SO</w:t>
            </w:r>
            <w:r>
              <w:rPr>
                <w:color w:val="auto"/>
                <w:sz w:val="24"/>
                <w:szCs w:val="32"/>
                <w:vertAlign w:val="subscript"/>
              </w:rPr>
              <w:t>2</w:t>
            </w:r>
            <w:r>
              <w:rPr>
                <w:color w:val="auto"/>
                <w:sz w:val="24"/>
                <w:szCs w:val="32"/>
              </w:rPr>
              <w:t>、NO</w:t>
            </w:r>
            <w:r>
              <w:rPr>
                <w:color w:val="auto"/>
                <w:sz w:val="24"/>
                <w:szCs w:val="32"/>
                <w:vertAlign w:val="subscript"/>
              </w:rPr>
              <w:t>2</w:t>
            </w:r>
            <w:r>
              <w:rPr>
                <w:color w:val="auto"/>
                <w:sz w:val="24"/>
                <w:szCs w:val="32"/>
              </w:rPr>
              <w:t>、PM</w:t>
            </w:r>
            <w:r>
              <w:rPr>
                <w:color w:val="auto"/>
                <w:sz w:val="24"/>
                <w:szCs w:val="32"/>
                <w:vertAlign w:val="subscript"/>
              </w:rPr>
              <w:t>10</w:t>
            </w:r>
            <w:r>
              <w:rPr>
                <w:color w:val="auto"/>
                <w:sz w:val="24"/>
                <w:szCs w:val="32"/>
              </w:rPr>
              <w:t>、PM</w:t>
            </w:r>
            <w:r>
              <w:rPr>
                <w:color w:val="auto"/>
                <w:sz w:val="24"/>
                <w:szCs w:val="32"/>
                <w:vertAlign w:val="subscript"/>
              </w:rPr>
              <w:t>2.5</w:t>
            </w:r>
            <w:r>
              <w:rPr>
                <w:color w:val="auto"/>
                <w:sz w:val="24"/>
                <w:szCs w:val="32"/>
              </w:rPr>
              <w:t>、CO、O</w:t>
            </w:r>
            <w:r>
              <w:rPr>
                <w:color w:val="auto"/>
                <w:sz w:val="24"/>
                <w:szCs w:val="32"/>
                <w:vertAlign w:val="subscript"/>
              </w:rPr>
              <w:t>3</w:t>
            </w:r>
            <w:r>
              <w:rPr>
                <w:color w:val="auto"/>
                <w:sz w:val="24"/>
                <w:szCs w:val="32"/>
              </w:rPr>
              <w:t>监测结果，对区域环境空气质量现状进行分析，统计结果见下表。</w:t>
            </w:r>
          </w:p>
          <w:p w14:paraId="5EA663C6">
            <w:pPr>
              <w:pStyle w:val="61"/>
              <w:ind w:firstLine="0" w:firstLineChars="0"/>
              <w:rPr>
                <w:color w:val="auto"/>
                <w:highlight w:val="none"/>
                <w:lang w:val="en-GB"/>
              </w:rPr>
            </w:pPr>
            <w:r>
              <w:rPr>
                <w:color w:val="auto"/>
                <w:highlight w:val="none"/>
                <w:lang w:val="en-GB"/>
              </w:rPr>
              <w:t>表</w:t>
            </w:r>
            <w:r>
              <w:rPr>
                <w:color w:val="auto"/>
                <w:highlight w:val="none"/>
              </w:rPr>
              <w:t>3-</w:t>
            </w:r>
            <w:r>
              <w:rPr>
                <w:rFonts w:hint="eastAsia"/>
                <w:color w:val="auto"/>
                <w:highlight w:val="none"/>
                <w:lang w:val="en-US" w:eastAsia="zh-CN"/>
              </w:rPr>
              <w:t xml:space="preserve">1 </w:t>
            </w:r>
            <w:r>
              <w:rPr>
                <w:color w:val="auto"/>
                <w:highlight w:val="none"/>
                <w:lang w:val="en-GB"/>
              </w:rPr>
              <w:t xml:space="preserve"> 环境空气质量及评价结果一览表</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2722"/>
              <w:gridCol w:w="1170"/>
              <w:gridCol w:w="1329"/>
              <w:gridCol w:w="872"/>
              <w:gridCol w:w="785"/>
            </w:tblGrid>
            <w:tr w14:paraId="44E15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1A88AE86">
                  <w:pPr>
                    <w:pStyle w:val="62"/>
                    <w:spacing w:line="240" w:lineRule="exact"/>
                    <w:rPr>
                      <w:b/>
                      <w:bCs/>
                      <w:color w:val="auto"/>
                      <w:highlight w:val="none"/>
                    </w:rPr>
                  </w:pPr>
                  <w:r>
                    <w:rPr>
                      <w:b/>
                      <w:bCs/>
                      <w:color w:val="auto"/>
                      <w:highlight w:val="none"/>
                    </w:rPr>
                    <w:t>监测</w:t>
                  </w:r>
                </w:p>
                <w:p w14:paraId="0C243693">
                  <w:pPr>
                    <w:pStyle w:val="62"/>
                    <w:spacing w:line="240" w:lineRule="exact"/>
                    <w:rPr>
                      <w:b/>
                      <w:bCs/>
                      <w:color w:val="auto"/>
                      <w:highlight w:val="none"/>
                    </w:rPr>
                  </w:pPr>
                  <w:r>
                    <w:rPr>
                      <w:b/>
                      <w:bCs/>
                      <w:color w:val="auto"/>
                      <w:highlight w:val="none"/>
                    </w:rPr>
                    <w:t>因子</w:t>
                  </w:r>
                </w:p>
              </w:tc>
              <w:tc>
                <w:tcPr>
                  <w:tcW w:w="1707" w:type="pct"/>
                  <w:noWrap w:val="0"/>
                  <w:vAlign w:val="center"/>
                </w:tcPr>
                <w:p w14:paraId="30FF3A72">
                  <w:pPr>
                    <w:pStyle w:val="62"/>
                    <w:spacing w:line="240" w:lineRule="exact"/>
                    <w:rPr>
                      <w:b/>
                      <w:bCs/>
                      <w:color w:val="auto"/>
                      <w:highlight w:val="none"/>
                    </w:rPr>
                  </w:pPr>
                  <w:r>
                    <w:rPr>
                      <w:b/>
                      <w:bCs/>
                      <w:color w:val="auto"/>
                      <w:highlight w:val="none"/>
                    </w:rPr>
                    <w:t>评价指标</w:t>
                  </w:r>
                </w:p>
              </w:tc>
              <w:tc>
                <w:tcPr>
                  <w:tcW w:w="733" w:type="pct"/>
                  <w:noWrap w:val="0"/>
                  <w:vAlign w:val="center"/>
                </w:tcPr>
                <w:p w14:paraId="0CDE420C">
                  <w:pPr>
                    <w:pStyle w:val="62"/>
                    <w:spacing w:line="240" w:lineRule="exact"/>
                    <w:rPr>
                      <w:b/>
                      <w:bCs/>
                      <w:color w:val="auto"/>
                      <w:highlight w:val="none"/>
                    </w:rPr>
                  </w:pPr>
                  <w:r>
                    <w:rPr>
                      <w:b/>
                      <w:bCs/>
                      <w:color w:val="auto"/>
                      <w:highlight w:val="none"/>
                    </w:rPr>
                    <w:t>现状浓度（μg/m</w:t>
                  </w:r>
                  <w:r>
                    <w:rPr>
                      <w:b/>
                      <w:bCs/>
                      <w:color w:val="auto"/>
                      <w:highlight w:val="none"/>
                      <w:vertAlign w:val="superscript"/>
                    </w:rPr>
                    <w:t>3</w:t>
                  </w:r>
                  <w:r>
                    <w:rPr>
                      <w:b/>
                      <w:bCs/>
                      <w:color w:val="auto"/>
                      <w:highlight w:val="none"/>
                    </w:rPr>
                    <w:t>）</w:t>
                  </w:r>
                </w:p>
              </w:tc>
              <w:tc>
                <w:tcPr>
                  <w:tcW w:w="833" w:type="pct"/>
                  <w:noWrap w:val="0"/>
                  <w:vAlign w:val="center"/>
                </w:tcPr>
                <w:p w14:paraId="0ECCF8DF">
                  <w:pPr>
                    <w:pStyle w:val="62"/>
                    <w:spacing w:line="240" w:lineRule="exact"/>
                    <w:rPr>
                      <w:b/>
                      <w:bCs/>
                      <w:color w:val="auto"/>
                      <w:highlight w:val="none"/>
                    </w:rPr>
                  </w:pPr>
                  <w:r>
                    <w:rPr>
                      <w:b/>
                      <w:bCs/>
                      <w:color w:val="auto"/>
                      <w:highlight w:val="none"/>
                    </w:rPr>
                    <w:t>标准值</w:t>
                  </w:r>
                </w:p>
                <w:p w14:paraId="6F5D1F87">
                  <w:pPr>
                    <w:pStyle w:val="62"/>
                    <w:spacing w:line="240" w:lineRule="exact"/>
                    <w:rPr>
                      <w:b/>
                      <w:bCs/>
                      <w:color w:val="auto"/>
                      <w:highlight w:val="none"/>
                    </w:rPr>
                  </w:pPr>
                  <w:r>
                    <w:rPr>
                      <w:b/>
                      <w:bCs/>
                      <w:color w:val="auto"/>
                      <w:highlight w:val="none"/>
                    </w:rPr>
                    <w:t>（μg/m</w:t>
                  </w:r>
                  <w:r>
                    <w:rPr>
                      <w:b/>
                      <w:bCs/>
                      <w:color w:val="auto"/>
                      <w:highlight w:val="none"/>
                      <w:vertAlign w:val="superscript"/>
                    </w:rPr>
                    <w:t>3</w:t>
                  </w:r>
                  <w:r>
                    <w:rPr>
                      <w:b/>
                      <w:bCs/>
                      <w:color w:val="auto"/>
                      <w:highlight w:val="none"/>
                    </w:rPr>
                    <w:t>）</w:t>
                  </w:r>
                </w:p>
              </w:tc>
              <w:tc>
                <w:tcPr>
                  <w:tcW w:w="547" w:type="pct"/>
                  <w:noWrap w:val="0"/>
                  <w:vAlign w:val="center"/>
                </w:tcPr>
                <w:p w14:paraId="543E7A97">
                  <w:pPr>
                    <w:pStyle w:val="62"/>
                    <w:spacing w:line="240" w:lineRule="exact"/>
                    <w:rPr>
                      <w:b/>
                      <w:bCs/>
                      <w:color w:val="auto"/>
                      <w:highlight w:val="none"/>
                    </w:rPr>
                  </w:pPr>
                  <w:r>
                    <w:rPr>
                      <w:b/>
                      <w:bCs/>
                      <w:color w:val="auto"/>
                      <w:highlight w:val="none"/>
                    </w:rPr>
                    <w:t>占标率（%）</w:t>
                  </w:r>
                </w:p>
              </w:tc>
              <w:tc>
                <w:tcPr>
                  <w:tcW w:w="492" w:type="pct"/>
                  <w:noWrap w:val="0"/>
                  <w:vAlign w:val="center"/>
                </w:tcPr>
                <w:p w14:paraId="4AAEA9D6">
                  <w:pPr>
                    <w:pStyle w:val="62"/>
                    <w:spacing w:line="240" w:lineRule="exact"/>
                    <w:rPr>
                      <w:b/>
                      <w:bCs/>
                      <w:color w:val="auto"/>
                      <w:highlight w:val="none"/>
                    </w:rPr>
                  </w:pPr>
                  <w:r>
                    <w:rPr>
                      <w:b/>
                      <w:bCs/>
                      <w:color w:val="auto"/>
                      <w:highlight w:val="none"/>
                    </w:rPr>
                    <w:t>达标</w:t>
                  </w:r>
                </w:p>
                <w:p w14:paraId="192B93BB">
                  <w:pPr>
                    <w:pStyle w:val="62"/>
                    <w:spacing w:line="240" w:lineRule="exact"/>
                    <w:rPr>
                      <w:b/>
                      <w:bCs/>
                      <w:color w:val="auto"/>
                      <w:highlight w:val="none"/>
                    </w:rPr>
                  </w:pPr>
                  <w:r>
                    <w:rPr>
                      <w:b/>
                      <w:bCs/>
                      <w:color w:val="auto"/>
                      <w:highlight w:val="none"/>
                    </w:rPr>
                    <w:t>情况</w:t>
                  </w:r>
                </w:p>
              </w:tc>
            </w:tr>
            <w:tr w14:paraId="0DFF9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2A841611">
                  <w:pPr>
                    <w:pStyle w:val="62"/>
                    <w:spacing w:line="240" w:lineRule="exact"/>
                    <w:rPr>
                      <w:color w:val="auto"/>
                      <w:highlight w:val="none"/>
                    </w:rPr>
                  </w:pPr>
                  <w:r>
                    <w:rPr>
                      <w:color w:val="auto"/>
                      <w:highlight w:val="none"/>
                    </w:rPr>
                    <w:t>SO</w:t>
                  </w:r>
                  <w:r>
                    <w:rPr>
                      <w:color w:val="auto"/>
                      <w:highlight w:val="none"/>
                      <w:vertAlign w:val="subscript"/>
                    </w:rPr>
                    <w:t>2</w:t>
                  </w:r>
                </w:p>
              </w:tc>
              <w:tc>
                <w:tcPr>
                  <w:tcW w:w="1707" w:type="pct"/>
                  <w:noWrap w:val="0"/>
                  <w:vAlign w:val="center"/>
                </w:tcPr>
                <w:p w14:paraId="112F9543">
                  <w:pPr>
                    <w:pStyle w:val="62"/>
                    <w:spacing w:line="240" w:lineRule="exact"/>
                    <w:rPr>
                      <w:color w:val="auto"/>
                      <w:highlight w:val="none"/>
                    </w:rPr>
                  </w:pPr>
                  <w:r>
                    <w:rPr>
                      <w:color w:val="auto"/>
                      <w:highlight w:val="none"/>
                    </w:rPr>
                    <w:t>年平均值</w:t>
                  </w:r>
                </w:p>
              </w:tc>
              <w:tc>
                <w:tcPr>
                  <w:tcW w:w="733" w:type="pct"/>
                  <w:noWrap w:val="0"/>
                  <w:vAlign w:val="center"/>
                </w:tcPr>
                <w:p w14:paraId="0028CC7D">
                  <w:pPr>
                    <w:pStyle w:val="62"/>
                    <w:spacing w:line="240" w:lineRule="exact"/>
                    <w:rPr>
                      <w:rFonts w:hint="eastAsia" w:eastAsia="宋体"/>
                      <w:color w:val="auto"/>
                      <w:highlight w:val="none"/>
                      <w:lang w:eastAsia="zh-CN"/>
                    </w:rPr>
                  </w:pPr>
                  <w:r>
                    <w:rPr>
                      <w:rFonts w:hint="eastAsia"/>
                      <w:color w:val="auto"/>
                      <w:highlight w:val="none"/>
                      <w:lang w:val="en-US" w:eastAsia="zh-CN"/>
                    </w:rPr>
                    <w:t>4</w:t>
                  </w:r>
                </w:p>
              </w:tc>
              <w:tc>
                <w:tcPr>
                  <w:tcW w:w="833" w:type="pct"/>
                  <w:noWrap w:val="0"/>
                  <w:vAlign w:val="center"/>
                </w:tcPr>
                <w:p w14:paraId="7670EF4D">
                  <w:pPr>
                    <w:pStyle w:val="62"/>
                    <w:spacing w:line="240" w:lineRule="exact"/>
                    <w:rPr>
                      <w:color w:val="auto"/>
                      <w:highlight w:val="none"/>
                    </w:rPr>
                  </w:pPr>
                  <w:r>
                    <w:rPr>
                      <w:color w:val="auto"/>
                      <w:highlight w:val="none"/>
                    </w:rPr>
                    <w:t>60</w:t>
                  </w:r>
                </w:p>
              </w:tc>
              <w:tc>
                <w:tcPr>
                  <w:tcW w:w="547" w:type="pct"/>
                  <w:noWrap w:val="0"/>
                  <w:vAlign w:val="center"/>
                </w:tcPr>
                <w:p w14:paraId="2D04D897">
                  <w:pPr>
                    <w:pStyle w:val="62"/>
                    <w:spacing w:line="240" w:lineRule="exact"/>
                    <w:rPr>
                      <w:rFonts w:hint="default" w:eastAsia="宋体"/>
                      <w:color w:val="auto"/>
                      <w:highlight w:val="none"/>
                      <w:lang w:val="en-US" w:eastAsia="zh-CN"/>
                    </w:rPr>
                  </w:pPr>
                  <w:r>
                    <w:rPr>
                      <w:rFonts w:hint="eastAsia"/>
                      <w:color w:val="auto"/>
                      <w:highlight w:val="none"/>
                      <w:lang w:val="en-US" w:eastAsia="zh-CN"/>
                    </w:rPr>
                    <w:t>6.67</w:t>
                  </w:r>
                </w:p>
              </w:tc>
              <w:tc>
                <w:tcPr>
                  <w:tcW w:w="492" w:type="pct"/>
                  <w:noWrap w:val="0"/>
                  <w:vAlign w:val="center"/>
                </w:tcPr>
                <w:p w14:paraId="0F22BF91">
                  <w:pPr>
                    <w:pStyle w:val="62"/>
                    <w:spacing w:line="240" w:lineRule="exact"/>
                    <w:rPr>
                      <w:color w:val="auto"/>
                      <w:highlight w:val="none"/>
                    </w:rPr>
                  </w:pPr>
                  <w:r>
                    <w:rPr>
                      <w:color w:val="auto"/>
                      <w:highlight w:val="none"/>
                    </w:rPr>
                    <w:t>达标</w:t>
                  </w:r>
                </w:p>
              </w:tc>
            </w:tr>
            <w:tr w14:paraId="58F3E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18D0FDE1">
                  <w:pPr>
                    <w:pStyle w:val="62"/>
                    <w:spacing w:line="240" w:lineRule="exact"/>
                    <w:rPr>
                      <w:color w:val="auto"/>
                      <w:highlight w:val="none"/>
                    </w:rPr>
                  </w:pPr>
                  <w:r>
                    <w:rPr>
                      <w:color w:val="auto"/>
                      <w:highlight w:val="none"/>
                    </w:rPr>
                    <w:t>NO</w:t>
                  </w:r>
                  <w:r>
                    <w:rPr>
                      <w:color w:val="auto"/>
                      <w:highlight w:val="none"/>
                      <w:vertAlign w:val="subscript"/>
                    </w:rPr>
                    <w:t>2</w:t>
                  </w:r>
                </w:p>
              </w:tc>
              <w:tc>
                <w:tcPr>
                  <w:tcW w:w="1707" w:type="pct"/>
                  <w:noWrap w:val="0"/>
                  <w:vAlign w:val="center"/>
                </w:tcPr>
                <w:p w14:paraId="2FE03968">
                  <w:pPr>
                    <w:pStyle w:val="62"/>
                    <w:spacing w:line="240" w:lineRule="exact"/>
                    <w:rPr>
                      <w:color w:val="auto"/>
                      <w:highlight w:val="none"/>
                    </w:rPr>
                  </w:pPr>
                  <w:r>
                    <w:rPr>
                      <w:color w:val="auto"/>
                      <w:highlight w:val="none"/>
                    </w:rPr>
                    <w:t>年平均值</w:t>
                  </w:r>
                </w:p>
              </w:tc>
              <w:tc>
                <w:tcPr>
                  <w:tcW w:w="733" w:type="pct"/>
                  <w:noWrap w:val="0"/>
                  <w:vAlign w:val="center"/>
                </w:tcPr>
                <w:p w14:paraId="15C9994D">
                  <w:pPr>
                    <w:pStyle w:val="62"/>
                    <w:spacing w:line="240" w:lineRule="exact"/>
                    <w:rPr>
                      <w:rFonts w:hint="default" w:eastAsia="宋体"/>
                      <w:color w:val="auto"/>
                      <w:highlight w:val="none"/>
                      <w:lang w:val="en-US" w:eastAsia="zh-CN"/>
                    </w:rPr>
                  </w:pPr>
                  <w:r>
                    <w:rPr>
                      <w:rFonts w:hint="eastAsia"/>
                      <w:color w:val="auto"/>
                      <w:highlight w:val="none"/>
                      <w:lang w:val="en-US" w:eastAsia="zh-CN"/>
                    </w:rPr>
                    <w:t>9</w:t>
                  </w:r>
                </w:p>
              </w:tc>
              <w:tc>
                <w:tcPr>
                  <w:tcW w:w="833" w:type="pct"/>
                  <w:noWrap w:val="0"/>
                  <w:vAlign w:val="center"/>
                </w:tcPr>
                <w:p w14:paraId="37A005F8">
                  <w:pPr>
                    <w:pStyle w:val="62"/>
                    <w:spacing w:line="240" w:lineRule="exact"/>
                    <w:rPr>
                      <w:color w:val="auto"/>
                      <w:highlight w:val="none"/>
                    </w:rPr>
                  </w:pPr>
                  <w:r>
                    <w:rPr>
                      <w:color w:val="auto"/>
                      <w:highlight w:val="none"/>
                    </w:rPr>
                    <w:t>40</w:t>
                  </w:r>
                </w:p>
              </w:tc>
              <w:tc>
                <w:tcPr>
                  <w:tcW w:w="547" w:type="pct"/>
                  <w:noWrap w:val="0"/>
                  <w:vAlign w:val="center"/>
                </w:tcPr>
                <w:p w14:paraId="581D94AF">
                  <w:pPr>
                    <w:pStyle w:val="62"/>
                    <w:spacing w:line="240" w:lineRule="exact"/>
                    <w:rPr>
                      <w:rFonts w:hint="default" w:eastAsia="宋体"/>
                      <w:color w:val="auto"/>
                      <w:highlight w:val="none"/>
                      <w:lang w:val="en-US" w:eastAsia="zh-CN"/>
                    </w:rPr>
                  </w:pPr>
                  <w:r>
                    <w:rPr>
                      <w:rFonts w:hint="eastAsia"/>
                      <w:color w:val="auto"/>
                      <w:highlight w:val="none"/>
                      <w:lang w:val="en-US" w:eastAsia="zh-CN"/>
                    </w:rPr>
                    <w:t>22.50</w:t>
                  </w:r>
                </w:p>
              </w:tc>
              <w:tc>
                <w:tcPr>
                  <w:tcW w:w="492" w:type="pct"/>
                  <w:noWrap w:val="0"/>
                  <w:vAlign w:val="center"/>
                </w:tcPr>
                <w:p w14:paraId="69F79277">
                  <w:pPr>
                    <w:pStyle w:val="62"/>
                    <w:spacing w:line="240" w:lineRule="exact"/>
                    <w:rPr>
                      <w:color w:val="auto"/>
                      <w:highlight w:val="none"/>
                    </w:rPr>
                  </w:pPr>
                  <w:r>
                    <w:rPr>
                      <w:color w:val="auto"/>
                      <w:highlight w:val="none"/>
                    </w:rPr>
                    <w:t>达标</w:t>
                  </w:r>
                </w:p>
              </w:tc>
            </w:tr>
            <w:tr w14:paraId="171B0F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37E40A1B">
                  <w:pPr>
                    <w:pStyle w:val="62"/>
                    <w:spacing w:line="240" w:lineRule="exact"/>
                    <w:rPr>
                      <w:color w:val="auto"/>
                      <w:highlight w:val="none"/>
                    </w:rPr>
                  </w:pPr>
                  <w:r>
                    <w:rPr>
                      <w:color w:val="auto"/>
                      <w:highlight w:val="none"/>
                    </w:rPr>
                    <w:t>PM</w:t>
                  </w:r>
                  <w:r>
                    <w:rPr>
                      <w:color w:val="auto"/>
                      <w:highlight w:val="none"/>
                      <w:vertAlign w:val="subscript"/>
                    </w:rPr>
                    <w:t>10</w:t>
                  </w:r>
                </w:p>
              </w:tc>
              <w:tc>
                <w:tcPr>
                  <w:tcW w:w="1707" w:type="pct"/>
                  <w:noWrap w:val="0"/>
                  <w:vAlign w:val="center"/>
                </w:tcPr>
                <w:p w14:paraId="683BFB82">
                  <w:pPr>
                    <w:pStyle w:val="62"/>
                    <w:spacing w:line="240" w:lineRule="exact"/>
                    <w:rPr>
                      <w:color w:val="auto"/>
                      <w:highlight w:val="none"/>
                    </w:rPr>
                  </w:pPr>
                  <w:r>
                    <w:rPr>
                      <w:color w:val="auto"/>
                      <w:highlight w:val="none"/>
                    </w:rPr>
                    <w:t>年平均值</w:t>
                  </w:r>
                </w:p>
              </w:tc>
              <w:tc>
                <w:tcPr>
                  <w:tcW w:w="733" w:type="pct"/>
                  <w:noWrap w:val="0"/>
                  <w:vAlign w:val="center"/>
                </w:tcPr>
                <w:p w14:paraId="193870C7">
                  <w:pPr>
                    <w:pStyle w:val="62"/>
                    <w:spacing w:line="240" w:lineRule="exact"/>
                    <w:rPr>
                      <w:rFonts w:hint="default" w:eastAsia="宋体"/>
                      <w:color w:val="auto"/>
                      <w:highlight w:val="none"/>
                      <w:lang w:val="en-US" w:eastAsia="zh-CN"/>
                    </w:rPr>
                  </w:pPr>
                  <w:r>
                    <w:rPr>
                      <w:rFonts w:hint="eastAsia"/>
                      <w:color w:val="auto"/>
                      <w:highlight w:val="none"/>
                      <w:lang w:val="en-US" w:eastAsia="zh-CN"/>
                    </w:rPr>
                    <w:t>26</w:t>
                  </w:r>
                </w:p>
              </w:tc>
              <w:tc>
                <w:tcPr>
                  <w:tcW w:w="833" w:type="pct"/>
                  <w:noWrap w:val="0"/>
                  <w:vAlign w:val="center"/>
                </w:tcPr>
                <w:p w14:paraId="06E986CB">
                  <w:pPr>
                    <w:pStyle w:val="62"/>
                    <w:spacing w:line="240" w:lineRule="exact"/>
                    <w:rPr>
                      <w:rFonts w:hint="default" w:eastAsia="宋体"/>
                      <w:color w:val="auto"/>
                      <w:highlight w:val="none"/>
                      <w:lang w:val="en-US" w:eastAsia="zh-CN"/>
                    </w:rPr>
                  </w:pPr>
                  <w:r>
                    <w:rPr>
                      <w:rFonts w:hint="eastAsia"/>
                      <w:color w:val="auto"/>
                      <w:highlight w:val="none"/>
                      <w:lang w:val="en-US" w:eastAsia="zh-CN"/>
                    </w:rPr>
                    <w:t>60</w:t>
                  </w:r>
                </w:p>
              </w:tc>
              <w:tc>
                <w:tcPr>
                  <w:tcW w:w="547" w:type="pct"/>
                  <w:noWrap w:val="0"/>
                  <w:vAlign w:val="center"/>
                </w:tcPr>
                <w:p w14:paraId="5DE696F4">
                  <w:pPr>
                    <w:pStyle w:val="62"/>
                    <w:spacing w:line="240" w:lineRule="exact"/>
                    <w:rPr>
                      <w:rFonts w:hint="default" w:eastAsia="宋体"/>
                      <w:color w:val="auto"/>
                      <w:highlight w:val="none"/>
                      <w:lang w:val="en-US" w:eastAsia="zh-CN"/>
                    </w:rPr>
                  </w:pPr>
                  <w:r>
                    <w:rPr>
                      <w:rFonts w:hint="eastAsia"/>
                      <w:color w:val="auto"/>
                      <w:highlight w:val="none"/>
                      <w:lang w:val="en-US" w:eastAsia="zh-CN"/>
                    </w:rPr>
                    <w:t>43.33</w:t>
                  </w:r>
                </w:p>
              </w:tc>
              <w:tc>
                <w:tcPr>
                  <w:tcW w:w="492" w:type="pct"/>
                  <w:noWrap w:val="0"/>
                  <w:vAlign w:val="center"/>
                </w:tcPr>
                <w:p w14:paraId="7E6382C6">
                  <w:pPr>
                    <w:pStyle w:val="62"/>
                    <w:spacing w:line="240" w:lineRule="exact"/>
                    <w:rPr>
                      <w:color w:val="auto"/>
                      <w:highlight w:val="none"/>
                    </w:rPr>
                  </w:pPr>
                  <w:r>
                    <w:rPr>
                      <w:color w:val="auto"/>
                      <w:highlight w:val="none"/>
                    </w:rPr>
                    <w:t>达标</w:t>
                  </w:r>
                </w:p>
              </w:tc>
            </w:tr>
            <w:tr w14:paraId="0680D9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2FCC9F9B">
                  <w:pPr>
                    <w:pStyle w:val="62"/>
                    <w:spacing w:line="240" w:lineRule="exact"/>
                    <w:rPr>
                      <w:color w:val="auto"/>
                      <w:highlight w:val="none"/>
                    </w:rPr>
                  </w:pPr>
                  <w:r>
                    <w:rPr>
                      <w:color w:val="auto"/>
                      <w:highlight w:val="none"/>
                    </w:rPr>
                    <w:t>PM</w:t>
                  </w:r>
                  <w:r>
                    <w:rPr>
                      <w:color w:val="auto"/>
                      <w:highlight w:val="none"/>
                      <w:vertAlign w:val="subscript"/>
                    </w:rPr>
                    <w:t>2.5</w:t>
                  </w:r>
                </w:p>
              </w:tc>
              <w:tc>
                <w:tcPr>
                  <w:tcW w:w="1707" w:type="pct"/>
                  <w:noWrap w:val="0"/>
                  <w:vAlign w:val="center"/>
                </w:tcPr>
                <w:p w14:paraId="3DEE37BF">
                  <w:pPr>
                    <w:pStyle w:val="62"/>
                    <w:spacing w:line="240" w:lineRule="exact"/>
                    <w:rPr>
                      <w:color w:val="auto"/>
                      <w:highlight w:val="none"/>
                    </w:rPr>
                  </w:pPr>
                  <w:r>
                    <w:rPr>
                      <w:color w:val="auto"/>
                      <w:highlight w:val="none"/>
                    </w:rPr>
                    <w:t>年平均值</w:t>
                  </w:r>
                </w:p>
              </w:tc>
              <w:tc>
                <w:tcPr>
                  <w:tcW w:w="733" w:type="pct"/>
                  <w:noWrap w:val="0"/>
                  <w:vAlign w:val="center"/>
                </w:tcPr>
                <w:p w14:paraId="378107C8">
                  <w:pPr>
                    <w:pStyle w:val="62"/>
                    <w:spacing w:line="240" w:lineRule="exact"/>
                    <w:rPr>
                      <w:rFonts w:hint="default" w:eastAsia="宋体"/>
                      <w:color w:val="auto"/>
                      <w:highlight w:val="none"/>
                      <w:lang w:val="en-US" w:eastAsia="zh-CN"/>
                    </w:rPr>
                  </w:pPr>
                  <w:r>
                    <w:rPr>
                      <w:rFonts w:hint="eastAsia"/>
                      <w:color w:val="auto"/>
                      <w:highlight w:val="none"/>
                      <w:lang w:val="en-US" w:eastAsia="zh-CN"/>
                    </w:rPr>
                    <w:t>10</w:t>
                  </w:r>
                </w:p>
              </w:tc>
              <w:tc>
                <w:tcPr>
                  <w:tcW w:w="833" w:type="pct"/>
                  <w:noWrap w:val="0"/>
                  <w:vAlign w:val="center"/>
                </w:tcPr>
                <w:p w14:paraId="47BDD09C">
                  <w:pPr>
                    <w:pStyle w:val="62"/>
                    <w:spacing w:line="240" w:lineRule="exact"/>
                    <w:rPr>
                      <w:rFonts w:hint="default" w:eastAsia="宋体"/>
                      <w:color w:val="auto"/>
                      <w:highlight w:val="none"/>
                      <w:lang w:val="en-US" w:eastAsia="zh-CN"/>
                    </w:rPr>
                  </w:pPr>
                  <w:r>
                    <w:rPr>
                      <w:rFonts w:hint="eastAsia"/>
                      <w:color w:val="auto"/>
                      <w:highlight w:val="none"/>
                      <w:lang w:val="en-US" w:eastAsia="zh-CN"/>
                    </w:rPr>
                    <w:t>30</w:t>
                  </w:r>
                </w:p>
              </w:tc>
              <w:tc>
                <w:tcPr>
                  <w:tcW w:w="547" w:type="pct"/>
                  <w:noWrap w:val="0"/>
                  <w:vAlign w:val="center"/>
                </w:tcPr>
                <w:p w14:paraId="4DAD4E46">
                  <w:pPr>
                    <w:pStyle w:val="62"/>
                    <w:spacing w:line="240" w:lineRule="exact"/>
                    <w:rPr>
                      <w:rFonts w:hint="default" w:eastAsia="宋体"/>
                      <w:color w:val="auto"/>
                      <w:highlight w:val="none"/>
                      <w:lang w:val="en-US" w:eastAsia="zh-CN"/>
                    </w:rPr>
                  </w:pPr>
                  <w:r>
                    <w:rPr>
                      <w:rFonts w:hint="eastAsia"/>
                      <w:color w:val="auto"/>
                      <w:highlight w:val="none"/>
                      <w:lang w:val="en-US" w:eastAsia="zh-CN"/>
                    </w:rPr>
                    <w:t>33.33</w:t>
                  </w:r>
                </w:p>
              </w:tc>
              <w:tc>
                <w:tcPr>
                  <w:tcW w:w="492" w:type="pct"/>
                  <w:noWrap w:val="0"/>
                  <w:vAlign w:val="center"/>
                </w:tcPr>
                <w:p w14:paraId="1BF962E5">
                  <w:pPr>
                    <w:pStyle w:val="62"/>
                    <w:spacing w:line="240" w:lineRule="exact"/>
                    <w:rPr>
                      <w:color w:val="auto"/>
                      <w:highlight w:val="none"/>
                    </w:rPr>
                  </w:pPr>
                  <w:r>
                    <w:rPr>
                      <w:color w:val="auto"/>
                      <w:highlight w:val="none"/>
                    </w:rPr>
                    <w:t>达标</w:t>
                  </w:r>
                </w:p>
              </w:tc>
            </w:tr>
            <w:tr w14:paraId="7B099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65F6752D">
                  <w:pPr>
                    <w:pStyle w:val="62"/>
                    <w:spacing w:line="240" w:lineRule="exact"/>
                    <w:rPr>
                      <w:color w:val="auto"/>
                      <w:highlight w:val="none"/>
                    </w:rPr>
                  </w:pPr>
                  <w:r>
                    <w:rPr>
                      <w:color w:val="auto"/>
                      <w:highlight w:val="none"/>
                    </w:rPr>
                    <w:t>CO</w:t>
                  </w:r>
                </w:p>
              </w:tc>
              <w:tc>
                <w:tcPr>
                  <w:tcW w:w="1707" w:type="pct"/>
                  <w:noWrap w:val="0"/>
                  <w:vAlign w:val="center"/>
                </w:tcPr>
                <w:p w14:paraId="3DB7701C">
                  <w:pPr>
                    <w:pStyle w:val="62"/>
                    <w:spacing w:line="240" w:lineRule="exact"/>
                    <w:rPr>
                      <w:color w:val="auto"/>
                      <w:highlight w:val="none"/>
                    </w:rPr>
                  </w:pPr>
                  <w:r>
                    <w:rPr>
                      <w:color w:val="auto"/>
                      <w:highlight w:val="none"/>
                    </w:rPr>
                    <w:t>24小时平均第95百分位数</w:t>
                  </w:r>
                </w:p>
              </w:tc>
              <w:tc>
                <w:tcPr>
                  <w:tcW w:w="733" w:type="pct"/>
                  <w:noWrap w:val="0"/>
                  <w:vAlign w:val="center"/>
                </w:tcPr>
                <w:p w14:paraId="08CC88CB">
                  <w:pPr>
                    <w:pStyle w:val="62"/>
                    <w:spacing w:line="240" w:lineRule="exact"/>
                    <w:rPr>
                      <w:color w:val="auto"/>
                      <w:highlight w:val="none"/>
                    </w:rPr>
                  </w:pPr>
                  <w:r>
                    <w:rPr>
                      <w:rFonts w:hint="eastAsia"/>
                      <w:color w:val="auto"/>
                      <w:highlight w:val="none"/>
                      <w:lang w:val="en-US" w:eastAsia="zh-CN"/>
                    </w:rPr>
                    <w:t>0.7</w:t>
                  </w:r>
                  <w:r>
                    <w:rPr>
                      <w:color w:val="auto"/>
                      <w:highlight w:val="none"/>
                    </w:rPr>
                    <w:t>（mg/m</w:t>
                  </w:r>
                  <w:r>
                    <w:rPr>
                      <w:color w:val="auto"/>
                      <w:highlight w:val="none"/>
                      <w:vertAlign w:val="superscript"/>
                    </w:rPr>
                    <w:t>3</w:t>
                  </w:r>
                  <w:r>
                    <w:rPr>
                      <w:color w:val="auto"/>
                      <w:highlight w:val="none"/>
                    </w:rPr>
                    <w:t>）</w:t>
                  </w:r>
                </w:p>
              </w:tc>
              <w:tc>
                <w:tcPr>
                  <w:tcW w:w="833" w:type="pct"/>
                  <w:noWrap w:val="0"/>
                  <w:vAlign w:val="center"/>
                </w:tcPr>
                <w:p w14:paraId="7FF565A2">
                  <w:pPr>
                    <w:pStyle w:val="62"/>
                    <w:spacing w:line="240" w:lineRule="exact"/>
                    <w:rPr>
                      <w:color w:val="auto"/>
                      <w:highlight w:val="none"/>
                    </w:rPr>
                  </w:pPr>
                  <w:r>
                    <w:rPr>
                      <w:color w:val="auto"/>
                      <w:highlight w:val="none"/>
                    </w:rPr>
                    <w:t>4</w:t>
                  </w:r>
                </w:p>
                <w:p w14:paraId="44E86D9D">
                  <w:pPr>
                    <w:pStyle w:val="62"/>
                    <w:spacing w:line="240" w:lineRule="exact"/>
                    <w:rPr>
                      <w:color w:val="auto"/>
                      <w:highlight w:val="none"/>
                    </w:rPr>
                  </w:pPr>
                  <w:r>
                    <w:rPr>
                      <w:color w:val="auto"/>
                      <w:highlight w:val="none"/>
                    </w:rPr>
                    <w:t>（mg/m</w:t>
                  </w:r>
                  <w:r>
                    <w:rPr>
                      <w:color w:val="auto"/>
                      <w:highlight w:val="none"/>
                      <w:vertAlign w:val="superscript"/>
                    </w:rPr>
                    <w:t>3</w:t>
                  </w:r>
                  <w:r>
                    <w:rPr>
                      <w:color w:val="auto"/>
                      <w:highlight w:val="none"/>
                    </w:rPr>
                    <w:t>）</w:t>
                  </w:r>
                </w:p>
              </w:tc>
              <w:tc>
                <w:tcPr>
                  <w:tcW w:w="547" w:type="pct"/>
                  <w:noWrap w:val="0"/>
                  <w:vAlign w:val="center"/>
                </w:tcPr>
                <w:p w14:paraId="45E3AE5A">
                  <w:pPr>
                    <w:pStyle w:val="62"/>
                    <w:spacing w:line="240" w:lineRule="exact"/>
                    <w:rPr>
                      <w:rFonts w:hint="default" w:eastAsia="宋体"/>
                      <w:color w:val="auto"/>
                      <w:highlight w:val="none"/>
                      <w:lang w:val="en-US" w:eastAsia="zh-CN"/>
                    </w:rPr>
                  </w:pPr>
                  <w:r>
                    <w:rPr>
                      <w:rFonts w:hint="eastAsia"/>
                      <w:color w:val="auto"/>
                      <w:highlight w:val="none"/>
                      <w:lang w:val="en-US" w:eastAsia="zh-CN"/>
                    </w:rPr>
                    <w:t>17.50</w:t>
                  </w:r>
                </w:p>
              </w:tc>
              <w:tc>
                <w:tcPr>
                  <w:tcW w:w="492" w:type="pct"/>
                  <w:noWrap w:val="0"/>
                  <w:vAlign w:val="center"/>
                </w:tcPr>
                <w:p w14:paraId="067852F0">
                  <w:pPr>
                    <w:pStyle w:val="62"/>
                    <w:spacing w:line="240" w:lineRule="exact"/>
                    <w:rPr>
                      <w:color w:val="auto"/>
                      <w:highlight w:val="none"/>
                    </w:rPr>
                  </w:pPr>
                  <w:r>
                    <w:rPr>
                      <w:color w:val="auto"/>
                      <w:highlight w:val="none"/>
                    </w:rPr>
                    <w:t>达标</w:t>
                  </w:r>
                </w:p>
              </w:tc>
            </w:tr>
            <w:tr w14:paraId="1513B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5E99D8C4">
                  <w:pPr>
                    <w:pStyle w:val="62"/>
                    <w:spacing w:line="240" w:lineRule="exact"/>
                    <w:rPr>
                      <w:color w:val="auto"/>
                      <w:highlight w:val="none"/>
                    </w:rPr>
                  </w:pPr>
                  <w:r>
                    <w:rPr>
                      <w:color w:val="auto"/>
                      <w:highlight w:val="none"/>
                    </w:rPr>
                    <w:t>O</w:t>
                  </w:r>
                  <w:r>
                    <w:rPr>
                      <w:color w:val="auto"/>
                      <w:highlight w:val="none"/>
                      <w:vertAlign w:val="subscript"/>
                    </w:rPr>
                    <w:t>3</w:t>
                  </w:r>
                </w:p>
              </w:tc>
              <w:tc>
                <w:tcPr>
                  <w:tcW w:w="1707" w:type="pct"/>
                  <w:noWrap w:val="0"/>
                  <w:vAlign w:val="center"/>
                </w:tcPr>
                <w:p w14:paraId="5756A5D1">
                  <w:pPr>
                    <w:pStyle w:val="62"/>
                    <w:spacing w:line="240" w:lineRule="exact"/>
                    <w:rPr>
                      <w:color w:val="auto"/>
                      <w:highlight w:val="none"/>
                    </w:rPr>
                  </w:pPr>
                  <w:r>
                    <w:rPr>
                      <w:color w:val="auto"/>
                      <w:highlight w:val="none"/>
                    </w:rPr>
                    <w:t>最大8小时平均第90百分位数</w:t>
                  </w:r>
                </w:p>
              </w:tc>
              <w:tc>
                <w:tcPr>
                  <w:tcW w:w="733" w:type="pct"/>
                  <w:noWrap w:val="0"/>
                  <w:vAlign w:val="center"/>
                </w:tcPr>
                <w:p w14:paraId="44F7CFCE">
                  <w:pPr>
                    <w:pStyle w:val="62"/>
                    <w:spacing w:line="240" w:lineRule="exact"/>
                    <w:rPr>
                      <w:rFonts w:hint="default" w:eastAsia="宋体"/>
                      <w:color w:val="auto"/>
                      <w:highlight w:val="none"/>
                      <w:lang w:val="en-US" w:eastAsia="zh-CN"/>
                    </w:rPr>
                  </w:pPr>
                  <w:r>
                    <w:rPr>
                      <w:rFonts w:hint="eastAsia"/>
                      <w:color w:val="auto"/>
                      <w:highlight w:val="none"/>
                      <w:lang w:val="en-US" w:eastAsia="zh-CN"/>
                    </w:rPr>
                    <w:t>109</w:t>
                  </w:r>
                </w:p>
              </w:tc>
              <w:tc>
                <w:tcPr>
                  <w:tcW w:w="833" w:type="pct"/>
                  <w:noWrap w:val="0"/>
                  <w:vAlign w:val="center"/>
                </w:tcPr>
                <w:p w14:paraId="20AF3FA2">
                  <w:pPr>
                    <w:pStyle w:val="62"/>
                    <w:spacing w:line="240" w:lineRule="exact"/>
                    <w:rPr>
                      <w:color w:val="auto"/>
                      <w:highlight w:val="none"/>
                    </w:rPr>
                  </w:pPr>
                  <w:r>
                    <w:rPr>
                      <w:color w:val="auto"/>
                      <w:highlight w:val="none"/>
                    </w:rPr>
                    <w:t>160</w:t>
                  </w:r>
                </w:p>
              </w:tc>
              <w:tc>
                <w:tcPr>
                  <w:tcW w:w="547" w:type="pct"/>
                  <w:noWrap w:val="0"/>
                  <w:vAlign w:val="center"/>
                </w:tcPr>
                <w:p w14:paraId="2ACE7A94">
                  <w:pPr>
                    <w:pStyle w:val="62"/>
                    <w:spacing w:line="240" w:lineRule="exact"/>
                    <w:rPr>
                      <w:rFonts w:hint="default" w:eastAsia="宋体"/>
                      <w:color w:val="auto"/>
                      <w:highlight w:val="none"/>
                      <w:lang w:val="en-US" w:eastAsia="zh-CN"/>
                    </w:rPr>
                  </w:pPr>
                  <w:r>
                    <w:rPr>
                      <w:rFonts w:hint="eastAsia"/>
                      <w:color w:val="auto"/>
                      <w:highlight w:val="none"/>
                      <w:lang w:val="en-US" w:eastAsia="zh-CN"/>
                    </w:rPr>
                    <w:t>68.13</w:t>
                  </w:r>
                </w:p>
              </w:tc>
              <w:tc>
                <w:tcPr>
                  <w:tcW w:w="492" w:type="pct"/>
                  <w:noWrap w:val="0"/>
                  <w:vAlign w:val="center"/>
                </w:tcPr>
                <w:p w14:paraId="03CCF089">
                  <w:pPr>
                    <w:pStyle w:val="62"/>
                    <w:spacing w:line="240" w:lineRule="exact"/>
                    <w:rPr>
                      <w:color w:val="auto"/>
                      <w:highlight w:val="none"/>
                    </w:rPr>
                  </w:pPr>
                  <w:r>
                    <w:rPr>
                      <w:color w:val="auto"/>
                      <w:highlight w:val="none"/>
                    </w:rPr>
                    <w:t>达标</w:t>
                  </w:r>
                </w:p>
              </w:tc>
            </w:tr>
          </w:tbl>
          <w:p w14:paraId="768D9F28">
            <w:pPr>
              <w:pStyle w:val="63"/>
              <w:ind w:firstLine="480" w:firstLineChars="200"/>
              <w:rPr>
                <w:rFonts w:hAnsi="Times New Roman"/>
                <w:color w:val="auto"/>
                <w:highlight w:val="none"/>
              </w:rPr>
            </w:pPr>
            <w:r>
              <w:rPr>
                <w:rFonts w:hAnsi="Times New Roman"/>
                <w:color w:val="auto"/>
                <w:highlight w:val="none"/>
              </w:rPr>
              <w:t>由上表可知：202</w:t>
            </w:r>
            <w:r>
              <w:rPr>
                <w:rFonts w:hint="eastAsia" w:hAnsi="Times New Roman"/>
                <w:color w:val="auto"/>
                <w:highlight w:val="none"/>
                <w:lang w:val="en-US" w:eastAsia="zh-CN"/>
              </w:rPr>
              <w:t>5</w:t>
            </w:r>
            <w:r>
              <w:rPr>
                <w:rFonts w:hAnsi="Times New Roman"/>
                <w:color w:val="auto"/>
                <w:highlight w:val="none"/>
              </w:rPr>
              <w:t>年项目所在地</w:t>
            </w:r>
            <w:r>
              <w:rPr>
                <w:rFonts w:hint="eastAsia" w:hAnsi="Times New Roman"/>
                <w:color w:val="auto"/>
                <w:highlight w:val="none"/>
                <w:lang w:eastAsia="zh-CN"/>
              </w:rPr>
              <w:t>塔城地区</w:t>
            </w:r>
            <w:r>
              <w:rPr>
                <w:rFonts w:hAnsi="Times New Roman"/>
                <w:color w:val="auto"/>
                <w:highlight w:val="none"/>
              </w:rPr>
              <w:t>SO</w:t>
            </w:r>
            <w:r>
              <w:rPr>
                <w:rFonts w:hAnsi="Times New Roman"/>
                <w:color w:val="auto"/>
                <w:highlight w:val="none"/>
                <w:vertAlign w:val="subscript"/>
              </w:rPr>
              <w:t>2</w:t>
            </w:r>
            <w:r>
              <w:rPr>
                <w:rFonts w:hAnsi="Times New Roman"/>
                <w:color w:val="auto"/>
                <w:highlight w:val="none"/>
              </w:rPr>
              <w:t>、NO</w:t>
            </w:r>
            <w:r>
              <w:rPr>
                <w:rFonts w:hAnsi="Times New Roman"/>
                <w:color w:val="auto"/>
                <w:highlight w:val="none"/>
                <w:vertAlign w:val="subscript"/>
              </w:rPr>
              <w:t>2</w:t>
            </w:r>
            <w:r>
              <w:rPr>
                <w:rFonts w:hAnsi="Times New Roman"/>
                <w:color w:val="auto"/>
                <w:highlight w:val="none"/>
              </w:rPr>
              <w:t>、PM</w:t>
            </w:r>
            <w:r>
              <w:rPr>
                <w:rFonts w:hAnsi="Times New Roman"/>
                <w:color w:val="auto"/>
                <w:highlight w:val="none"/>
                <w:vertAlign w:val="subscript"/>
              </w:rPr>
              <w:t>10</w:t>
            </w:r>
            <w:r>
              <w:rPr>
                <w:rFonts w:hAnsi="Times New Roman"/>
                <w:color w:val="auto"/>
                <w:highlight w:val="none"/>
              </w:rPr>
              <w:t>、PM</w:t>
            </w:r>
            <w:r>
              <w:rPr>
                <w:rFonts w:hAnsi="Times New Roman"/>
                <w:color w:val="auto"/>
                <w:highlight w:val="none"/>
                <w:vertAlign w:val="subscript"/>
              </w:rPr>
              <w:t>2.5</w:t>
            </w:r>
            <w:r>
              <w:rPr>
                <w:rFonts w:hAnsi="Times New Roman"/>
                <w:color w:val="auto"/>
                <w:highlight w:val="none"/>
              </w:rPr>
              <w:t>、CO、O</w:t>
            </w:r>
            <w:r>
              <w:rPr>
                <w:rFonts w:hAnsi="Times New Roman"/>
                <w:color w:val="auto"/>
                <w:highlight w:val="none"/>
                <w:vertAlign w:val="subscript"/>
              </w:rPr>
              <w:t>3</w:t>
            </w:r>
            <w:r>
              <w:rPr>
                <w:rFonts w:hAnsi="Times New Roman"/>
                <w:color w:val="auto"/>
                <w:highlight w:val="none"/>
              </w:rPr>
              <w:t>等污染物长期浓度均可满足《环境空气质量标准》（GB3095-20</w:t>
            </w:r>
            <w:r>
              <w:rPr>
                <w:rFonts w:hint="eastAsia" w:hAnsi="Times New Roman"/>
                <w:color w:val="auto"/>
                <w:highlight w:val="none"/>
                <w:lang w:val="en-US" w:eastAsia="zh-CN"/>
              </w:rPr>
              <w:t>26</w:t>
            </w:r>
            <w:r>
              <w:rPr>
                <w:rFonts w:hAnsi="Times New Roman"/>
                <w:color w:val="auto"/>
                <w:highlight w:val="none"/>
              </w:rPr>
              <w:t>）中</w:t>
            </w:r>
            <w:r>
              <w:rPr>
                <w:rFonts w:hint="eastAsia" w:hAnsi="Times New Roman"/>
                <w:color w:val="auto"/>
                <w:highlight w:val="none"/>
                <w:lang w:val="en-US" w:eastAsia="zh-CN"/>
              </w:rPr>
              <w:t>过渡阶段</w:t>
            </w:r>
            <w:r>
              <w:rPr>
                <w:rFonts w:hAnsi="Times New Roman"/>
                <w:color w:val="auto"/>
                <w:highlight w:val="none"/>
              </w:rPr>
              <w:t>二级标准限值，为环境空气质量达标区。</w:t>
            </w:r>
          </w:p>
          <w:p w14:paraId="6EBD389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2、其他污染物环境质量监测</w:t>
            </w:r>
          </w:p>
          <w:p w14:paraId="73188D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s="宋体"/>
                <w:color w:val="auto"/>
                <w:kern w:val="0"/>
                <w:sz w:val="24"/>
                <w:szCs w:val="24"/>
              </w:rPr>
            </w:pPr>
            <w:r>
              <w:rPr>
                <w:rFonts w:hint="default" w:ascii="Times New Roman" w:hAnsi="Times New Roman" w:cs="Times New Roman"/>
                <w:color w:val="auto"/>
                <w:sz w:val="24"/>
                <w:highlight w:val="none"/>
              </w:rPr>
              <w:t>针对其他污染物（</w:t>
            </w:r>
            <w:r>
              <w:rPr>
                <w:rFonts w:hint="default" w:ascii="Times New Roman" w:hAnsi="Times New Roman" w:cs="Times New Roman"/>
                <w:color w:val="auto"/>
                <w:sz w:val="24"/>
                <w:highlight w:val="none"/>
                <w:lang w:val="en-US" w:eastAsia="zh-CN"/>
              </w:rPr>
              <w:t>TSP</w:t>
            </w:r>
            <w:r>
              <w:rPr>
                <w:rFonts w:hint="default" w:ascii="Times New Roman" w:hAnsi="Times New Roman" w:cs="Times New Roman"/>
                <w:color w:val="auto"/>
                <w:sz w:val="24"/>
                <w:highlight w:val="none"/>
              </w:rPr>
              <w:t>）环境质量，本项目</w:t>
            </w:r>
            <w:r>
              <w:rPr>
                <w:rFonts w:hint="eastAsia" w:ascii="Times New Roman" w:hAnsi="Times New Roman" w:cs="Times New Roman"/>
                <w:color w:val="auto"/>
                <w:sz w:val="24"/>
                <w:highlight w:val="none"/>
                <w:lang w:val="en-US" w:eastAsia="zh-CN"/>
              </w:rPr>
              <w:t>委托新疆西域质信检验检测有限公司进行环境质量</w:t>
            </w:r>
            <w:r>
              <w:rPr>
                <w:rFonts w:hint="default" w:ascii="Times New Roman" w:hAnsi="Times New Roman" w:cs="Times New Roman"/>
                <w:color w:val="auto"/>
                <w:sz w:val="24"/>
                <w:highlight w:val="none"/>
              </w:rPr>
              <w:t>现状监测</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该监测点位距离本项目区3号综合站场约0.05km</w:t>
            </w:r>
            <w:r>
              <w:rPr>
                <w:rFonts w:hint="default" w:ascii="Times New Roman" w:hAnsi="Times New Roman" w:cs="Times New Roman"/>
                <w:color w:val="auto"/>
                <w:sz w:val="24"/>
                <w:highlight w:val="none"/>
              </w:rPr>
              <w:t>。</w:t>
            </w:r>
          </w:p>
          <w:p w14:paraId="2DE1BD2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（1）监测点位</w:t>
            </w:r>
          </w:p>
          <w:p w14:paraId="5BF916B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监测点位见表3-</w:t>
            </w:r>
            <w:r>
              <w:rPr>
                <w:rFonts w:hint="eastAsia"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69494FE1">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表3-</w:t>
            </w:r>
            <w:r>
              <w:rPr>
                <w:rFonts w:hint="eastAsia" w:ascii="Times New Roman" w:hAnsi="Times New Roman" w:cs="Times New Roman"/>
                <w:b/>
                <w:bCs/>
                <w:color w:val="auto"/>
                <w:kern w:val="0"/>
                <w:szCs w:val="21"/>
                <w:highlight w:val="none"/>
                <w:lang w:val="en-US" w:eastAsia="zh-CN"/>
              </w:rPr>
              <w:t>2</w:t>
            </w:r>
            <w:r>
              <w:rPr>
                <w:rFonts w:hint="default" w:ascii="Times New Roman" w:hAnsi="Times New Roman" w:cs="Times New Roman"/>
                <w:b/>
                <w:bCs/>
                <w:color w:val="auto"/>
                <w:kern w:val="0"/>
                <w:szCs w:val="21"/>
                <w:highlight w:val="none"/>
              </w:rPr>
              <w:t xml:space="preserve">  其他污染物补充监测点位基本信息表</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573"/>
              <w:gridCol w:w="1844"/>
              <w:gridCol w:w="1096"/>
              <w:gridCol w:w="1803"/>
              <w:gridCol w:w="702"/>
            </w:tblGrid>
            <w:tr w14:paraId="676CF4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7" w:type="pct"/>
                  <w:noWrap w:val="0"/>
                  <w:vAlign w:val="center"/>
                </w:tcPr>
                <w:p w14:paraId="717A70B4">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监测点编号</w:t>
                  </w:r>
                </w:p>
              </w:tc>
              <w:tc>
                <w:tcPr>
                  <w:tcW w:w="986" w:type="pct"/>
                  <w:noWrap w:val="0"/>
                  <w:vAlign w:val="center"/>
                </w:tcPr>
                <w:p w14:paraId="25BC0D2E">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监测点位</w:t>
                  </w:r>
                </w:p>
              </w:tc>
              <w:tc>
                <w:tcPr>
                  <w:tcW w:w="1156" w:type="pct"/>
                  <w:noWrap w:val="0"/>
                  <w:vAlign w:val="center"/>
                </w:tcPr>
                <w:p w14:paraId="7F937FD9">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监测点坐标</w:t>
                  </w:r>
                </w:p>
              </w:tc>
              <w:tc>
                <w:tcPr>
                  <w:tcW w:w="687" w:type="pct"/>
                  <w:noWrap w:val="0"/>
                  <w:vAlign w:val="center"/>
                </w:tcPr>
                <w:p w14:paraId="5B5C89AD">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相对项目区方位</w:t>
                  </w:r>
                </w:p>
              </w:tc>
              <w:tc>
                <w:tcPr>
                  <w:tcW w:w="1130" w:type="pct"/>
                  <w:noWrap w:val="0"/>
                  <w:vAlign w:val="center"/>
                </w:tcPr>
                <w:p w14:paraId="020CFA30">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相对本项目距离</w:t>
                  </w:r>
                </w:p>
              </w:tc>
              <w:tc>
                <w:tcPr>
                  <w:tcW w:w="440" w:type="pct"/>
                  <w:noWrap w:val="0"/>
                  <w:vAlign w:val="center"/>
                </w:tcPr>
                <w:p w14:paraId="5CA12EDC">
                  <w:pPr>
                    <w:pStyle w:val="17"/>
                    <w:spacing w:after="0" w:line="240" w:lineRule="auto"/>
                    <w:ind w:left="0" w:left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监测因子</w:t>
                  </w:r>
                </w:p>
              </w:tc>
            </w:tr>
            <w:tr w14:paraId="41060C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7" w:type="pct"/>
                  <w:noWrap w:val="0"/>
                  <w:vAlign w:val="center"/>
                </w:tcPr>
                <w:p w14:paraId="052092CE">
                  <w:pPr>
                    <w:pStyle w:val="17"/>
                    <w:spacing w:after="0" w:line="240" w:lineRule="auto"/>
                    <w:ind w:left="0" w:leftChars="0"/>
                    <w:jc w:val="center"/>
                    <w:rPr>
                      <w:rFonts w:hint="eastAsia"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G1</w:t>
                  </w:r>
                  <w:r>
                    <w:rPr>
                      <w:rFonts w:hint="eastAsia" w:ascii="Times New Roman" w:hAnsi="Times New Roman" w:cs="Times New Roman"/>
                      <w:color w:val="auto"/>
                      <w:kern w:val="0"/>
                      <w:szCs w:val="21"/>
                      <w:highlight w:val="none"/>
                      <w:lang w:eastAsia="zh-CN"/>
                    </w:rPr>
                    <w:t>（</w:t>
                  </w:r>
                  <w:r>
                    <w:rPr>
                      <w:rFonts w:hint="eastAsia" w:ascii="Times New Roman" w:hAnsi="Times New Roman" w:cs="Times New Roman"/>
                      <w:color w:val="auto"/>
                      <w:kern w:val="0"/>
                      <w:szCs w:val="21"/>
                      <w:highlight w:val="none"/>
                      <w:lang w:val="en-US" w:eastAsia="zh-CN"/>
                    </w:rPr>
                    <w:t>1#</w:t>
                  </w:r>
                  <w:r>
                    <w:rPr>
                      <w:rFonts w:hint="eastAsia" w:ascii="Times New Roman" w:hAnsi="Times New Roman" w:cs="Times New Roman"/>
                      <w:color w:val="auto"/>
                      <w:kern w:val="0"/>
                      <w:szCs w:val="21"/>
                      <w:highlight w:val="none"/>
                      <w:lang w:eastAsia="zh-CN"/>
                    </w:rPr>
                    <w:t>）</w:t>
                  </w:r>
                </w:p>
              </w:tc>
              <w:tc>
                <w:tcPr>
                  <w:tcW w:w="986" w:type="pct"/>
                  <w:noWrap w:val="0"/>
                  <w:vAlign w:val="center"/>
                </w:tcPr>
                <w:p w14:paraId="665C0A5D">
                  <w:pPr>
                    <w:pStyle w:val="17"/>
                    <w:spacing w:after="0" w:line="240" w:lineRule="auto"/>
                    <w:ind w:left="0" w:leftChars="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项目区当季主导风向下风向</w:t>
                  </w:r>
                </w:p>
              </w:tc>
              <w:tc>
                <w:tcPr>
                  <w:tcW w:w="1156" w:type="pct"/>
                  <w:noWrap w:val="0"/>
                  <w:vAlign w:val="center"/>
                </w:tcPr>
                <w:p w14:paraId="692F8975">
                  <w:pPr>
                    <w:pStyle w:val="17"/>
                    <w:spacing w:after="0" w:line="240" w:lineRule="auto"/>
                    <w:ind w:left="0" w:leftChars="0"/>
                    <w:jc w:val="center"/>
                    <w:rPr>
                      <w:rFonts w:hint="default" w:ascii="Times New Roman" w:hAnsi="Times New Roman" w:cs="Times New Roman"/>
                      <w:color w:val="auto"/>
                      <w:kern w:val="0"/>
                      <w:szCs w:val="21"/>
                      <w:highlight w:val="none"/>
                      <w:lang w:val="en-US"/>
                    </w:rPr>
                  </w:pPr>
                  <w:r>
                    <w:rPr>
                      <w:rFonts w:hint="eastAsia" w:ascii="Times New Roman" w:hAnsi="Times New Roman" w:cs="Times New Roman"/>
                      <w:color w:val="auto"/>
                      <w:kern w:val="0"/>
                      <w:sz w:val="21"/>
                      <w:szCs w:val="21"/>
                      <w:highlight w:val="none"/>
                      <w:lang w:val="en-US" w:eastAsia="zh-CN"/>
                    </w:rPr>
                    <w:t>***</w:t>
                  </w:r>
                </w:p>
              </w:tc>
              <w:tc>
                <w:tcPr>
                  <w:tcW w:w="687" w:type="pct"/>
                  <w:noWrap w:val="0"/>
                  <w:vAlign w:val="center"/>
                </w:tcPr>
                <w:p w14:paraId="3F26705C">
                  <w:pPr>
                    <w:pStyle w:val="17"/>
                    <w:spacing w:after="0" w:line="240" w:lineRule="auto"/>
                    <w:ind w:left="0" w:leftChars="0"/>
                    <w:jc w:val="center"/>
                    <w:rPr>
                      <w:rFonts w:hint="default" w:ascii="Times New Roman" w:hAnsi="Times New Roman" w:eastAsia="宋体" w:cs="Times New Roman"/>
                      <w:color w:val="auto"/>
                      <w:kern w:val="0"/>
                      <w:szCs w:val="21"/>
                      <w:highlight w:val="none"/>
                      <w:lang w:eastAsia="zh-CN"/>
                    </w:rPr>
                  </w:pPr>
                  <w:r>
                    <w:rPr>
                      <w:rFonts w:hint="eastAsia" w:ascii="Times New Roman" w:hAnsi="Times New Roman" w:cs="Times New Roman"/>
                      <w:color w:val="auto"/>
                      <w:kern w:val="0"/>
                      <w:szCs w:val="21"/>
                      <w:highlight w:val="none"/>
                      <w:lang w:val="en-US" w:eastAsia="zh-CN"/>
                    </w:rPr>
                    <w:t>东南</w:t>
                  </w:r>
                </w:p>
              </w:tc>
              <w:tc>
                <w:tcPr>
                  <w:tcW w:w="1130" w:type="pct"/>
                  <w:noWrap w:val="0"/>
                  <w:vAlign w:val="center"/>
                </w:tcPr>
                <w:p w14:paraId="227FC07A">
                  <w:pPr>
                    <w:pStyle w:val="17"/>
                    <w:spacing w:after="0" w:line="240" w:lineRule="auto"/>
                    <w:ind w:left="0" w:leftChars="0"/>
                    <w:jc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距离3号综合站场约0.05</w:t>
                  </w:r>
                  <w:r>
                    <w:rPr>
                      <w:rFonts w:hint="default" w:ascii="Times New Roman" w:hAnsi="Times New Roman" w:cs="Times New Roman"/>
                      <w:color w:val="auto"/>
                      <w:kern w:val="0"/>
                      <w:szCs w:val="21"/>
                      <w:highlight w:val="none"/>
                    </w:rPr>
                    <w:t>km</w:t>
                  </w:r>
                  <w:r>
                    <w:rPr>
                      <w:rFonts w:hint="eastAsia" w:ascii="Times New Roman" w:hAnsi="Times New Roman" w:cs="Times New Roman"/>
                      <w:color w:val="auto"/>
                      <w:kern w:val="0"/>
                      <w:szCs w:val="21"/>
                      <w:highlight w:val="none"/>
                      <w:lang w:eastAsia="zh-CN"/>
                    </w:rPr>
                    <w:t>，</w:t>
                  </w:r>
                  <w:r>
                    <w:rPr>
                      <w:rFonts w:hint="eastAsia" w:ascii="Times New Roman" w:hAnsi="Times New Roman" w:cs="Times New Roman"/>
                      <w:color w:val="auto"/>
                      <w:kern w:val="0"/>
                      <w:szCs w:val="21"/>
                      <w:highlight w:val="none"/>
                      <w:lang w:val="en-US" w:eastAsia="zh-CN"/>
                    </w:rPr>
                    <w:t>1号综合站场约4.68km</w:t>
                  </w:r>
                </w:p>
              </w:tc>
              <w:tc>
                <w:tcPr>
                  <w:tcW w:w="440" w:type="pct"/>
                  <w:noWrap w:val="0"/>
                  <w:vAlign w:val="center"/>
                </w:tcPr>
                <w:p w14:paraId="778CAE1B">
                  <w:pPr>
                    <w:pStyle w:val="17"/>
                    <w:spacing w:after="0" w:line="240" w:lineRule="auto"/>
                    <w:ind w:left="0" w:leftChars="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TSP</w:t>
                  </w:r>
                </w:p>
              </w:tc>
            </w:tr>
          </w:tbl>
          <w:p w14:paraId="0AAFB6F1">
            <w:pPr>
              <w:pStyle w:val="17"/>
              <w:spacing w:after="0" w:line="360" w:lineRule="auto"/>
              <w:ind w:left="0" w:leftChars="0"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（2）监测时间及频率</w:t>
            </w:r>
          </w:p>
          <w:p w14:paraId="2D87E2B4">
            <w:pPr>
              <w:pStyle w:val="17"/>
              <w:spacing w:after="0" w:line="360" w:lineRule="auto"/>
              <w:ind w:left="0" w:leftChars="0"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监测时间为202</w:t>
            </w:r>
            <w:r>
              <w:rPr>
                <w:rFonts w:hint="eastAsia" w:ascii="Times New Roman" w:hAnsi="Times New Roman" w:cs="Times New Roman"/>
                <w:color w:val="auto"/>
                <w:kern w:val="0"/>
                <w:sz w:val="24"/>
                <w:szCs w:val="24"/>
                <w:highlight w:val="none"/>
                <w:lang w:val="en-US" w:eastAsia="zh-CN"/>
              </w:rPr>
              <w:t>6</w:t>
            </w:r>
            <w:r>
              <w:rPr>
                <w:rFonts w:hint="default" w:ascii="Times New Roman" w:hAnsi="Times New Roman" w:cs="Times New Roman"/>
                <w:color w:val="auto"/>
                <w:kern w:val="0"/>
                <w:sz w:val="24"/>
                <w:szCs w:val="24"/>
                <w:highlight w:val="none"/>
              </w:rPr>
              <w:t>年</w:t>
            </w:r>
            <w:r>
              <w:rPr>
                <w:rFonts w:hint="eastAsia" w:ascii="Times New Roman" w:hAnsi="Times New Roman" w:cs="Times New Roman"/>
                <w:color w:val="auto"/>
                <w:kern w:val="0"/>
                <w:sz w:val="24"/>
                <w:szCs w:val="24"/>
                <w:highlight w:val="none"/>
                <w:lang w:val="en-US" w:eastAsia="zh-CN"/>
              </w:rPr>
              <w:t>6</w:t>
            </w:r>
            <w:r>
              <w:rPr>
                <w:rFonts w:hint="default" w:ascii="Times New Roman" w:hAnsi="Times New Roman" w:cs="Times New Roman"/>
                <w:color w:val="auto"/>
                <w:kern w:val="0"/>
                <w:sz w:val="24"/>
                <w:szCs w:val="24"/>
                <w:highlight w:val="none"/>
              </w:rPr>
              <w:t>月</w:t>
            </w:r>
            <w:r>
              <w:rPr>
                <w:rFonts w:hint="eastAsia" w:ascii="Times New Roman" w:hAnsi="Times New Roman" w:cs="Times New Roman"/>
                <w:color w:val="auto"/>
                <w:kern w:val="0"/>
                <w:sz w:val="24"/>
                <w:szCs w:val="24"/>
                <w:highlight w:val="none"/>
                <w:lang w:val="en-US" w:eastAsia="zh-CN"/>
              </w:rPr>
              <w:t>26</w:t>
            </w:r>
            <w:r>
              <w:rPr>
                <w:rFonts w:hint="default" w:ascii="Times New Roman" w:hAnsi="Times New Roman" w:cs="Times New Roman"/>
                <w:color w:val="auto"/>
                <w:kern w:val="0"/>
                <w:sz w:val="24"/>
                <w:szCs w:val="24"/>
                <w:highlight w:val="none"/>
              </w:rPr>
              <w:t>日-</w:t>
            </w:r>
            <w:r>
              <w:rPr>
                <w:rFonts w:hint="eastAsia" w:ascii="Times New Roman" w:hAnsi="Times New Roman" w:cs="Times New Roman"/>
                <w:color w:val="auto"/>
                <w:kern w:val="0"/>
                <w:sz w:val="24"/>
                <w:szCs w:val="24"/>
                <w:highlight w:val="none"/>
                <w:lang w:val="en-US" w:eastAsia="zh-CN"/>
              </w:rPr>
              <w:t>6</w:t>
            </w:r>
            <w:r>
              <w:rPr>
                <w:rFonts w:hint="default" w:ascii="Times New Roman" w:hAnsi="Times New Roman" w:cs="Times New Roman"/>
                <w:color w:val="auto"/>
                <w:kern w:val="0"/>
                <w:sz w:val="24"/>
                <w:szCs w:val="24"/>
                <w:highlight w:val="none"/>
                <w:lang w:val="en-US" w:eastAsia="zh-CN"/>
              </w:rPr>
              <w:t>月</w:t>
            </w:r>
            <w:r>
              <w:rPr>
                <w:rFonts w:hint="eastAsia" w:ascii="Times New Roman" w:hAnsi="Times New Roman" w:cs="Times New Roman"/>
                <w:color w:val="auto"/>
                <w:kern w:val="0"/>
                <w:sz w:val="24"/>
                <w:szCs w:val="24"/>
                <w:highlight w:val="none"/>
                <w:lang w:val="en-US" w:eastAsia="zh-CN"/>
              </w:rPr>
              <w:t>29</w:t>
            </w:r>
            <w:r>
              <w:rPr>
                <w:rFonts w:hint="default" w:ascii="Times New Roman" w:hAnsi="Times New Roman" w:cs="Times New Roman"/>
                <w:color w:val="auto"/>
                <w:kern w:val="0"/>
                <w:sz w:val="24"/>
                <w:szCs w:val="24"/>
                <w:highlight w:val="none"/>
              </w:rPr>
              <w:t>日，连续监测3天，采样</w:t>
            </w:r>
            <w:r>
              <w:rPr>
                <w:rFonts w:hint="eastAsia" w:ascii="Times New Roman" w:hAnsi="Times New Roman" w:cs="Times New Roman"/>
                <w:color w:val="auto"/>
                <w:kern w:val="0"/>
                <w:sz w:val="24"/>
                <w:szCs w:val="24"/>
                <w:highlight w:val="none"/>
                <w:lang w:eastAsia="zh-CN"/>
              </w:rPr>
              <w:t>时间</w:t>
            </w:r>
            <w:r>
              <w:rPr>
                <w:rFonts w:hint="default" w:ascii="Times New Roman" w:hAnsi="Times New Roman" w:cs="Times New Roman"/>
                <w:color w:val="auto"/>
                <w:kern w:val="0"/>
                <w:sz w:val="24"/>
                <w:szCs w:val="24"/>
                <w:highlight w:val="none"/>
                <w:lang w:eastAsia="zh-CN"/>
              </w:rPr>
              <w:t>为</w:t>
            </w:r>
            <w:r>
              <w:rPr>
                <w:rFonts w:hint="default" w:ascii="Times New Roman" w:hAnsi="Times New Roman" w:cs="Times New Roman"/>
                <w:color w:val="auto"/>
                <w:kern w:val="0"/>
                <w:sz w:val="24"/>
                <w:szCs w:val="24"/>
                <w:highlight w:val="none"/>
                <w:lang w:val="en-US" w:eastAsia="zh-CN"/>
              </w:rPr>
              <w:t>24h</w:t>
            </w:r>
            <w:r>
              <w:rPr>
                <w:rFonts w:hint="default" w:ascii="Times New Roman" w:hAnsi="Times New Roman" w:cs="Times New Roman"/>
                <w:color w:val="auto"/>
                <w:kern w:val="0"/>
                <w:sz w:val="24"/>
                <w:szCs w:val="24"/>
                <w:highlight w:val="none"/>
              </w:rPr>
              <w:t>。</w:t>
            </w:r>
          </w:p>
          <w:p w14:paraId="54A536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rPr>
            </w:pPr>
            <w:r>
              <w:rPr>
                <w:rFonts w:hint="default"/>
                <w:color w:val="auto"/>
                <w:sz w:val="24"/>
                <w:szCs w:val="32"/>
              </w:rPr>
              <w:t>（3）采样及分析方法</w:t>
            </w:r>
          </w:p>
          <w:p w14:paraId="4A1241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rPr>
            </w:pPr>
            <w:r>
              <w:rPr>
                <w:rFonts w:hint="default"/>
                <w:color w:val="auto"/>
                <w:sz w:val="24"/>
                <w:szCs w:val="32"/>
              </w:rPr>
              <w:t>采样方法按《</w:t>
            </w:r>
            <w:r>
              <w:rPr>
                <w:rFonts w:hint="eastAsia"/>
                <w:color w:val="auto"/>
                <w:sz w:val="24"/>
                <w:szCs w:val="32"/>
                <w:lang w:val="en-US" w:eastAsia="zh-CN"/>
              </w:rPr>
              <w:t>环境空气质量手工监测技术规范</w:t>
            </w:r>
            <w:r>
              <w:rPr>
                <w:rFonts w:hint="default"/>
                <w:color w:val="auto"/>
                <w:sz w:val="24"/>
                <w:szCs w:val="32"/>
              </w:rPr>
              <w:t>》</w:t>
            </w:r>
            <w:r>
              <w:rPr>
                <w:rFonts w:hint="eastAsia"/>
                <w:color w:val="auto"/>
                <w:sz w:val="24"/>
                <w:szCs w:val="32"/>
                <w:lang w:eastAsia="zh-CN"/>
              </w:rPr>
              <w:t>（</w:t>
            </w:r>
            <w:r>
              <w:rPr>
                <w:rFonts w:hint="eastAsia"/>
                <w:color w:val="auto"/>
                <w:sz w:val="24"/>
                <w:szCs w:val="32"/>
                <w:lang w:val="en-US" w:eastAsia="zh-CN"/>
              </w:rPr>
              <w:t>HJ194-2017</w:t>
            </w:r>
            <w:r>
              <w:rPr>
                <w:rFonts w:hint="eastAsia"/>
                <w:color w:val="auto"/>
                <w:sz w:val="24"/>
                <w:szCs w:val="32"/>
                <w:lang w:eastAsia="zh-CN"/>
              </w:rPr>
              <w:t>）</w:t>
            </w:r>
            <w:r>
              <w:rPr>
                <w:rFonts w:hint="default"/>
                <w:color w:val="auto"/>
                <w:sz w:val="24"/>
                <w:szCs w:val="32"/>
              </w:rPr>
              <w:t>的规定执行和《环境空气质量标准》（GB3095-20</w:t>
            </w:r>
            <w:r>
              <w:rPr>
                <w:rFonts w:hint="eastAsia"/>
                <w:color w:val="auto"/>
                <w:sz w:val="24"/>
                <w:szCs w:val="32"/>
                <w:lang w:val="en-US" w:eastAsia="zh-CN"/>
              </w:rPr>
              <w:t>26</w:t>
            </w:r>
            <w:r>
              <w:rPr>
                <w:rFonts w:hint="default"/>
                <w:color w:val="auto"/>
                <w:sz w:val="24"/>
                <w:szCs w:val="32"/>
              </w:rPr>
              <w:t>）的有关规定执行。</w:t>
            </w:r>
          </w:p>
          <w:p w14:paraId="2BE57C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（4）评价标准</w:t>
            </w:r>
          </w:p>
          <w:p w14:paraId="73302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TSP执行</w:t>
            </w:r>
            <w:r>
              <w:rPr>
                <w:rFonts w:hint="default"/>
                <w:color w:val="auto"/>
                <w:sz w:val="24"/>
                <w:szCs w:val="32"/>
                <w:lang w:val="en-US" w:eastAsia="zh-CN"/>
              </w:rPr>
              <w:t>《环境空气质量标准》（GB3095-20</w:t>
            </w:r>
            <w:r>
              <w:rPr>
                <w:rFonts w:hint="eastAsia"/>
                <w:color w:val="auto"/>
                <w:sz w:val="24"/>
                <w:szCs w:val="32"/>
                <w:lang w:val="en-US" w:eastAsia="zh-CN"/>
              </w:rPr>
              <w:t>26</w:t>
            </w:r>
            <w:r>
              <w:rPr>
                <w:rFonts w:hint="default"/>
                <w:color w:val="auto"/>
                <w:sz w:val="24"/>
                <w:szCs w:val="32"/>
                <w:lang w:val="en-US" w:eastAsia="zh-CN"/>
              </w:rPr>
              <w:t>）中二级标准浓度要求。</w:t>
            </w:r>
          </w:p>
          <w:p w14:paraId="1E2C24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（5）评价结果及结论</w:t>
            </w:r>
          </w:p>
          <w:p w14:paraId="6572CE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项目所在区域其他污染物环境质量现状监测结果见表3-</w:t>
            </w:r>
            <w:r>
              <w:rPr>
                <w:rFonts w:hint="eastAsia"/>
                <w:color w:val="auto"/>
                <w:sz w:val="24"/>
                <w:szCs w:val="32"/>
                <w:lang w:val="en-US" w:eastAsia="zh-CN"/>
              </w:rPr>
              <w:t>3</w:t>
            </w:r>
            <w:r>
              <w:rPr>
                <w:rFonts w:hint="default"/>
                <w:color w:val="auto"/>
                <w:sz w:val="24"/>
                <w:szCs w:val="32"/>
                <w:lang w:val="en-US" w:eastAsia="zh-CN"/>
              </w:rPr>
              <w:t>。</w:t>
            </w:r>
          </w:p>
          <w:p w14:paraId="43D77412">
            <w:pPr>
              <w:pStyle w:val="9"/>
              <w:spacing w:before="24"/>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default" w:ascii="Times New Roman" w:hAnsi="Times New Roman" w:cs="Times New Roman"/>
                <w:color w:val="auto"/>
                <w:highlight w:val="none"/>
                <w:lang w:val="en-US" w:eastAsia="zh-CN"/>
              </w:rPr>
              <w:t>3-</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  其他污染物环境质量现状监测结果表</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1055"/>
              <w:gridCol w:w="778"/>
              <w:gridCol w:w="1170"/>
              <w:gridCol w:w="1559"/>
              <w:gridCol w:w="1041"/>
              <w:gridCol w:w="1257"/>
            </w:tblGrid>
            <w:tr w14:paraId="46ABE0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695" w:type="pct"/>
                  <w:vMerge w:val="restart"/>
                  <w:noWrap w:val="0"/>
                  <w:vAlign w:val="center"/>
                </w:tcPr>
                <w:p w14:paraId="3E673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监测点位</w:t>
                  </w:r>
                </w:p>
              </w:tc>
              <w:tc>
                <w:tcPr>
                  <w:tcW w:w="662" w:type="pct"/>
                  <w:vMerge w:val="restart"/>
                  <w:noWrap w:val="0"/>
                  <w:vAlign w:val="center"/>
                </w:tcPr>
                <w:p w14:paraId="4836FC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488" w:type="pct"/>
                  <w:vMerge w:val="restart"/>
                  <w:noWrap w:val="0"/>
                  <w:vAlign w:val="center"/>
                </w:tcPr>
                <w:p w14:paraId="1F0D17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平均</w:t>
                  </w:r>
                </w:p>
                <w:p w14:paraId="4DBA87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时间</w:t>
                  </w:r>
                </w:p>
              </w:tc>
              <w:tc>
                <w:tcPr>
                  <w:tcW w:w="734" w:type="pct"/>
                  <w:vMerge w:val="restart"/>
                  <w:noWrap w:val="0"/>
                  <w:vAlign w:val="center"/>
                </w:tcPr>
                <w:p w14:paraId="05DF6D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评价标准</w:t>
                  </w:r>
                </w:p>
                <w:p w14:paraId="790916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（μg/m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978" w:type="pct"/>
                  <w:vMerge w:val="restart"/>
                  <w:noWrap w:val="0"/>
                  <w:vAlign w:val="center"/>
                </w:tcPr>
                <w:p w14:paraId="51A18C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监测浓度范围（μg/m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653" w:type="pct"/>
                  <w:vMerge w:val="restart"/>
                  <w:noWrap w:val="0"/>
                  <w:vAlign w:val="center"/>
                </w:tcPr>
                <w:p w14:paraId="79769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超标率</w:t>
                  </w:r>
                </w:p>
                <w:p w14:paraId="1E5BB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w:t>
                  </w:r>
                </w:p>
              </w:tc>
              <w:tc>
                <w:tcPr>
                  <w:tcW w:w="788" w:type="pct"/>
                  <w:vMerge w:val="restart"/>
                  <w:noWrap w:val="0"/>
                  <w:vAlign w:val="center"/>
                </w:tcPr>
                <w:p w14:paraId="6426AD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w:t>
                  </w:r>
                </w:p>
                <w:p w14:paraId="159DCA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情况</w:t>
                  </w:r>
                </w:p>
              </w:tc>
            </w:tr>
            <w:tr w14:paraId="74D0B1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695" w:type="pct"/>
                  <w:vMerge w:val="continue"/>
                  <w:noWrap w:val="0"/>
                  <w:vAlign w:val="center"/>
                </w:tcPr>
                <w:p w14:paraId="4D2330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62" w:type="pct"/>
                  <w:vMerge w:val="continue"/>
                  <w:noWrap w:val="0"/>
                  <w:vAlign w:val="center"/>
                </w:tcPr>
                <w:p w14:paraId="16617D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488" w:type="pct"/>
                  <w:vMerge w:val="continue"/>
                  <w:noWrap w:val="0"/>
                  <w:vAlign w:val="center"/>
                </w:tcPr>
                <w:p w14:paraId="35602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34" w:type="pct"/>
                  <w:vMerge w:val="continue"/>
                  <w:noWrap w:val="0"/>
                  <w:vAlign w:val="center"/>
                </w:tcPr>
                <w:p w14:paraId="43C86A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978" w:type="pct"/>
                  <w:vMerge w:val="continue"/>
                  <w:noWrap w:val="0"/>
                  <w:vAlign w:val="center"/>
                </w:tcPr>
                <w:p w14:paraId="3A7568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53" w:type="pct"/>
                  <w:vMerge w:val="continue"/>
                  <w:noWrap w:val="0"/>
                  <w:vAlign w:val="center"/>
                </w:tcPr>
                <w:p w14:paraId="2C911C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88" w:type="pct"/>
                  <w:vMerge w:val="continue"/>
                  <w:noWrap w:val="0"/>
                  <w:vAlign w:val="center"/>
                </w:tcPr>
                <w:p w14:paraId="3DB814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3B007C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 w:type="pct"/>
                  <w:noWrap w:val="0"/>
                  <w:vAlign w:val="center"/>
                </w:tcPr>
                <w:p w14:paraId="0A9FE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项目所在地</w:t>
                  </w:r>
                  <w:r>
                    <w:rPr>
                      <w:rFonts w:hint="default" w:ascii="Times New Roman" w:hAnsi="Times New Roman" w:eastAsia="宋体" w:cs="Times New Roman"/>
                      <w:color w:val="auto"/>
                      <w:sz w:val="21"/>
                      <w:szCs w:val="21"/>
                      <w:highlight w:val="none"/>
                      <w:lang w:eastAsia="zh-CN"/>
                    </w:rPr>
                    <w:t>主导风向下风向</w:t>
                  </w:r>
                </w:p>
              </w:tc>
              <w:tc>
                <w:tcPr>
                  <w:tcW w:w="662" w:type="pct"/>
                  <w:noWrap w:val="0"/>
                  <w:vAlign w:val="center"/>
                </w:tcPr>
                <w:p w14:paraId="6DC830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TSP</w:t>
                  </w:r>
                </w:p>
              </w:tc>
              <w:tc>
                <w:tcPr>
                  <w:tcW w:w="488" w:type="pct"/>
                  <w:noWrap w:val="0"/>
                  <w:vAlign w:val="center"/>
                </w:tcPr>
                <w:p w14:paraId="51165B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24h</w:t>
                  </w:r>
                </w:p>
              </w:tc>
              <w:tc>
                <w:tcPr>
                  <w:tcW w:w="734" w:type="pct"/>
                  <w:noWrap w:val="0"/>
                  <w:vAlign w:val="center"/>
                </w:tcPr>
                <w:p w14:paraId="2D800C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300</w:t>
                  </w:r>
                </w:p>
              </w:tc>
              <w:tc>
                <w:tcPr>
                  <w:tcW w:w="978" w:type="pct"/>
                  <w:noWrap w:val="0"/>
                  <w:vAlign w:val="center"/>
                </w:tcPr>
                <w:p w14:paraId="64E3A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200~209</w:t>
                  </w:r>
                </w:p>
              </w:tc>
              <w:tc>
                <w:tcPr>
                  <w:tcW w:w="653" w:type="pct"/>
                  <w:noWrap w:val="0"/>
                  <w:vAlign w:val="center"/>
                </w:tcPr>
                <w:p w14:paraId="6C2A5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788" w:type="pct"/>
                  <w:noWrap w:val="0"/>
                  <w:vAlign w:val="center"/>
                </w:tcPr>
                <w:p w14:paraId="71B387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14:paraId="47B4668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ascii="宋体" w:hAnsi="宋体" w:cs="宋体"/>
                <w:color w:val="auto"/>
                <w:kern w:val="0"/>
                <w:sz w:val="24"/>
                <w:szCs w:val="24"/>
              </w:rPr>
            </w:pPr>
            <w:r>
              <w:rPr>
                <w:rFonts w:hint="default" w:ascii="Times New Roman" w:hAnsi="Times New Roman" w:eastAsia="宋体" w:cs="Times New Roman"/>
                <w:color w:val="auto"/>
                <w:sz w:val="24"/>
                <w:szCs w:val="24"/>
                <w:highlight w:val="none"/>
                <w:lang w:eastAsia="zh-CN"/>
              </w:rPr>
              <w:t>根据上表，</w:t>
            </w:r>
            <w:r>
              <w:rPr>
                <w:rFonts w:hint="default" w:ascii="Times New Roman" w:hAnsi="Times New Roman" w:eastAsia="宋体" w:cs="Times New Roman"/>
                <w:color w:val="auto"/>
                <w:kern w:val="0"/>
                <w:sz w:val="24"/>
                <w:szCs w:val="24"/>
                <w:lang w:val="en-US" w:eastAsia="zh-CN" w:bidi="ar"/>
              </w:rPr>
              <w:t>TSP</w:t>
            </w:r>
            <w:r>
              <w:rPr>
                <w:rFonts w:hint="eastAsia" w:ascii="宋体" w:hAnsi="宋体" w:eastAsia="宋体" w:cs="宋体"/>
                <w:color w:val="auto"/>
                <w:kern w:val="0"/>
                <w:sz w:val="24"/>
                <w:szCs w:val="24"/>
                <w:lang w:val="en-US" w:eastAsia="zh-CN" w:bidi="ar"/>
              </w:rPr>
              <w:t>监测浓度满足《环境空气质量标准》（</w:t>
            </w:r>
            <w:r>
              <w:rPr>
                <w:rFonts w:hint="default" w:ascii="Times New Roman" w:hAnsi="Times New Roman" w:eastAsia="宋体" w:cs="Times New Roman"/>
                <w:color w:val="auto"/>
                <w:kern w:val="0"/>
                <w:sz w:val="24"/>
                <w:szCs w:val="24"/>
                <w:lang w:val="en-US" w:eastAsia="zh-CN" w:bidi="ar"/>
              </w:rPr>
              <w:t>GB3095-20</w:t>
            </w:r>
            <w:r>
              <w:rPr>
                <w:rFonts w:hint="eastAsia" w:ascii="Times New Roman" w:hAnsi="Times New Roman" w:eastAsia="宋体" w:cs="Times New Roman"/>
                <w:color w:val="auto"/>
                <w:kern w:val="0"/>
                <w:sz w:val="24"/>
                <w:szCs w:val="24"/>
                <w:lang w:val="en-US" w:eastAsia="zh-CN" w:bidi="ar"/>
              </w:rPr>
              <w:t>26</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环境空气污染物其他项目浓度限值二级标准。</w:t>
            </w:r>
          </w:p>
          <w:p w14:paraId="6E762AAF">
            <w:pPr>
              <w:pStyle w:val="17"/>
              <w:spacing w:after="0" w:line="360" w:lineRule="auto"/>
              <w:ind w:left="0" w:leftChars="0"/>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kern w:val="0"/>
                <w:sz w:val="24"/>
                <w:szCs w:val="24"/>
                <w:highlight w:val="none"/>
                <w:lang w:val="en-US" w:eastAsia="zh-CN"/>
              </w:rPr>
              <w:t>3.2</w:t>
            </w:r>
            <w:r>
              <w:rPr>
                <w:rFonts w:hint="default" w:ascii="Times New Roman" w:hAnsi="Times New Roman" w:cs="Times New Roman"/>
                <w:b/>
                <w:bCs/>
                <w:color w:val="auto"/>
                <w:kern w:val="0"/>
                <w:sz w:val="24"/>
                <w:szCs w:val="24"/>
                <w:highlight w:val="none"/>
              </w:rPr>
              <w:t>地表水环境质量现状</w:t>
            </w:r>
          </w:p>
          <w:p w14:paraId="00812F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宋体" w:hAnsi="宋体" w:eastAsia="宋体" w:cs="宋体"/>
                <w:color w:val="auto"/>
                <w:kern w:val="0"/>
                <w:sz w:val="24"/>
                <w:szCs w:val="24"/>
                <w:lang w:val="en-US" w:eastAsia="zh-CN"/>
              </w:rPr>
            </w:pPr>
            <w:r>
              <w:rPr>
                <w:rFonts w:hint="default" w:ascii="Times New Roman" w:hAnsi="Times New Roman" w:cs="Times New Roman"/>
                <w:color w:val="auto"/>
                <w:sz w:val="24"/>
              </w:rPr>
              <w:t>根据《</w:t>
            </w:r>
            <w:r>
              <w:rPr>
                <w:rFonts w:hint="default" w:ascii="Times New Roman" w:hAnsi="Times New Roman" w:cs="Times New Roman"/>
                <w:color w:val="auto"/>
                <w:sz w:val="24"/>
                <w:lang w:eastAsia="zh-CN"/>
              </w:rPr>
              <w:t>建设项目环境影响报告表编制技术指南（污染影响类）（试行）</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地表水环境引用与建设项目距离近的有效数据，包括近3年的规划环境影响评价的监测数据，所在流域控制单位内国家、地方控制断面监测数据，生态环境主管部门发布的水环境质量数据或地表水达标情况的结论。</w:t>
            </w:r>
          </w:p>
          <w:p w14:paraId="393C18D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宋体" w:hAnsi="宋体" w:cs="宋体"/>
                <w:color w:val="auto"/>
                <w:kern w:val="0"/>
                <w:sz w:val="24"/>
                <w:szCs w:val="24"/>
                <w:lang w:val="en-US" w:eastAsia="zh-CN"/>
              </w:rPr>
              <w:t>根据调查，项目区周边有奎屯河，本次引用</w:t>
            </w:r>
            <w:r>
              <w:rPr>
                <w:rFonts w:hint="default" w:ascii="Times New Roman" w:hAnsi="Times New Roman" w:cs="Times New Roman"/>
                <w:color w:val="auto"/>
                <w:kern w:val="0"/>
                <w:sz w:val="24"/>
                <w:szCs w:val="24"/>
                <w:lang w:val="en-US" w:eastAsia="zh-CN"/>
              </w:rPr>
              <w:t>《G303</w:t>
            </w:r>
            <w:r>
              <w:rPr>
                <w:rFonts w:hint="eastAsia" w:ascii="Times New Roman" w:hAnsi="Times New Roman" w:cs="Times New Roman"/>
                <w:color w:val="auto"/>
                <w:kern w:val="0"/>
                <w:sz w:val="24"/>
                <w:szCs w:val="24"/>
                <w:lang w:val="en-US" w:eastAsia="zh-CN"/>
              </w:rPr>
              <w:t>3</w:t>
            </w:r>
            <w:r>
              <w:rPr>
                <w:rFonts w:hint="default" w:ascii="Times New Roman" w:hAnsi="Times New Roman" w:cs="Times New Roman"/>
                <w:color w:val="auto"/>
                <w:kern w:val="0"/>
                <w:sz w:val="24"/>
                <w:szCs w:val="24"/>
                <w:lang w:val="en-US" w:eastAsia="zh-CN"/>
              </w:rPr>
              <w:t>奎屯-独山子-库车高速公路环境影响报告书》</w:t>
            </w:r>
            <w:r>
              <w:rPr>
                <w:rFonts w:hint="eastAsia" w:ascii="Times New Roman" w:hAnsi="Times New Roman" w:cs="Times New Roman"/>
                <w:color w:val="auto"/>
                <w:kern w:val="0"/>
                <w:sz w:val="24"/>
                <w:szCs w:val="24"/>
                <w:lang w:val="en-US" w:eastAsia="zh-CN"/>
              </w:rPr>
              <w:t>中的监测数据，距离本项目区西北侧约30km处。</w:t>
            </w:r>
          </w:p>
          <w:p w14:paraId="5A40BB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eastAsia="zh-CN"/>
              </w:rPr>
              <w:t>（</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lang w:eastAsia="zh-CN"/>
              </w:rPr>
              <w:t>）</w:t>
            </w:r>
            <w:r>
              <w:rPr>
                <w:rFonts w:hint="default" w:ascii="Times New Roman" w:hAnsi="Times New Roman" w:cs="Times New Roman"/>
                <w:color w:val="auto"/>
                <w:kern w:val="0"/>
                <w:sz w:val="24"/>
                <w:szCs w:val="24"/>
                <w:lang w:val="en-US" w:eastAsia="zh-CN"/>
              </w:rPr>
              <w:t>监测因子</w:t>
            </w:r>
            <w:r>
              <w:rPr>
                <w:rFonts w:hint="eastAsia" w:ascii="Times New Roman" w:hAnsi="Times New Roman" w:cs="Times New Roman"/>
                <w:color w:val="auto"/>
                <w:kern w:val="0"/>
                <w:sz w:val="24"/>
                <w:szCs w:val="24"/>
                <w:lang w:val="en-US" w:eastAsia="zh-CN"/>
              </w:rPr>
              <w:t>与监测断面</w:t>
            </w:r>
          </w:p>
          <w:p w14:paraId="570D4C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水温、pH、石油类、氨氮、化学需氧量、五日生化需氧量共6项。地表水监测断面设置情况见表3-4。</w:t>
            </w:r>
          </w:p>
          <w:p w14:paraId="0C78ABAF">
            <w:pPr>
              <w:bidi w:val="0"/>
              <w:jc w:val="center"/>
              <w:rPr>
                <w:rFonts w:hint="default"/>
                <w:b/>
                <w:bCs/>
                <w:color w:val="auto"/>
                <w:lang w:val="en-US" w:eastAsia="zh-CN"/>
              </w:rPr>
            </w:pPr>
            <w:r>
              <w:rPr>
                <w:rFonts w:hint="eastAsia"/>
                <w:b/>
                <w:bCs/>
                <w:color w:val="auto"/>
                <w:lang w:val="en-US" w:eastAsia="zh-CN"/>
              </w:rPr>
              <w:t>表3-4  地表水监测断面位置一览表</w:t>
            </w:r>
          </w:p>
          <w:tbl>
            <w:tblPr>
              <w:tblStyle w:val="29"/>
              <w:tblW w:w="797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725"/>
              <w:gridCol w:w="1185"/>
              <w:gridCol w:w="1215"/>
              <w:gridCol w:w="1590"/>
              <w:gridCol w:w="1424"/>
            </w:tblGrid>
            <w:tr w14:paraId="61E832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5" w:type="dxa"/>
                  <w:tcBorders>
                    <w:tl2br w:val="nil"/>
                    <w:tr2bl w:val="nil"/>
                  </w:tcBorders>
                  <w:noWrap w:val="0"/>
                  <w:vAlign w:val="center"/>
                </w:tcPr>
                <w:p w14:paraId="16AB852D">
                  <w:pPr>
                    <w:bidi w:val="0"/>
                    <w:jc w:val="center"/>
                    <w:rPr>
                      <w:rFonts w:hint="eastAsia" w:eastAsia="宋体"/>
                      <w:b/>
                      <w:bCs/>
                      <w:color w:val="auto"/>
                      <w:lang w:val="en-US" w:eastAsia="zh-CN"/>
                    </w:rPr>
                  </w:pPr>
                  <w:r>
                    <w:rPr>
                      <w:rFonts w:hint="eastAsia"/>
                      <w:b/>
                      <w:bCs/>
                      <w:color w:val="auto"/>
                      <w:lang w:val="en-US" w:eastAsia="zh-CN"/>
                    </w:rPr>
                    <w:t>序号</w:t>
                  </w:r>
                </w:p>
              </w:tc>
              <w:tc>
                <w:tcPr>
                  <w:tcW w:w="1725" w:type="dxa"/>
                  <w:tcBorders>
                    <w:tl2br w:val="nil"/>
                    <w:tr2bl w:val="nil"/>
                  </w:tcBorders>
                  <w:noWrap w:val="0"/>
                  <w:vAlign w:val="center"/>
                </w:tcPr>
                <w:p w14:paraId="28996E67">
                  <w:pPr>
                    <w:bidi w:val="0"/>
                    <w:jc w:val="center"/>
                    <w:rPr>
                      <w:rFonts w:hint="default" w:eastAsia="宋体"/>
                      <w:b/>
                      <w:bCs/>
                      <w:color w:val="auto"/>
                      <w:lang w:val="en-US" w:eastAsia="zh-CN"/>
                    </w:rPr>
                  </w:pPr>
                  <w:r>
                    <w:rPr>
                      <w:rFonts w:hint="eastAsia"/>
                      <w:b/>
                      <w:bCs/>
                      <w:color w:val="auto"/>
                      <w:lang w:val="en-US" w:eastAsia="zh-CN"/>
                    </w:rPr>
                    <w:t>监测断面名称</w:t>
                  </w:r>
                </w:p>
              </w:tc>
              <w:tc>
                <w:tcPr>
                  <w:tcW w:w="1185" w:type="dxa"/>
                  <w:tcBorders>
                    <w:tl2br w:val="nil"/>
                    <w:tr2bl w:val="nil"/>
                  </w:tcBorders>
                  <w:noWrap w:val="0"/>
                  <w:vAlign w:val="center"/>
                </w:tcPr>
                <w:p w14:paraId="51F79E0D">
                  <w:pPr>
                    <w:bidi w:val="0"/>
                    <w:jc w:val="center"/>
                    <w:rPr>
                      <w:rFonts w:hint="eastAsia" w:eastAsia="宋体"/>
                      <w:b/>
                      <w:bCs/>
                      <w:color w:val="auto"/>
                      <w:lang w:val="en-US" w:eastAsia="zh-CN"/>
                    </w:rPr>
                  </w:pPr>
                  <w:r>
                    <w:rPr>
                      <w:rFonts w:hint="eastAsia"/>
                      <w:b/>
                      <w:bCs/>
                      <w:color w:val="auto"/>
                      <w:lang w:val="en-US" w:eastAsia="zh-CN"/>
                    </w:rPr>
                    <w:t>经度</w:t>
                  </w:r>
                </w:p>
              </w:tc>
              <w:tc>
                <w:tcPr>
                  <w:tcW w:w="1215" w:type="dxa"/>
                  <w:tcBorders>
                    <w:tl2br w:val="nil"/>
                    <w:tr2bl w:val="nil"/>
                  </w:tcBorders>
                  <w:noWrap w:val="0"/>
                  <w:vAlign w:val="center"/>
                </w:tcPr>
                <w:p w14:paraId="7405E8E0">
                  <w:pPr>
                    <w:bidi w:val="0"/>
                    <w:jc w:val="center"/>
                    <w:rPr>
                      <w:rFonts w:hint="eastAsia" w:eastAsia="宋体"/>
                      <w:b/>
                      <w:bCs/>
                      <w:color w:val="auto"/>
                      <w:lang w:val="en-US" w:eastAsia="zh-CN"/>
                    </w:rPr>
                  </w:pPr>
                  <w:r>
                    <w:rPr>
                      <w:rFonts w:hint="eastAsia"/>
                      <w:b/>
                      <w:bCs/>
                      <w:color w:val="auto"/>
                      <w:lang w:val="en-US" w:eastAsia="zh-CN"/>
                    </w:rPr>
                    <w:t>纬度</w:t>
                  </w:r>
                </w:p>
              </w:tc>
              <w:tc>
                <w:tcPr>
                  <w:tcW w:w="1590" w:type="dxa"/>
                  <w:tcBorders>
                    <w:tl2br w:val="nil"/>
                    <w:tr2bl w:val="nil"/>
                  </w:tcBorders>
                  <w:noWrap w:val="0"/>
                  <w:vAlign w:val="center"/>
                </w:tcPr>
                <w:p w14:paraId="0A9C1C2B">
                  <w:pPr>
                    <w:bidi w:val="0"/>
                    <w:jc w:val="center"/>
                    <w:rPr>
                      <w:rFonts w:hint="default" w:eastAsia="宋体"/>
                      <w:b/>
                      <w:bCs/>
                      <w:color w:val="auto"/>
                      <w:lang w:val="en-US" w:eastAsia="zh-CN"/>
                    </w:rPr>
                  </w:pPr>
                  <w:r>
                    <w:rPr>
                      <w:rFonts w:hint="eastAsia"/>
                      <w:b/>
                      <w:bCs/>
                      <w:color w:val="auto"/>
                      <w:lang w:val="en-US" w:eastAsia="zh-CN"/>
                    </w:rPr>
                    <w:t>布点情况</w:t>
                  </w:r>
                </w:p>
              </w:tc>
              <w:tc>
                <w:tcPr>
                  <w:tcW w:w="1424" w:type="dxa"/>
                  <w:tcBorders>
                    <w:tl2br w:val="nil"/>
                    <w:tr2bl w:val="nil"/>
                  </w:tcBorders>
                  <w:noWrap w:val="0"/>
                  <w:vAlign w:val="center"/>
                </w:tcPr>
                <w:p w14:paraId="7D96019B">
                  <w:pPr>
                    <w:bidi w:val="0"/>
                    <w:jc w:val="center"/>
                    <w:rPr>
                      <w:rFonts w:hint="default" w:eastAsia="宋体"/>
                      <w:b/>
                      <w:bCs/>
                      <w:color w:val="auto"/>
                      <w:lang w:val="en-US" w:eastAsia="zh-CN"/>
                    </w:rPr>
                  </w:pPr>
                  <w:r>
                    <w:rPr>
                      <w:rFonts w:hint="eastAsia"/>
                      <w:b/>
                      <w:bCs/>
                      <w:color w:val="auto"/>
                      <w:lang w:val="en-US" w:eastAsia="zh-CN"/>
                    </w:rPr>
                    <w:t>执行标准</w:t>
                  </w:r>
                </w:p>
              </w:tc>
            </w:tr>
            <w:tr w14:paraId="7A2FF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5" w:type="dxa"/>
                  <w:tcBorders>
                    <w:tl2br w:val="nil"/>
                    <w:tr2bl w:val="nil"/>
                  </w:tcBorders>
                  <w:noWrap w:val="0"/>
                  <w:vAlign w:val="center"/>
                </w:tcPr>
                <w:p w14:paraId="4F83BF65">
                  <w:pPr>
                    <w:bidi w:val="0"/>
                    <w:jc w:val="center"/>
                    <w:rPr>
                      <w:rFonts w:hint="eastAsia" w:eastAsia="宋体"/>
                      <w:color w:val="auto"/>
                      <w:lang w:val="en-US" w:eastAsia="zh-CN"/>
                    </w:rPr>
                  </w:pPr>
                  <w:r>
                    <w:rPr>
                      <w:rFonts w:hint="eastAsia"/>
                      <w:color w:val="auto"/>
                      <w:lang w:val="en-US" w:eastAsia="zh-CN"/>
                    </w:rPr>
                    <w:t>1</w:t>
                  </w:r>
                </w:p>
              </w:tc>
              <w:tc>
                <w:tcPr>
                  <w:tcW w:w="1725" w:type="dxa"/>
                  <w:tcBorders>
                    <w:tl2br w:val="nil"/>
                    <w:tr2bl w:val="nil"/>
                  </w:tcBorders>
                  <w:noWrap w:val="0"/>
                  <w:vAlign w:val="center"/>
                </w:tcPr>
                <w:p w14:paraId="09EF1E01">
                  <w:pPr>
                    <w:bidi w:val="0"/>
                    <w:jc w:val="center"/>
                    <w:rPr>
                      <w:rFonts w:hint="default" w:eastAsia="宋体"/>
                      <w:color w:val="auto"/>
                      <w:lang w:val="en-US" w:eastAsia="zh-CN"/>
                    </w:rPr>
                  </w:pPr>
                  <w:r>
                    <w:rPr>
                      <w:rFonts w:hint="eastAsia"/>
                      <w:color w:val="auto"/>
                      <w:lang w:val="en-US" w:eastAsia="zh-CN"/>
                    </w:rPr>
                    <w:t>奎屯河断面</w:t>
                  </w:r>
                </w:p>
              </w:tc>
              <w:tc>
                <w:tcPr>
                  <w:tcW w:w="1185" w:type="dxa"/>
                  <w:tcBorders>
                    <w:tl2br w:val="nil"/>
                    <w:tr2bl w:val="nil"/>
                  </w:tcBorders>
                  <w:noWrap w:val="0"/>
                  <w:vAlign w:val="center"/>
                </w:tcPr>
                <w:p w14:paraId="016EB8DD">
                  <w:pPr>
                    <w:bidi w:val="0"/>
                    <w:jc w:val="center"/>
                    <w:rPr>
                      <w:rFonts w:hint="default" w:eastAsia="宋体"/>
                      <w:color w:val="auto"/>
                      <w:lang w:val="en-US" w:eastAsia="zh-CN"/>
                    </w:rPr>
                  </w:pPr>
                  <w:r>
                    <w:rPr>
                      <w:rFonts w:hint="eastAsia"/>
                      <w:color w:val="auto"/>
                      <w:lang w:val="en-US" w:eastAsia="zh-CN"/>
                    </w:rPr>
                    <w:t>84.611995</w:t>
                  </w:r>
                </w:p>
              </w:tc>
              <w:tc>
                <w:tcPr>
                  <w:tcW w:w="1215" w:type="dxa"/>
                  <w:tcBorders>
                    <w:tl2br w:val="nil"/>
                    <w:tr2bl w:val="nil"/>
                  </w:tcBorders>
                  <w:noWrap w:val="0"/>
                  <w:vAlign w:val="center"/>
                </w:tcPr>
                <w:p w14:paraId="10CAB252">
                  <w:pPr>
                    <w:bidi w:val="0"/>
                    <w:jc w:val="center"/>
                    <w:rPr>
                      <w:rFonts w:hint="default" w:eastAsia="宋体"/>
                      <w:color w:val="auto"/>
                      <w:lang w:val="en-US" w:eastAsia="zh-CN"/>
                    </w:rPr>
                  </w:pPr>
                  <w:r>
                    <w:rPr>
                      <w:rFonts w:hint="eastAsia"/>
                      <w:color w:val="auto"/>
                      <w:lang w:val="en-US" w:eastAsia="zh-CN"/>
                    </w:rPr>
                    <w:t>43.974909</w:t>
                  </w:r>
                </w:p>
              </w:tc>
              <w:tc>
                <w:tcPr>
                  <w:tcW w:w="1590" w:type="dxa"/>
                  <w:tcBorders>
                    <w:tl2br w:val="nil"/>
                    <w:tr2bl w:val="nil"/>
                  </w:tcBorders>
                  <w:noWrap w:val="0"/>
                  <w:vAlign w:val="center"/>
                </w:tcPr>
                <w:p w14:paraId="6BCBDD47">
                  <w:pPr>
                    <w:bidi w:val="0"/>
                    <w:jc w:val="center"/>
                    <w:rPr>
                      <w:rFonts w:hint="default" w:eastAsia="宋体"/>
                      <w:color w:val="auto"/>
                      <w:lang w:val="en-US" w:eastAsia="zh-CN"/>
                    </w:rPr>
                  </w:pPr>
                  <w:r>
                    <w:rPr>
                      <w:rFonts w:hint="eastAsia"/>
                      <w:color w:val="auto"/>
                      <w:lang w:val="en-US" w:eastAsia="zh-CN"/>
                    </w:rPr>
                    <w:t>G3033主线K87+497处乌拉斯2号大桥右侧310m</w:t>
                  </w:r>
                </w:p>
              </w:tc>
              <w:tc>
                <w:tcPr>
                  <w:tcW w:w="1424" w:type="dxa"/>
                  <w:tcBorders>
                    <w:tl2br w:val="nil"/>
                    <w:tr2bl w:val="nil"/>
                  </w:tcBorders>
                  <w:noWrap w:val="0"/>
                  <w:vAlign w:val="center"/>
                </w:tcPr>
                <w:p w14:paraId="7DB18E5D">
                  <w:pPr>
                    <w:bidi w:val="0"/>
                    <w:jc w:val="center"/>
                    <w:rPr>
                      <w:rFonts w:hint="default" w:eastAsia="宋体"/>
                      <w:color w:val="auto"/>
                      <w:lang w:val="en-US" w:eastAsia="zh-CN"/>
                    </w:rPr>
                  </w:pPr>
                  <w:r>
                    <w:rPr>
                      <w:rFonts w:hint="eastAsia"/>
                      <w:color w:val="auto"/>
                      <w:lang w:eastAsia="zh-CN"/>
                    </w:rPr>
                    <w:t>《</w:t>
                  </w:r>
                  <w:r>
                    <w:rPr>
                      <w:rFonts w:hint="eastAsia"/>
                      <w:color w:val="auto"/>
                      <w:lang w:val="en-US" w:eastAsia="zh-CN"/>
                    </w:rPr>
                    <w:t>地表水环境质量标准</w:t>
                  </w:r>
                  <w:r>
                    <w:rPr>
                      <w:rFonts w:hint="eastAsia"/>
                      <w:color w:val="auto"/>
                      <w:lang w:eastAsia="zh-CN"/>
                    </w:rPr>
                    <w:t>》（</w:t>
                  </w:r>
                  <w:r>
                    <w:rPr>
                      <w:rFonts w:hint="eastAsia"/>
                      <w:color w:val="auto"/>
                      <w:lang w:val="en-US" w:eastAsia="zh-CN"/>
                    </w:rPr>
                    <w:t>GB3838-2002</w:t>
                  </w:r>
                  <w:r>
                    <w:rPr>
                      <w:rFonts w:hint="eastAsia"/>
                      <w:color w:val="auto"/>
                      <w:lang w:eastAsia="zh-CN"/>
                    </w:rPr>
                    <w:t>）</w:t>
                  </w:r>
                  <w:r>
                    <w:rPr>
                      <w:rFonts w:hint="eastAsia"/>
                      <w:color w:val="auto"/>
                      <w:lang w:val="en-US" w:eastAsia="zh-CN"/>
                    </w:rPr>
                    <w:t>II类</w:t>
                  </w:r>
                </w:p>
              </w:tc>
            </w:tr>
          </w:tbl>
          <w:p w14:paraId="305ECB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2</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监测结果与评价</w:t>
            </w:r>
          </w:p>
          <w:p w14:paraId="3783CB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地表水水质现状监测时间为2025年4月20日至</w:t>
            </w:r>
            <w:r>
              <w:rPr>
                <w:rFonts w:hint="eastAsia"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lang w:val="en-US" w:eastAsia="zh-CN"/>
              </w:rPr>
              <w:t>月</w:t>
            </w:r>
            <w:r>
              <w:rPr>
                <w:rFonts w:hint="eastAsia" w:ascii="Times New Roman" w:hAnsi="Times New Roman" w:cs="Times New Roman"/>
                <w:color w:val="auto"/>
                <w:kern w:val="0"/>
                <w:sz w:val="24"/>
                <w:szCs w:val="24"/>
                <w:lang w:val="en-US" w:eastAsia="zh-CN"/>
              </w:rPr>
              <w:t>22日，连续监测3天，每天采样一次，结果见表3-5。</w:t>
            </w:r>
          </w:p>
          <w:p w14:paraId="586563A2">
            <w:pPr>
              <w:bidi w:val="0"/>
              <w:jc w:val="center"/>
              <w:rPr>
                <w:rFonts w:hint="default"/>
                <w:b/>
                <w:bCs/>
                <w:color w:val="auto"/>
                <w:lang w:val="en-US" w:eastAsia="zh-CN"/>
              </w:rPr>
            </w:pPr>
            <w:r>
              <w:rPr>
                <w:rFonts w:hint="eastAsia"/>
                <w:b/>
                <w:bCs/>
                <w:color w:val="auto"/>
                <w:lang w:val="en-US" w:eastAsia="zh-CN"/>
              </w:rPr>
              <w:t>表3-5  地表水环境质量监测与评价结果一览表</w:t>
            </w:r>
          </w:p>
          <w:tbl>
            <w:tblPr>
              <w:tblStyle w:val="29"/>
              <w:tblW w:w="797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205"/>
              <w:gridCol w:w="1710"/>
              <w:gridCol w:w="1275"/>
              <w:gridCol w:w="1125"/>
              <w:gridCol w:w="814"/>
            </w:tblGrid>
            <w:tr w14:paraId="39BE8A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tcBorders>
                    <w:tl2br w:val="nil"/>
                    <w:tr2bl w:val="nil"/>
                  </w:tcBorders>
                  <w:noWrap w:val="0"/>
                  <w:vAlign w:val="center"/>
                </w:tcPr>
                <w:p w14:paraId="3D7EFE17">
                  <w:pPr>
                    <w:bidi w:val="0"/>
                    <w:jc w:val="center"/>
                    <w:rPr>
                      <w:rFonts w:hint="default"/>
                      <w:b/>
                      <w:bCs/>
                      <w:color w:val="auto"/>
                      <w:lang w:val="en-US" w:eastAsia="zh-CN"/>
                    </w:rPr>
                  </w:pPr>
                  <w:r>
                    <w:rPr>
                      <w:rFonts w:hint="eastAsia"/>
                      <w:b/>
                      <w:bCs/>
                      <w:color w:val="auto"/>
                      <w:lang w:val="en-US" w:eastAsia="zh-CN"/>
                    </w:rPr>
                    <w:t>监测断面</w:t>
                  </w:r>
                </w:p>
              </w:tc>
              <w:tc>
                <w:tcPr>
                  <w:tcW w:w="2205" w:type="dxa"/>
                  <w:tcBorders>
                    <w:tl2br w:val="nil"/>
                    <w:tr2bl w:val="nil"/>
                  </w:tcBorders>
                  <w:noWrap w:val="0"/>
                  <w:vAlign w:val="center"/>
                </w:tcPr>
                <w:p w14:paraId="41E707AC">
                  <w:pPr>
                    <w:bidi w:val="0"/>
                    <w:jc w:val="center"/>
                    <w:rPr>
                      <w:rFonts w:hint="default"/>
                      <w:b/>
                      <w:bCs/>
                      <w:color w:val="auto"/>
                      <w:lang w:val="en-US" w:eastAsia="zh-CN"/>
                    </w:rPr>
                  </w:pPr>
                  <w:r>
                    <w:rPr>
                      <w:rFonts w:hint="eastAsia"/>
                      <w:b/>
                      <w:bCs/>
                      <w:color w:val="auto"/>
                      <w:lang w:val="en-US" w:eastAsia="zh-CN"/>
                    </w:rPr>
                    <w:t>监测项目</w:t>
                  </w:r>
                </w:p>
              </w:tc>
              <w:tc>
                <w:tcPr>
                  <w:tcW w:w="1710" w:type="dxa"/>
                  <w:tcBorders>
                    <w:tl2br w:val="nil"/>
                    <w:tr2bl w:val="nil"/>
                  </w:tcBorders>
                  <w:noWrap w:val="0"/>
                  <w:vAlign w:val="center"/>
                </w:tcPr>
                <w:p w14:paraId="566E68C9">
                  <w:pPr>
                    <w:bidi w:val="0"/>
                    <w:jc w:val="center"/>
                    <w:rPr>
                      <w:rFonts w:hint="default"/>
                      <w:b/>
                      <w:bCs/>
                      <w:color w:val="auto"/>
                      <w:lang w:val="en-US" w:eastAsia="zh-CN"/>
                    </w:rPr>
                  </w:pPr>
                  <w:r>
                    <w:rPr>
                      <w:rFonts w:hint="eastAsia"/>
                      <w:b/>
                      <w:bCs/>
                      <w:color w:val="auto"/>
                      <w:lang w:val="en-US" w:eastAsia="zh-CN"/>
                    </w:rPr>
                    <w:t>评价标准（mg/L）</w:t>
                  </w:r>
                </w:p>
              </w:tc>
              <w:tc>
                <w:tcPr>
                  <w:tcW w:w="1275" w:type="dxa"/>
                  <w:tcBorders>
                    <w:tl2br w:val="nil"/>
                    <w:tr2bl w:val="nil"/>
                  </w:tcBorders>
                  <w:noWrap w:val="0"/>
                  <w:vAlign w:val="center"/>
                </w:tcPr>
                <w:p w14:paraId="5230C25B">
                  <w:pPr>
                    <w:bidi w:val="0"/>
                    <w:jc w:val="center"/>
                    <w:rPr>
                      <w:rFonts w:hint="default"/>
                      <w:b/>
                      <w:bCs/>
                      <w:color w:val="auto"/>
                      <w:lang w:val="en-US" w:eastAsia="zh-CN"/>
                    </w:rPr>
                  </w:pPr>
                  <w:r>
                    <w:rPr>
                      <w:rFonts w:hint="eastAsia"/>
                      <w:b/>
                      <w:bCs/>
                      <w:color w:val="auto"/>
                      <w:lang w:val="en-US" w:eastAsia="zh-CN"/>
                    </w:rPr>
                    <w:t>现状浓度范围（mg/L）</w:t>
                  </w:r>
                </w:p>
              </w:tc>
              <w:tc>
                <w:tcPr>
                  <w:tcW w:w="1125" w:type="dxa"/>
                  <w:tcBorders>
                    <w:tl2br w:val="nil"/>
                    <w:tr2bl w:val="nil"/>
                  </w:tcBorders>
                  <w:noWrap w:val="0"/>
                  <w:vAlign w:val="center"/>
                </w:tcPr>
                <w:p w14:paraId="064BB01A">
                  <w:pPr>
                    <w:bidi w:val="0"/>
                    <w:jc w:val="center"/>
                    <w:rPr>
                      <w:rFonts w:hint="default"/>
                      <w:b/>
                      <w:bCs/>
                      <w:color w:val="auto"/>
                      <w:lang w:val="en-US" w:eastAsia="zh-CN"/>
                    </w:rPr>
                  </w:pPr>
                  <w:r>
                    <w:rPr>
                      <w:rFonts w:hint="eastAsia"/>
                      <w:b/>
                      <w:bCs/>
                      <w:color w:val="auto"/>
                      <w:lang w:val="en-US" w:eastAsia="zh-CN"/>
                    </w:rPr>
                    <w:t>最大水质指数</w:t>
                  </w:r>
                </w:p>
              </w:tc>
              <w:tc>
                <w:tcPr>
                  <w:tcW w:w="814" w:type="dxa"/>
                  <w:tcBorders>
                    <w:tl2br w:val="nil"/>
                    <w:tr2bl w:val="nil"/>
                  </w:tcBorders>
                  <w:noWrap w:val="0"/>
                  <w:vAlign w:val="center"/>
                </w:tcPr>
                <w:p w14:paraId="3069E4FA">
                  <w:pPr>
                    <w:bidi w:val="0"/>
                    <w:jc w:val="center"/>
                    <w:rPr>
                      <w:rFonts w:hint="default"/>
                      <w:b/>
                      <w:bCs/>
                      <w:color w:val="auto"/>
                      <w:lang w:val="en-US" w:eastAsia="zh-CN"/>
                    </w:rPr>
                  </w:pPr>
                  <w:r>
                    <w:rPr>
                      <w:rFonts w:hint="eastAsia"/>
                      <w:b/>
                      <w:bCs/>
                      <w:color w:val="auto"/>
                      <w:lang w:val="en-US" w:eastAsia="zh-CN"/>
                    </w:rPr>
                    <w:t>达标情况</w:t>
                  </w:r>
                </w:p>
              </w:tc>
            </w:tr>
            <w:tr w14:paraId="478BBA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restart"/>
                  <w:tcBorders>
                    <w:tl2br w:val="nil"/>
                    <w:tr2bl w:val="nil"/>
                  </w:tcBorders>
                  <w:noWrap w:val="0"/>
                  <w:vAlign w:val="center"/>
                </w:tcPr>
                <w:p w14:paraId="248DCC9C">
                  <w:pPr>
                    <w:bidi w:val="0"/>
                    <w:jc w:val="center"/>
                    <w:rPr>
                      <w:rFonts w:hint="default"/>
                      <w:color w:val="auto"/>
                      <w:lang w:val="en-US" w:eastAsia="zh-CN"/>
                    </w:rPr>
                  </w:pPr>
                  <w:r>
                    <w:rPr>
                      <w:rFonts w:hint="eastAsia"/>
                      <w:color w:val="auto"/>
                      <w:lang w:val="en-US" w:eastAsia="zh-CN"/>
                    </w:rPr>
                    <w:t>奎屯河断面</w:t>
                  </w:r>
                </w:p>
              </w:tc>
              <w:tc>
                <w:tcPr>
                  <w:tcW w:w="2205" w:type="dxa"/>
                  <w:tcBorders>
                    <w:tl2br w:val="nil"/>
                    <w:tr2bl w:val="nil"/>
                  </w:tcBorders>
                  <w:noWrap w:val="0"/>
                  <w:vAlign w:val="center"/>
                </w:tcPr>
                <w:p w14:paraId="2C3473F3">
                  <w:pPr>
                    <w:bidi w:val="0"/>
                    <w:jc w:val="center"/>
                    <w:rPr>
                      <w:rFonts w:hint="default"/>
                      <w:color w:val="auto"/>
                      <w:lang w:val="en-US" w:eastAsia="zh-CN"/>
                    </w:rPr>
                  </w:pPr>
                  <w:r>
                    <w:rPr>
                      <w:rFonts w:hint="eastAsia"/>
                      <w:color w:val="auto"/>
                      <w:lang w:val="en-US" w:eastAsia="zh-CN"/>
                    </w:rPr>
                    <w:t>水温（℃）</w:t>
                  </w:r>
                </w:p>
              </w:tc>
              <w:tc>
                <w:tcPr>
                  <w:tcW w:w="1710" w:type="dxa"/>
                  <w:tcBorders>
                    <w:tl2br w:val="nil"/>
                    <w:tr2bl w:val="nil"/>
                  </w:tcBorders>
                  <w:noWrap w:val="0"/>
                  <w:vAlign w:val="center"/>
                </w:tcPr>
                <w:p w14:paraId="57F60FAF">
                  <w:pPr>
                    <w:bidi w:val="0"/>
                    <w:jc w:val="center"/>
                    <w:rPr>
                      <w:rFonts w:hint="default"/>
                      <w:color w:val="auto"/>
                      <w:lang w:val="en-US" w:eastAsia="zh-CN"/>
                    </w:rPr>
                  </w:pPr>
                  <w:r>
                    <w:rPr>
                      <w:rFonts w:hint="eastAsia"/>
                      <w:color w:val="auto"/>
                      <w:lang w:val="en-US" w:eastAsia="zh-CN"/>
                    </w:rPr>
                    <w:t>/</w:t>
                  </w:r>
                </w:p>
              </w:tc>
              <w:tc>
                <w:tcPr>
                  <w:tcW w:w="1275" w:type="dxa"/>
                  <w:tcBorders>
                    <w:tl2br w:val="nil"/>
                    <w:tr2bl w:val="nil"/>
                  </w:tcBorders>
                  <w:noWrap w:val="0"/>
                  <w:vAlign w:val="center"/>
                </w:tcPr>
                <w:p w14:paraId="6192CBA4">
                  <w:pPr>
                    <w:bidi w:val="0"/>
                    <w:jc w:val="center"/>
                    <w:rPr>
                      <w:rFonts w:hint="default"/>
                      <w:color w:val="auto"/>
                      <w:lang w:val="en-US" w:eastAsia="zh-CN"/>
                    </w:rPr>
                  </w:pPr>
                  <w:r>
                    <w:rPr>
                      <w:rFonts w:hint="eastAsia"/>
                      <w:color w:val="auto"/>
                      <w:lang w:val="en-US" w:eastAsia="zh-CN"/>
                    </w:rPr>
                    <w:t>3.1~3.3</w:t>
                  </w:r>
                </w:p>
              </w:tc>
              <w:tc>
                <w:tcPr>
                  <w:tcW w:w="1125" w:type="dxa"/>
                  <w:tcBorders>
                    <w:tl2br w:val="nil"/>
                    <w:tr2bl w:val="nil"/>
                  </w:tcBorders>
                  <w:noWrap w:val="0"/>
                  <w:vAlign w:val="center"/>
                </w:tcPr>
                <w:p w14:paraId="32E27516">
                  <w:pPr>
                    <w:bidi w:val="0"/>
                    <w:jc w:val="center"/>
                    <w:rPr>
                      <w:rFonts w:hint="default"/>
                      <w:color w:val="auto"/>
                      <w:lang w:val="en-US" w:eastAsia="zh-CN"/>
                    </w:rPr>
                  </w:pPr>
                  <w:r>
                    <w:rPr>
                      <w:rFonts w:hint="eastAsia"/>
                      <w:color w:val="auto"/>
                      <w:lang w:val="en-US" w:eastAsia="zh-CN"/>
                    </w:rPr>
                    <w:t>/</w:t>
                  </w:r>
                </w:p>
              </w:tc>
              <w:tc>
                <w:tcPr>
                  <w:tcW w:w="814" w:type="dxa"/>
                  <w:tcBorders>
                    <w:tl2br w:val="nil"/>
                    <w:tr2bl w:val="nil"/>
                  </w:tcBorders>
                  <w:noWrap w:val="0"/>
                  <w:vAlign w:val="center"/>
                </w:tcPr>
                <w:p w14:paraId="5875F850">
                  <w:pPr>
                    <w:bidi w:val="0"/>
                    <w:jc w:val="center"/>
                    <w:rPr>
                      <w:rFonts w:hint="default"/>
                      <w:color w:val="auto"/>
                      <w:lang w:val="en-US" w:eastAsia="zh-CN"/>
                    </w:rPr>
                  </w:pPr>
                  <w:r>
                    <w:rPr>
                      <w:rFonts w:hint="eastAsia"/>
                      <w:color w:val="auto"/>
                      <w:lang w:val="en-US" w:eastAsia="zh-CN"/>
                    </w:rPr>
                    <w:t>/</w:t>
                  </w:r>
                </w:p>
              </w:tc>
            </w:tr>
            <w:tr w14:paraId="6B653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continue"/>
                  <w:tcBorders>
                    <w:tl2br w:val="nil"/>
                    <w:tr2bl w:val="nil"/>
                  </w:tcBorders>
                  <w:noWrap w:val="0"/>
                  <w:vAlign w:val="center"/>
                </w:tcPr>
                <w:p w14:paraId="20979A2B">
                  <w:pPr>
                    <w:bidi w:val="0"/>
                    <w:jc w:val="center"/>
                    <w:rPr>
                      <w:rFonts w:hint="eastAsia"/>
                      <w:color w:val="auto"/>
                      <w:lang w:val="en-US" w:eastAsia="zh-CN"/>
                    </w:rPr>
                  </w:pPr>
                </w:p>
              </w:tc>
              <w:tc>
                <w:tcPr>
                  <w:tcW w:w="2205" w:type="dxa"/>
                  <w:tcBorders>
                    <w:tl2br w:val="nil"/>
                    <w:tr2bl w:val="nil"/>
                  </w:tcBorders>
                  <w:noWrap w:val="0"/>
                  <w:vAlign w:val="center"/>
                </w:tcPr>
                <w:p w14:paraId="7D15073E">
                  <w:pPr>
                    <w:bidi w:val="0"/>
                    <w:jc w:val="center"/>
                    <w:rPr>
                      <w:rFonts w:hint="default"/>
                      <w:color w:val="auto"/>
                      <w:lang w:val="en-US" w:eastAsia="zh-CN"/>
                    </w:rPr>
                  </w:pPr>
                  <w:r>
                    <w:rPr>
                      <w:rFonts w:hint="eastAsia"/>
                      <w:color w:val="auto"/>
                      <w:lang w:val="en-US" w:eastAsia="zh-CN"/>
                    </w:rPr>
                    <w:t>pH（无量纲）</w:t>
                  </w:r>
                </w:p>
              </w:tc>
              <w:tc>
                <w:tcPr>
                  <w:tcW w:w="1710" w:type="dxa"/>
                  <w:tcBorders>
                    <w:tl2br w:val="nil"/>
                    <w:tr2bl w:val="nil"/>
                  </w:tcBorders>
                  <w:noWrap w:val="0"/>
                  <w:vAlign w:val="center"/>
                </w:tcPr>
                <w:p w14:paraId="0A172C85">
                  <w:pPr>
                    <w:bidi w:val="0"/>
                    <w:jc w:val="center"/>
                    <w:rPr>
                      <w:rFonts w:hint="default"/>
                      <w:color w:val="auto"/>
                      <w:lang w:val="en-US" w:eastAsia="zh-CN"/>
                    </w:rPr>
                  </w:pPr>
                  <w:r>
                    <w:rPr>
                      <w:rFonts w:hint="eastAsia"/>
                      <w:color w:val="auto"/>
                      <w:lang w:val="en-US" w:eastAsia="zh-CN"/>
                    </w:rPr>
                    <w:t>6~9</w:t>
                  </w:r>
                </w:p>
              </w:tc>
              <w:tc>
                <w:tcPr>
                  <w:tcW w:w="1275" w:type="dxa"/>
                  <w:tcBorders>
                    <w:tl2br w:val="nil"/>
                    <w:tr2bl w:val="nil"/>
                  </w:tcBorders>
                  <w:noWrap w:val="0"/>
                  <w:vAlign w:val="center"/>
                </w:tcPr>
                <w:p w14:paraId="6C885B9C">
                  <w:pPr>
                    <w:bidi w:val="0"/>
                    <w:jc w:val="center"/>
                    <w:rPr>
                      <w:rFonts w:hint="default"/>
                      <w:color w:val="auto"/>
                      <w:lang w:val="en-US" w:eastAsia="zh-CN"/>
                    </w:rPr>
                  </w:pPr>
                  <w:r>
                    <w:rPr>
                      <w:rFonts w:hint="eastAsia"/>
                      <w:color w:val="auto"/>
                      <w:lang w:val="en-US" w:eastAsia="zh-CN"/>
                    </w:rPr>
                    <w:t>7.1~7.2</w:t>
                  </w:r>
                </w:p>
              </w:tc>
              <w:tc>
                <w:tcPr>
                  <w:tcW w:w="1125" w:type="dxa"/>
                  <w:tcBorders>
                    <w:tl2br w:val="nil"/>
                    <w:tr2bl w:val="nil"/>
                  </w:tcBorders>
                  <w:noWrap w:val="0"/>
                  <w:vAlign w:val="center"/>
                </w:tcPr>
                <w:p w14:paraId="56C46875">
                  <w:pPr>
                    <w:bidi w:val="0"/>
                    <w:jc w:val="center"/>
                    <w:rPr>
                      <w:rFonts w:hint="default"/>
                      <w:color w:val="auto"/>
                      <w:lang w:val="en-US" w:eastAsia="zh-CN"/>
                    </w:rPr>
                  </w:pPr>
                  <w:r>
                    <w:rPr>
                      <w:rFonts w:hint="eastAsia"/>
                      <w:color w:val="auto"/>
                      <w:lang w:val="en-US" w:eastAsia="zh-CN"/>
                    </w:rPr>
                    <w:t>0.1</w:t>
                  </w:r>
                </w:p>
              </w:tc>
              <w:tc>
                <w:tcPr>
                  <w:tcW w:w="814" w:type="dxa"/>
                  <w:tcBorders>
                    <w:tl2br w:val="nil"/>
                    <w:tr2bl w:val="nil"/>
                  </w:tcBorders>
                  <w:noWrap w:val="0"/>
                  <w:vAlign w:val="center"/>
                </w:tcPr>
                <w:p w14:paraId="4C1752BF">
                  <w:pPr>
                    <w:bidi w:val="0"/>
                    <w:jc w:val="center"/>
                    <w:rPr>
                      <w:rFonts w:hint="default"/>
                      <w:color w:val="auto"/>
                      <w:lang w:val="en-US" w:eastAsia="zh-CN"/>
                    </w:rPr>
                  </w:pPr>
                  <w:r>
                    <w:rPr>
                      <w:rFonts w:hint="eastAsia"/>
                      <w:color w:val="auto"/>
                      <w:lang w:val="en-US" w:eastAsia="zh-CN"/>
                    </w:rPr>
                    <w:t>达标</w:t>
                  </w:r>
                </w:p>
              </w:tc>
            </w:tr>
            <w:tr w14:paraId="400779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continue"/>
                  <w:tcBorders>
                    <w:tl2br w:val="nil"/>
                    <w:tr2bl w:val="nil"/>
                  </w:tcBorders>
                  <w:noWrap w:val="0"/>
                  <w:vAlign w:val="center"/>
                </w:tcPr>
                <w:p w14:paraId="48B800E7">
                  <w:pPr>
                    <w:bidi w:val="0"/>
                    <w:jc w:val="center"/>
                    <w:rPr>
                      <w:rFonts w:hint="eastAsia"/>
                      <w:color w:val="auto"/>
                      <w:lang w:val="en-US" w:eastAsia="zh-CN"/>
                    </w:rPr>
                  </w:pPr>
                </w:p>
              </w:tc>
              <w:tc>
                <w:tcPr>
                  <w:tcW w:w="2205" w:type="dxa"/>
                  <w:tcBorders>
                    <w:tl2br w:val="nil"/>
                    <w:tr2bl w:val="nil"/>
                  </w:tcBorders>
                  <w:noWrap w:val="0"/>
                  <w:vAlign w:val="center"/>
                </w:tcPr>
                <w:p w14:paraId="2F98D24D">
                  <w:pPr>
                    <w:bidi w:val="0"/>
                    <w:jc w:val="center"/>
                    <w:rPr>
                      <w:rFonts w:hint="default"/>
                      <w:color w:val="auto"/>
                      <w:lang w:val="en-US" w:eastAsia="zh-CN"/>
                    </w:rPr>
                  </w:pPr>
                  <w:r>
                    <w:rPr>
                      <w:rFonts w:hint="eastAsia"/>
                      <w:color w:val="auto"/>
                      <w:lang w:val="en-US" w:eastAsia="zh-CN"/>
                    </w:rPr>
                    <w:t>COD</w:t>
                  </w:r>
                </w:p>
              </w:tc>
              <w:tc>
                <w:tcPr>
                  <w:tcW w:w="1710" w:type="dxa"/>
                  <w:tcBorders>
                    <w:tl2br w:val="nil"/>
                    <w:tr2bl w:val="nil"/>
                  </w:tcBorders>
                  <w:noWrap w:val="0"/>
                  <w:vAlign w:val="center"/>
                </w:tcPr>
                <w:p w14:paraId="176F6F9D">
                  <w:pPr>
                    <w:bidi w:val="0"/>
                    <w:jc w:val="center"/>
                    <w:rPr>
                      <w:rFonts w:hint="default"/>
                      <w:color w:val="auto"/>
                      <w:lang w:val="en-US" w:eastAsia="zh-CN"/>
                    </w:rPr>
                  </w:pPr>
                  <w:r>
                    <w:rPr>
                      <w:rFonts w:hint="eastAsia"/>
                      <w:color w:val="auto"/>
                      <w:lang w:val="en-US" w:eastAsia="zh-CN"/>
                    </w:rPr>
                    <w:t>15</w:t>
                  </w:r>
                </w:p>
              </w:tc>
              <w:tc>
                <w:tcPr>
                  <w:tcW w:w="1275" w:type="dxa"/>
                  <w:tcBorders>
                    <w:tl2br w:val="nil"/>
                    <w:tr2bl w:val="nil"/>
                  </w:tcBorders>
                  <w:noWrap w:val="0"/>
                  <w:vAlign w:val="center"/>
                </w:tcPr>
                <w:p w14:paraId="6E00BA18">
                  <w:pPr>
                    <w:bidi w:val="0"/>
                    <w:jc w:val="center"/>
                    <w:rPr>
                      <w:rFonts w:hint="default"/>
                      <w:color w:val="auto"/>
                      <w:lang w:val="en-US" w:eastAsia="zh-CN"/>
                    </w:rPr>
                  </w:pPr>
                  <w:r>
                    <w:rPr>
                      <w:rFonts w:hint="eastAsia"/>
                      <w:color w:val="auto"/>
                      <w:lang w:val="en-US" w:eastAsia="zh-CN"/>
                    </w:rPr>
                    <w:t>7~8</w:t>
                  </w:r>
                </w:p>
              </w:tc>
              <w:tc>
                <w:tcPr>
                  <w:tcW w:w="1125" w:type="dxa"/>
                  <w:tcBorders>
                    <w:tl2br w:val="nil"/>
                    <w:tr2bl w:val="nil"/>
                  </w:tcBorders>
                  <w:noWrap w:val="0"/>
                  <w:vAlign w:val="center"/>
                </w:tcPr>
                <w:p w14:paraId="330FD13F">
                  <w:pPr>
                    <w:bidi w:val="0"/>
                    <w:jc w:val="center"/>
                    <w:rPr>
                      <w:rFonts w:hint="default"/>
                      <w:color w:val="auto"/>
                      <w:lang w:val="en-US" w:eastAsia="zh-CN"/>
                    </w:rPr>
                  </w:pPr>
                  <w:r>
                    <w:rPr>
                      <w:rFonts w:hint="eastAsia"/>
                      <w:color w:val="auto"/>
                      <w:lang w:val="en-US" w:eastAsia="zh-CN"/>
                    </w:rPr>
                    <w:t>0.53</w:t>
                  </w:r>
                </w:p>
              </w:tc>
              <w:tc>
                <w:tcPr>
                  <w:tcW w:w="814" w:type="dxa"/>
                  <w:tcBorders>
                    <w:tl2br w:val="nil"/>
                    <w:tr2bl w:val="nil"/>
                  </w:tcBorders>
                  <w:noWrap w:val="0"/>
                  <w:vAlign w:val="center"/>
                </w:tcPr>
                <w:p w14:paraId="2EDD88DB">
                  <w:pPr>
                    <w:bidi w:val="0"/>
                    <w:jc w:val="center"/>
                    <w:rPr>
                      <w:rFonts w:hint="eastAsia"/>
                      <w:color w:val="auto"/>
                      <w:lang w:val="en-US" w:eastAsia="zh-CN"/>
                    </w:rPr>
                  </w:pPr>
                  <w:r>
                    <w:rPr>
                      <w:rFonts w:hint="eastAsia"/>
                      <w:color w:val="auto"/>
                      <w:lang w:val="en-US" w:eastAsia="zh-CN"/>
                    </w:rPr>
                    <w:t>达标</w:t>
                  </w:r>
                </w:p>
              </w:tc>
            </w:tr>
            <w:tr w14:paraId="3FDE3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continue"/>
                  <w:tcBorders>
                    <w:tl2br w:val="nil"/>
                    <w:tr2bl w:val="nil"/>
                  </w:tcBorders>
                  <w:noWrap w:val="0"/>
                  <w:vAlign w:val="center"/>
                </w:tcPr>
                <w:p w14:paraId="39860BE0">
                  <w:pPr>
                    <w:bidi w:val="0"/>
                    <w:jc w:val="center"/>
                    <w:rPr>
                      <w:rFonts w:hint="eastAsia"/>
                      <w:color w:val="auto"/>
                      <w:lang w:val="en-US" w:eastAsia="zh-CN"/>
                    </w:rPr>
                  </w:pPr>
                </w:p>
              </w:tc>
              <w:tc>
                <w:tcPr>
                  <w:tcW w:w="2205" w:type="dxa"/>
                  <w:tcBorders>
                    <w:tl2br w:val="nil"/>
                    <w:tr2bl w:val="nil"/>
                  </w:tcBorders>
                  <w:noWrap w:val="0"/>
                  <w:vAlign w:val="center"/>
                </w:tcPr>
                <w:p w14:paraId="2E7F565F">
                  <w:pPr>
                    <w:bidi w:val="0"/>
                    <w:jc w:val="center"/>
                    <w:rPr>
                      <w:rFonts w:hint="default"/>
                      <w:color w:val="auto"/>
                      <w:lang w:val="en-US" w:eastAsia="zh-CN"/>
                    </w:rPr>
                  </w:pPr>
                  <w:r>
                    <w:rPr>
                      <w:rFonts w:hint="eastAsia"/>
                      <w:color w:val="auto"/>
                      <w:lang w:val="en-US" w:eastAsia="zh-CN"/>
                    </w:rPr>
                    <w:t>BOD</w:t>
                  </w:r>
                  <w:r>
                    <w:rPr>
                      <w:rFonts w:hint="eastAsia"/>
                      <w:color w:val="auto"/>
                      <w:vertAlign w:val="subscript"/>
                      <w:lang w:val="en-US" w:eastAsia="zh-CN"/>
                    </w:rPr>
                    <w:t>5</w:t>
                  </w:r>
                </w:p>
              </w:tc>
              <w:tc>
                <w:tcPr>
                  <w:tcW w:w="1710" w:type="dxa"/>
                  <w:tcBorders>
                    <w:tl2br w:val="nil"/>
                    <w:tr2bl w:val="nil"/>
                  </w:tcBorders>
                  <w:noWrap w:val="0"/>
                  <w:vAlign w:val="center"/>
                </w:tcPr>
                <w:p w14:paraId="51574CD2">
                  <w:pPr>
                    <w:bidi w:val="0"/>
                    <w:jc w:val="center"/>
                    <w:rPr>
                      <w:rFonts w:hint="default"/>
                      <w:color w:val="auto"/>
                      <w:lang w:val="en-US" w:eastAsia="zh-CN"/>
                    </w:rPr>
                  </w:pPr>
                  <w:r>
                    <w:rPr>
                      <w:rFonts w:hint="eastAsia"/>
                      <w:color w:val="auto"/>
                      <w:lang w:val="en-US" w:eastAsia="zh-CN"/>
                    </w:rPr>
                    <w:t>3</w:t>
                  </w:r>
                </w:p>
              </w:tc>
              <w:tc>
                <w:tcPr>
                  <w:tcW w:w="1275" w:type="dxa"/>
                  <w:tcBorders>
                    <w:tl2br w:val="nil"/>
                    <w:tr2bl w:val="nil"/>
                  </w:tcBorders>
                  <w:noWrap w:val="0"/>
                  <w:vAlign w:val="center"/>
                </w:tcPr>
                <w:p w14:paraId="7BF775F3">
                  <w:pPr>
                    <w:bidi w:val="0"/>
                    <w:jc w:val="center"/>
                    <w:rPr>
                      <w:rFonts w:hint="default"/>
                      <w:color w:val="auto"/>
                      <w:lang w:val="en-US" w:eastAsia="zh-CN"/>
                    </w:rPr>
                  </w:pPr>
                  <w:r>
                    <w:rPr>
                      <w:rFonts w:hint="eastAsia"/>
                      <w:color w:val="auto"/>
                      <w:lang w:val="en-US" w:eastAsia="zh-CN"/>
                    </w:rPr>
                    <w:t>1.6~1.8</w:t>
                  </w:r>
                </w:p>
              </w:tc>
              <w:tc>
                <w:tcPr>
                  <w:tcW w:w="1125" w:type="dxa"/>
                  <w:tcBorders>
                    <w:tl2br w:val="nil"/>
                    <w:tr2bl w:val="nil"/>
                  </w:tcBorders>
                  <w:noWrap w:val="0"/>
                  <w:vAlign w:val="center"/>
                </w:tcPr>
                <w:p w14:paraId="6FBE0182">
                  <w:pPr>
                    <w:bidi w:val="0"/>
                    <w:jc w:val="center"/>
                    <w:rPr>
                      <w:rFonts w:hint="default"/>
                      <w:color w:val="auto"/>
                      <w:lang w:val="en-US" w:eastAsia="zh-CN"/>
                    </w:rPr>
                  </w:pPr>
                  <w:r>
                    <w:rPr>
                      <w:rFonts w:hint="eastAsia"/>
                      <w:color w:val="auto"/>
                      <w:lang w:val="en-US" w:eastAsia="zh-CN"/>
                    </w:rPr>
                    <w:t>0.60</w:t>
                  </w:r>
                </w:p>
              </w:tc>
              <w:tc>
                <w:tcPr>
                  <w:tcW w:w="814" w:type="dxa"/>
                  <w:tcBorders>
                    <w:tl2br w:val="nil"/>
                    <w:tr2bl w:val="nil"/>
                  </w:tcBorders>
                  <w:noWrap w:val="0"/>
                  <w:vAlign w:val="center"/>
                </w:tcPr>
                <w:p w14:paraId="6D1225B7">
                  <w:pPr>
                    <w:bidi w:val="0"/>
                    <w:jc w:val="center"/>
                    <w:rPr>
                      <w:rFonts w:hint="eastAsia"/>
                      <w:color w:val="auto"/>
                      <w:lang w:val="en-US" w:eastAsia="zh-CN"/>
                    </w:rPr>
                  </w:pPr>
                  <w:r>
                    <w:rPr>
                      <w:rFonts w:hint="eastAsia"/>
                      <w:color w:val="auto"/>
                      <w:lang w:val="en-US" w:eastAsia="zh-CN"/>
                    </w:rPr>
                    <w:t>达标</w:t>
                  </w:r>
                </w:p>
              </w:tc>
            </w:tr>
            <w:tr w14:paraId="207E1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continue"/>
                  <w:tcBorders>
                    <w:tl2br w:val="nil"/>
                    <w:tr2bl w:val="nil"/>
                  </w:tcBorders>
                  <w:noWrap w:val="0"/>
                  <w:vAlign w:val="center"/>
                </w:tcPr>
                <w:p w14:paraId="294B6B8B">
                  <w:pPr>
                    <w:bidi w:val="0"/>
                    <w:jc w:val="center"/>
                    <w:rPr>
                      <w:rFonts w:hint="eastAsia"/>
                      <w:color w:val="auto"/>
                      <w:lang w:val="en-US" w:eastAsia="zh-CN"/>
                    </w:rPr>
                  </w:pPr>
                </w:p>
              </w:tc>
              <w:tc>
                <w:tcPr>
                  <w:tcW w:w="2205" w:type="dxa"/>
                  <w:tcBorders>
                    <w:tl2br w:val="nil"/>
                    <w:tr2bl w:val="nil"/>
                  </w:tcBorders>
                  <w:noWrap w:val="0"/>
                  <w:vAlign w:val="center"/>
                </w:tcPr>
                <w:p w14:paraId="445536E1">
                  <w:pPr>
                    <w:bidi w:val="0"/>
                    <w:jc w:val="center"/>
                    <w:rPr>
                      <w:rFonts w:hint="default"/>
                      <w:color w:val="auto"/>
                      <w:lang w:val="en-US" w:eastAsia="zh-CN"/>
                    </w:rPr>
                  </w:pPr>
                  <w:r>
                    <w:rPr>
                      <w:rFonts w:hint="eastAsia"/>
                      <w:color w:val="auto"/>
                      <w:lang w:val="en-US" w:eastAsia="zh-CN"/>
                    </w:rPr>
                    <w:t>石油类</w:t>
                  </w:r>
                </w:p>
              </w:tc>
              <w:tc>
                <w:tcPr>
                  <w:tcW w:w="1710" w:type="dxa"/>
                  <w:tcBorders>
                    <w:tl2br w:val="nil"/>
                    <w:tr2bl w:val="nil"/>
                  </w:tcBorders>
                  <w:noWrap w:val="0"/>
                  <w:vAlign w:val="center"/>
                </w:tcPr>
                <w:p w14:paraId="5011BDF2">
                  <w:pPr>
                    <w:bidi w:val="0"/>
                    <w:jc w:val="center"/>
                    <w:rPr>
                      <w:rFonts w:hint="default"/>
                      <w:color w:val="auto"/>
                      <w:lang w:val="en-US" w:eastAsia="zh-CN"/>
                    </w:rPr>
                  </w:pPr>
                  <w:r>
                    <w:rPr>
                      <w:rFonts w:hint="eastAsia"/>
                      <w:color w:val="auto"/>
                      <w:lang w:val="en-US" w:eastAsia="zh-CN"/>
                    </w:rPr>
                    <w:t>0.05</w:t>
                  </w:r>
                </w:p>
              </w:tc>
              <w:tc>
                <w:tcPr>
                  <w:tcW w:w="1275" w:type="dxa"/>
                  <w:tcBorders>
                    <w:tl2br w:val="nil"/>
                    <w:tr2bl w:val="nil"/>
                  </w:tcBorders>
                  <w:noWrap w:val="0"/>
                  <w:vAlign w:val="center"/>
                </w:tcPr>
                <w:p w14:paraId="4FBE2C58">
                  <w:pPr>
                    <w:bidi w:val="0"/>
                    <w:jc w:val="center"/>
                    <w:rPr>
                      <w:rFonts w:hint="default"/>
                      <w:color w:val="auto"/>
                      <w:lang w:val="en-US" w:eastAsia="zh-CN"/>
                    </w:rPr>
                  </w:pPr>
                  <w:r>
                    <w:rPr>
                      <w:rFonts w:hint="eastAsia"/>
                      <w:color w:val="auto"/>
                      <w:lang w:val="en-US" w:eastAsia="zh-CN"/>
                    </w:rPr>
                    <w:t>&lt;0.01</w:t>
                  </w:r>
                </w:p>
              </w:tc>
              <w:tc>
                <w:tcPr>
                  <w:tcW w:w="1125" w:type="dxa"/>
                  <w:tcBorders>
                    <w:tl2br w:val="nil"/>
                    <w:tr2bl w:val="nil"/>
                  </w:tcBorders>
                  <w:noWrap w:val="0"/>
                  <w:vAlign w:val="center"/>
                </w:tcPr>
                <w:p w14:paraId="44DA0531">
                  <w:pPr>
                    <w:bidi w:val="0"/>
                    <w:jc w:val="center"/>
                    <w:rPr>
                      <w:rFonts w:hint="default"/>
                      <w:color w:val="auto"/>
                      <w:lang w:val="en-US" w:eastAsia="zh-CN"/>
                    </w:rPr>
                  </w:pPr>
                  <w:r>
                    <w:rPr>
                      <w:rFonts w:hint="eastAsia"/>
                      <w:color w:val="auto"/>
                      <w:lang w:val="en-US" w:eastAsia="zh-CN"/>
                    </w:rPr>
                    <w:t>/</w:t>
                  </w:r>
                </w:p>
              </w:tc>
              <w:tc>
                <w:tcPr>
                  <w:tcW w:w="814" w:type="dxa"/>
                  <w:tcBorders>
                    <w:tl2br w:val="nil"/>
                    <w:tr2bl w:val="nil"/>
                  </w:tcBorders>
                  <w:noWrap w:val="0"/>
                  <w:vAlign w:val="center"/>
                </w:tcPr>
                <w:p w14:paraId="20E03EF9">
                  <w:pPr>
                    <w:bidi w:val="0"/>
                    <w:jc w:val="center"/>
                    <w:rPr>
                      <w:rFonts w:hint="eastAsia"/>
                      <w:color w:val="auto"/>
                      <w:lang w:val="en-US" w:eastAsia="zh-CN"/>
                    </w:rPr>
                  </w:pPr>
                  <w:r>
                    <w:rPr>
                      <w:rFonts w:hint="eastAsia"/>
                      <w:color w:val="auto"/>
                      <w:lang w:val="en-US" w:eastAsia="zh-CN"/>
                    </w:rPr>
                    <w:t>达标</w:t>
                  </w:r>
                </w:p>
              </w:tc>
            </w:tr>
            <w:tr w14:paraId="566A2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45" w:type="dxa"/>
                  <w:vMerge w:val="continue"/>
                  <w:tcBorders>
                    <w:tl2br w:val="nil"/>
                    <w:tr2bl w:val="nil"/>
                  </w:tcBorders>
                  <w:noWrap w:val="0"/>
                  <w:vAlign w:val="center"/>
                </w:tcPr>
                <w:p w14:paraId="58C0C089">
                  <w:pPr>
                    <w:bidi w:val="0"/>
                    <w:jc w:val="center"/>
                    <w:rPr>
                      <w:rFonts w:hint="eastAsia"/>
                      <w:color w:val="auto"/>
                      <w:lang w:val="en-US" w:eastAsia="zh-CN"/>
                    </w:rPr>
                  </w:pPr>
                </w:p>
              </w:tc>
              <w:tc>
                <w:tcPr>
                  <w:tcW w:w="2205" w:type="dxa"/>
                  <w:tcBorders>
                    <w:tl2br w:val="nil"/>
                    <w:tr2bl w:val="nil"/>
                  </w:tcBorders>
                  <w:noWrap w:val="0"/>
                  <w:vAlign w:val="center"/>
                </w:tcPr>
                <w:p w14:paraId="2D7CAAF9">
                  <w:pPr>
                    <w:bidi w:val="0"/>
                    <w:jc w:val="center"/>
                    <w:rPr>
                      <w:rFonts w:hint="default"/>
                      <w:color w:val="auto"/>
                      <w:lang w:val="en-US" w:eastAsia="zh-CN"/>
                    </w:rPr>
                  </w:pPr>
                  <w:r>
                    <w:rPr>
                      <w:rFonts w:hint="eastAsia"/>
                      <w:color w:val="auto"/>
                      <w:lang w:val="en-US" w:eastAsia="zh-CN"/>
                    </w:rPr>
                    <w:t>氨氮</w:t>
                  </w:r>
                </w:p>
              </w:tc>
              <w:tc>
                <w:tcPr>
                  <w:tcW w:w="1710" w:type="dxa"/>
                  <w:tcBorders>
                    <w:tl2br w:val="nil"/>
                    <w:tr2bl w:val="nil"/>
                  </w:tcBorders>
                  <w:noWrap w:val="0"/>
                  <w:vAlign w:val="center"/>
                </w:tcPr>
                <w:p w14:paraId="10B1BBBB">
                  <w:pPr>
                    <w:bidi w:val="0"/>
                    <w:jc w:val="center"/>
                    <w:rPr>
                      <w:rFonts w:hint="default"/>
                      <w:color w:val="auto"/>
                      <w:lang w:val="en-US" w:eastAsia="zh-CN"/>
                    </w:rPr>
                  </w:pPr>
                  <w:r>
                    <w:rPr>
                      <w:rFonts w:hint="eastAsia"/>
                      <w:color w:val="auto"/>
                      <w:lang w:val="en-US" w:eastAsia="zh-CN"/>
                    </w:rPr>
                    <w:t>0.5</w:t>
                  </w:r>
                </w:p>
              </w:tc>
              <w:tc>
                <w:tcPr>
                  <w:tcW w:w="1275" w:type="dxa"/>
                  <w:tcBorders>
                    <w:tl2br w:val="nil"/>
                    <w:tr2bl w:val="nil"/>
                  </w:tcBorders>
                  <w:noWrap w:val="0"/>
                  <w:vAlign w:val="center"/>
                </w:tcPr>
                <w:p w14:paraId="028225F0">
                  <w:pPr>
                    <w:bidi w:val="0"/>
                    <w:jc w:val="center"/>
                    <w:rPr>
                      <w:rFonts w:hint="default"/>
                      <w:color w:val="auto"/>
                      <w:lang w:val="en-US" w:eastAsia="zh-CN"/>
                    </w:rPr>
                  </w:pPr>
                  <w:r>
                    <w:rPr>
                      <w:rFonts w:hint="eastAsia"/>
                      <w:color w:val="auto"/>
                      <w:lang w:val="en-US" w:eastAsia="zh-CN"/>
                    </w:rPr>
                    <w:t>0.16~0.162</w:t>
                  </w:r>
                </w:p>
              </w:tc>
              <w:tc>
                <w:tcPr>
                  <w:tcW w:w="1125" w:type="dxa"/>
                  <w:tcBorders>
                    <w:tl2br w:val="nil"/>
                    <w:tr2bl w:val="nil"/>
                  </w:tcBorders>
                  <w:noWrap w:val="0"/>
                  <w:vAlign w:val="center"/>
                </w:tcPr>
                <w:p w14:paraId="74483987">
                  <w:pPr>
                    <w:bidi w:val="0"/>
                    <w:jc w:val="center"/>
                    <w:rPr>
                      <w:rFonts w:hint="default"/>
                      <w:color w:val="auto"/>
                      <w:lang w:val="en-US" w:eastAsia="zh-CN"/>
                    </w:rPr>
                  </w:pPr>
                  <w:r>
                    <w:rPr>
                      <w:rFonts w:hint="eastAsia"/>
                      <w:color w:val="auto"/>
                      <w:lang w:val="en-US" w:eastAsia="zh-CN"/>
                    </w:rPr>
                    <w:t>0.32</w:t>
                  </w:r>
                </w:p>
              </w:tc>
              <w:tc>
                <w:tcPr>
                  <w:tcW w:w="814" w:type="dxa"/>
                  <w:tcBorders>
                    <w:tl2br w:val="nil"/>
                    <w:tr2bl w:val="nil"/>
                  </w:tcBorders>
                  <w:noWrap w:val="0"/>
                  <w:vAlign w:val="center"/>
                </w:tcPr>
                <w:p w14:paraId="7F9A7E32">
                  <w:pPr>
                    <w:bidi w:val="0"/>
                    <w:jc w:val="center"/>
                    <w:rPr>
                      <w:rFonts w:hint="eastAsia"/>
                      <w:color w:val="auto"/>
                      <w:lang w:val="en-US" w:eastAsia="zh-CN"/>
                    </w:rPr>
                  </w:pPr>
                  <w:r>
                    <w:rPr>
                      <w:rFonts w:hint="eastAsia"/>
                      <w:color w:val="auto"/>
                      <w:lang w:val="en-US" w:eastAsia="zh-CN"/>
                    </w:rPr>
                    <w:t>达标</w:t>
                  </w:r>
                </w:p>
              </w:tc>
            </w:tr>
          </w:tbl>
          <w:p w14:paraId="07397B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由上表可知，奎屯河断面各监测指标均满足《地表水环境质量标准》（GB3838-2002）II类标准。</w:t>
            </w:r>
          </w:p>
          <w:p w14:paraId="5FA9C0FC">
            <w:pPr>
              <w:pStyle w:val="17"/>
              <w:spacing w:after="0" w:line="360" w:lineRule="auto"/>
              <w:ind w:left="0" w:leftChars="0"/>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kern w:val="0"/>
                <w:sz w:val="24"/>
                <w:szCs w:val="24"/>
                <w:highlight w:val="none"/>
                <w:lang w:val="en-US" w:eastAsia="zh-CN"/>
              </w:rPr>
              <w:t>3.3</w:t>
            </w:r>
            <w:r>
              <w:rPr>
                <w:rFonts w:hint="default" w:ascii="Times New Roman" w:hAnsi="Times New Roman" w:cs="Times New Roman"/>
                <w:b/>
                <w:bCs/>
                <w:color w:val="auto"/>
                <w:kern w:val="0"/>
                <w:sz w:val="24"/>
                <w:szCs w:val="24"/>
                <w:highlight w:val="none"/>
              </w:rPr>
              <w:t>地下水环境质量现状</w:t>
            </w:r>
          </w:p>
          <w:p w14:paraId="4BA8B1D7">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根据《建设项目环境影响报告表编制技术指南（污染影响类）（试行）》，本项目</w:t>
            </w:r>
            <w:r>
              <w:rPr>
                <w:rFonts w:hint="eastAsia" w:ascii="Times New Roman" w:hAnsi="Times New Roman" w:cs="Times New Roman"/>
                <w:color w:val="auto"/>
                <w:sz w:val="24"/>
                <w:lang w:val="en-US" w:eastAsia="zh-CN"/>
              </w:rPr>
              <w:t>正常情况下不存在地下水环境污染途径，</w:t>
            </w:r>
            <w:r>
              <w:rPr>
                <w:rFonts w:hint="default" w:ascii="Times New Roman" w:hAnsi="Times New Roman" w:cs="Times New Roman"/>
                <w:color w:val="auto"/>
                <w:sz w:val="24"/>
              </w:rPr>
              <w:t>不进行地下水环境质量监测。</w:t>
            </w:r>
          </w:p>
          <w:p w14:paraId="6B32CC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3.4声环境质量现状</w:t>
            </w:r>
          </w:p>
          <w:p w14:paraId="65D1EB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rPr>
              <w:t>本项目</w:t>
            </w:r>
            <w:r>
              <w:rPr>
                <w:rFonts w:hint="default" w:ascii="Times New Roman" w:hAnsi="Times New Roman" w:cs="Times New Roman"/>
                <w:color w:val="auto"/>
                <w:sz w:val="24"/>
                <w:lang w:eastAsia="zh-CN"/>
              </w:rPr>
              <w:t>区</w:t>
            </w:r>
            <w:r>
              <w:rPr>
                <w:rFonts w:hint="default" w:ascii="Times New Roman" w:hAnsi="Times New Roman" w:cs="Times New Roman"/>
                <w:color w:val="auto"/>
                <w:sz w:val="24"/>
              </w:rPr>
              <w:t>厂界外周边50m范围内无声环境保护目标，根据《建设项目环境影响报告表编制技术指南（污染影响类）（试行）》，本项目不进行声环境质量监测。</w:t>
            </w:r>
          </w:p>
          <w:p w14:paraId="637814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3.5土壤环境质量现状</w:t>
            </w:r>
          </w:p>
          <w:p w14:paraId="4B9AADC5">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根据《建设项目环境影响报告表编制技术指南（污染影响类）（试行）》，本项目</w:t>
            </w:r>
            <w:r>
              <w:rPr>
                <w:rFonts w:hint="eastAsia" w:ascii="Times New Roman" w:hAnsi="Times New Roman" w:cs="Times New Roman"/>
                <w:color w:val="auto"/>
                <w:sz w:val="24"/>
                <w:lang w:val="en-US" w:eastAsia="zh-CN"/>
              </w:rPr>
              <w:t>正常情况下不存在土壤环境污染途径，</w:t>
            </w:r>
            <w:r>
              <w:rPr>
                <w:rFonts w:hint="default" w:ascii="Times New Roman" w:hAnsi="Times New Roman" w:cs="Times New Roman"/>
                <w:color w:val="auto"/>
                <w:sz w:val="24"/>
              </w:rPr>
              <w:t>不进行土壤环境质量监测。</w:t>
            </w:r>
          </w:p>
          <w:p w14:paraId="2D5336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3.6生态环境质量现状</w:t>
            </w:r>
          </w:p>
          <w:p w14:paraId="67463B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根据《建设项目环境影响报告表编制技术指南（污染影响类）（试行）》，产业园区外建设项目新增用地且用地范围内含有生态环境保护目标时，应进行生态现状调查。根据《环境影响评价技术导则 生态影响》（HJ19-2022）中3.4生态保护目标是指受影响的重要物种、生态敏感区以及其他需要保护的物种、种群、生物群落及生态空间等。本项目管控单元分类属于乌苏市天山水源涵养与生物多样性维护生态保护红线区，故项目根据《建设项目环境影响报告表编制技术指南（生态影响类）（试行）》进行生态环境质量现状调查。</w:t>
            </w:r>
          </w:p>
          <w:p w14:paraId="63B361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w:t>
            </w:r>
            <w:r>
              <w:rPr>
                <w:rFonts w:hint="default" w:ascii="Times New Roman" w:hAnsi="Times New Roman" w:eastAsia="宋体" w:cs="Times New Roman"/>
                <w:color w:val="auto"/>
                <w:kern w:val="0"/>
                <w:sz w:val="24"/>
                <w:szCs w:val="24"/>
                <w:lang w:val="en-US" w:eastAsia="zh-CN"/>
              </w:rPr>
              <w:t>主体功能区划</w:t>
            </w:r>
          </w:p>
          <w:p w14:paraId="15C214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rPr>
              <w:t>天山北坡地区</w:t>
            </w:r>
            <w:r>
              <w:rPr>
                <w:rFonts w:hint="eastAsia"/>
                <w:color w:val="auto"/>
                <w:sz w:val="24"/>
                <w:szCs w:val="32"/>
                <w:vertAlign w:val="superscript"/>
              </w:rPr>
              <w:t>①</w:t>
            </w:r>
            <w:r>
              <w:rPr>
                <w:rFonts w:hint="eastAsia"/>
                <w:color w:val="auto"/>
                <w:sz w:val="24"/>
                <w:szCs w:val="32"/>
              </w:rPr>
              <w:t>是《全国主体功能区规划》确定的国家层面重点开发区域。该区域位于全国“两横三纵”城市化战略格局中陆桥通道的西端，涉及23个县市，自东向西依次为哈密市的城区、吐鲁番市的城区、鄯善县的鄯善镇、托克逊县的托克逊镇、奇台县的奇台镇、吉木萨尔县的吉木萨尔镇、阜康市、乌鲁木齐市、五家渠市、昌吉市、呼图壁县的呼图壁镇、玛纳斯县的玛纳斯镇、石河子市、沙湾县的三道河子镇、奎屯市、克拉玛依市、乌苏市、精河县的精河镇、博乐市、伊宁市、伊宁县的吉里于孜镇、察布查尔县的察布查尔镇、霍城县的水定镇与霍尔果斯经济开发区。</w:t>
            </w:r>
          </w:p>
          <w:p w14:paraId="700236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rPr>
              <w:t>该区域的功能定位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p>
          <w:p w14:paraId="6B170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rPr>
              <w:t>——构建以乌鲁木齐—昌吉为中心，以石河子—玛纳斯—沙湾、克拉玛依—奎屯—乌苏、博乐—阿拉山口—精河、伊宁—霍尔果斯为重点的空间开发格局。</w:t>
            </w:r>
          </w:p>
          <w:p w14:paraId="15A9C4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rPr>
              <w:t>——推进乌昌一体化建设，提升贸易枢纽功能和制造业功能，建设西北地区重要的国际商贸中心、制造业中心、出口商品加工基地，将乌昌地区打造为天北地区新型城镇化和新型工业化的核心载体。发展壮大石河子、克拉玛依、奎屯、博乐、伊宁、五家渠、阜康、吐鲁番、哈密等节点城市。</w:t>
            </w:r>
          </w:p>
          <w:p w14:paraId="70EBA6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lang w:eastAsia="zh-CN"/>
              </w:rPr>
              <w:t>——</w:t>
            </w:r>
            <w:r>
              <w:rPr>
                <w:rFonts w:hint="eastAsia"/>
                <w:color w:val="auto"/>
                <w:sz w:val="24"/>
                <w:szCs w:val="32"/>
                <w:lang w:val="en-US" w:eastAsia="zh-CN"/>
              </w:rPr>
              <w:t>强化向西对外开放大通道功能，扩大交通通道综合能力。依据天山北坡地区城市群发展形态，因地制宜规</w:t>
            </w:r>
            <w:r>
              <w:rPr>
                <w:rFonts w:hint="eastAsia"/>
                <w:color w:val="auto"/>
                <w:sz w:val="24"/>
                <w:szCs w:val="32"/>
              </w:rPr>
              <w:t>划与之相应的综合交通网络布局。</w:t>
            </w:r>
          </w:p>
          <w:p w14:paraId="409EA8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rPr>
              <w:t>——发展高效节水农业和设施农业，培育特色农牧产业，发展集约化、标准化高效养殖，推进农业发展方式转变。</w:t>
            </w:r>
          </w:p>
          <w:p w14:paraId="09F578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rPr>
              <w:t>——保护天山北坡山地水源涵养区，建设艾比湖流域防治沙尘与湿地保护功能区、克拉玛依—玛纳斯湖—艾里克湖沙漠西部防护区、玛纳斯—木垒沙漠东南部防护区以及供水沿线等“三区一线”生态防护体系。</w:t>
            </w:r>
          </w:p>
          <w:p w14:paraId="0F3B2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本项目属于G3033高速公路配套建设的辅助工程，是促进边疆国土资源开发的交通载体，是畅通南北疆便捷交流的运输通道，是稳疆固边的重要交通基础设施，随着G3033高速公路的建成，本项目也随即拆除，符合功能区定位。</w:t>
            </w:r>
          </w:p>
          <w:p w14:paraId="2A303F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（2）生态功能区划</w:t>
            </w:r>
          </w:p>
          <w:p w14:paraId="45EF7E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sz w:val="24"/>
                <w:szCs w:val="28"/>
                <w:lang w:val="en-US" w:eastAsia="zh-CN"/>
              </w:rPr>
            </w:pPr>
            <w:r>
              <w:rPr>
                <w:rFonts w:hint="default" w:ascii="Times New Roman" w:hAnsi="Times New Roman" w:cs="Times New Roman"/>
                <w:color w:val="auto"/>
                <w:sz w:val="24"/>
              </w:rPr>
              <w:t>根据《新疆生态功能区划》，</w:t>
            </w:r>
            <w:r>
              <w:rPr>
                <w:rFonts w:hint="eastAsia" w:cs="Times New Roman"/>
                <w:color w:val="auto"/>
                <w:sz w:val="24"/>
                <w:lang w:val="en-US" w:eastAsia="zh-CN"/>
              </w:rPr>
              <w:t>本项目</w:t>
            </w:r>
            <w:r>
              <w:rPr>
                <w:rFonts w:hint="eastAsia" w:ascii="Times New Roman" w:hAnsi="Times New Roman" w:cs="Times New Roman"/>
                <w:color w:val="auto"/>
                <w:sz w:val="24"/>
                <w:lang w:val="en-US" w:eastAsia="zh-CN"/>
              </w:rPr>
              <w:t>属于</w:t>
            </w:r>
            <w:r>
              <w:rPr>
                <w:rFonts w:hint="eastAsia" w:ascii="Times New Roman" w:hAnsi="Times New Roman" w:eastAsia="宋体" w:cs="Times New Roman"/>
                <w:color w:val="auto"/>
                <w:sz w:val="24"/>
                <w:szCs w:val="24"/>
                <w:lang w:val="en-US" w:eastAsia="zh-CN"/>
              </w:rPr>
              <w:t>III天山山地温性草原、森林</w:t>
            </w:r>
            <w:r>
              <w:rPr>
                <w:rFonts w:hint="default" w:ascii="Times New Roman" w:hAnsi="Times New Roman" w:eastAsia="宋体" w:cs="Times New Roman"/>
                <w:color w:val="auto"/>
                <w:sz w:val="24"/>
                <w:szCs w:val="24"/>
              </w:rPr>
              <w:t>生态区—</w:t>
            </w:r>
            <w:r>
              <w:rPr>
                <w:rFonts w:hint="eastAsia" w:ascii="Times New Roman" w:hAnsi="Times New Roman" w:eastAsia="宋体" w:cs="Times New Roman"/>
                <w:color w:val="auto"/>
                <w:sz w:val="24"/>
                <w:szCs w:val="24"/>
                <w:lang w:val="en-US" w:eastAsia="zh-CN"/>
              </w:rPr>
              <w:t>III</w:t>
            </w:r>
            <w:r>
              <w:rPr>
                <w:rFonts w:hint="eastAsia" w:cs="Times New Roman"/>
                <w:color w:val="auto"/>
                <w:sz w:val="24"/>
                <w:szCs w:val="24"/>
                <w:vertAlign w:val="subscript"/>
                <w:lang w:val="en-US" w:eastAsia="zh-CN"/>
              </w:rPr>
              <w:t>1</w:t>
            </w:r>
            <w:r>
              <w:rPr>
                <w:rFonts w:hint="eastAsia" w:ascii="Times New Roman" w:hAnsi="Times New Roman" w:eastAsia="宋体" w:cs="Times New Roman"/>
                <w:color w:val="auto"/>
                <w:sz w:val="24"/>
                <w:szCs w:val="24"/>
                <w:lang w:val="en-US" w:eastAsia="zh-CN"/>
              </w:rPr>
              <w:t>天山北坡针叶林、草甸水源涵养及草原牧业</w:t>
            </w:r>
            <w:r>
              <w:rPr>
                <w:rFonts w:hint="default" w:ascii="Times New Roman" w:hAnsi="Times New Roman" w:eastAsia="宋体" w:cs="Times New Roman"/>
                <w:color w:val="auto"/>
                <w:sz w:val="24"/>
                <w:szCs w:val="24"/>
              </w:rPr>
              <w:t>生态亚区—</w:t>
            </w:r>
            <w:r>
              <w:rPr>
                <w:rFonts w:hint="eastAsia" w:ascii="Times New Roman" w:hAnsi="Times New Roman" w:eastAsia="宋体" w:cs="Times New Roman"/>
                <w:color w:val="auto"/>
                <w:sz w:val="24"/>
                <w:szCs w:val="24"/>
                <w:lang w:val="en-US" w:eastAsia="zh-CN"/>
              </w:rPr>
              <w:t>30天山北坡中段中高山森林、草甸水源涵养及草原牧业</w:t>
            </w:r>
            <w:r>
              <w:rPr>
                <w:rFonts w:hint="default" w:ascii="Times New Roman" w:hAnsi="Times New Roman" w:eastAsia="宋体" w:cs="Times New Roman"/>
                <w:color w:val="auto"/>
                <w:sz w:val="24"/>
                <w:szCs w:val="24"/>
              </w:rPr>
              <w:t>生态功能区</w:t>
            </w:r>
            <w:r>
              <w:rPr>
                <w:rFonts w:hint="eastAsia" w:ascii="Times New Roman" w:hAnsi="Times New Roman" w:eastAsia="宋体" w:cs="Times New Roman"/>
                <w:color w:val="auto"/>
                <w:sz w:val="24"/>
                <w:szCs w:val="24"/>
                <w:lang w:eastAsia="zh-CN"/>
              </w:rPr>
              <w:t>。</w:t>
            </w:r>
            <w:r>
              <w:rPr>
                <w:rFonts w:hint="eastAsia"/>
                <w:color w:val="auto"/>
                <w:sz w:val="24"/>
                <w:szCs w:val="28"/>
                <w:lang w:val="en-US" w:eastAsia="zh-CN"/>
              </w:rPr>
              <w:t>生态功能区划情况见表3-6。</w:t>
            </w:r>
          </w:p>
          <w:p w14:paraId="2408EF2F">
            <w:pPr>
              <w:bidi w:val="0"/>
              <w:jc w:val="center"/>
              <w:rPr>
                <w:rFonts w:hint="default"/>
                <w:b/>
                <w:bCs/>
                <w:color w:val="auto"/>
                <w:lang w:val="en-US" w:eastAsia="zh-CN"/>
              </w:rPr>
            </w:pPr>
            <w:r>
              <w:rPr>
                <w:rFonts w:hint="eastAsia"/>
                <w:b/>
                <w:bCs/>
                <w:color w:val="auto"/>
                <w:lang w:val="en-US" w:eastAsia="zh-CN"/>
              </w:rPr>
              <w:t>表3-6  生态功能区划一览表</w:t>
            </w:r>
          </w:p>
          <w:tbl>
            <w:tblPr>
              <w:tblStyle w:val="28"/>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903"/>
              <w:gridCol w:w="1316"/>
              <w:gridCol w:w="5755"/>
            </w:tblGrid>
            <w:tr w14:paraId="673906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962" w:type="dxa"/>
                  <w:vMerge w:val="restart"/>
                  <w:noWrap w:val="0"/>
                  <w:vAlign w:val="center"/>
                </w:tcPr>
                <w:p w14:paraId="1C9DCB94">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生态功能分区单元</w:t>
                  </w:r>
                </w:p>
              </w:tc>
              <w:tc>
                <w:tcPr>
                  <w:tcW w:w="1404" w:type="dxa"/>
                  <w:noWrap w:val="0"/>
                  <w:vAlign w:val="center"/>
                </w:tcPr>
                <w:p w14:paraId="14965B71">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生态区</w:t>
                  </w:r>
                </w:p>
              </w:tc>
              <w:tc>
                <w:tcPr>
                  <w:tcW w:w="6156" w:type="dxa"/>
                  <w:noWrap w:val="0"/>
                  <w:vAlign w:val="center"/>
                </w:tcPr>
                <w:p w14:paraId="0CFD7054">
                  <w:pPr>
                    <w:pStyle w:val="48"/>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天山山地温性草原、森林</w:t>
                  </w:r>
                  <w:r>
                    <w:rPr>
                      <w:rFonts w:hint="default" w:ascii="Times New Roman" w:hAnsi="Times New Roman" w:eastAsia="宋体" w:cs="Times New Roman"/>
                      <w:color w:val="auto"/>
                      <w:sz w:val="21"/>
                      <w:szCs w:val="21"/>
                    </w:rPr>
                    <w:t>生态区（</w:t>
                  </w:r>
                  <w:r>
                    <w:rPr>
                      <w:rFonts w:hint="eastAsia" w:ascii="Times New Roman" w:hAnsi="Times New Roman" w:eastAsia="宋体" w:cs="Times New Roman"/>
                      <w:color w:val="auto"/>
                      <w:sz w:val="21"/>
                      <w:szCs w:val="21"/>
                      <w:lang w:val="en-US" w:eastAsia="zh-CN"/>
                    </w:rPr>
                    <w:t>III</w:t>
                  </w:r>
                  <w:r>
                    <w:rPr>
                      <w:rFonts w:hint="default" w:ascii="Times New Roman" w:hAnsi="Times New Roman" w:eastAsia="宋体" w:cs="Times New Roman"/>
                      <w:color w:val="auto"/>
                      <w:sz w:val="21"/>
                      <w:szCs w:val="21"/>
                    </w:rPr>
                    <w:t>）</w:t>
                  </w:r>
                </w:p>
              </w:tc>
            </w:tr>
            <w:tr w14:paraId="715FE9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962" w:type="dxa"/>
                  <w:vMerge w:val="continue"/>
                  <w:noWrap w:val="0"/>
                  <w:vAlign w:val="center"/>
                </w:tcPr>
                <w:p w14:paraId="16D6987E">
                  <w:pPr>
                    <w:pStyle w:val="48"/>
                    <w:rPr>
                      <w:rFonts w:hint="default" w:ascii="Times New Roman" w:hAnsi="Times New Roman" w:eastAsia="宋体" w:cs="Times New Roman"/>
                      <w:color w:val="auto"/>
                      <w:sz w:val="21"/>
                      <w:szCs w:val="21"/>
                    </w:rPr>
                  </w:pPr>
                </w:p>
              </w:tc>
              <w:tc>
                <w:tcPr>
                  <w:tcW w:w="1404" w:type="dxa"/>
                  <w:noWrap w:val="0"/>
                  <w:vAlign w:val="center"/>
                </w:tcPr>
                <w:p w14:paraId="0E506B45">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生态亚区</w:t>
                  </w:r>
                </w:p>
              </w:tc>
              <w:tc>
                <w:tcPr>
                  <w:tcW w:w="6156" w:type="dxa"/>
                  <w:noWrap w:val="0"/>
                  <w:vAlign w:val="center"/>
                </w:tcPr>
                <w:p w14:paraId="4F4DD9CF">
                  <w:pPr>
                    <w:pStyle w:val="48"/>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天山北坡针叶林、草甸水源涵养及草原牧业</w:t>
                  </w:r>
                  <w:r>
                    <w:rPr>
                      <w:rFonts w:hint="default" w:ascii="Times New Roman" w:hAnsi="Times New Roman" w:eastAsia="宋体" w:cs="Times New Roman"/>
                      <w:color w:val="auto"/>
                      <w:sz w:val="21"/>
                      <w:szCs w:val="21"/>
                    </w:rPr>
                    <w:t>生态亚区（</w:t>
                  </w:r>
                  <w:r>
                    <w:rPr>
                      <w:rFonts w:hint="eastAsia" w:ascii="Times New Roman" w:hAnsi="Times New Roman" w:eastAsia="宋体" w:cs="Times New Roman"/>
                      <w:color w:val="auto"/>
                      <w:sz w:val="21"/>
                      <w:szCs w:val="21"/>
                      <w:lang w:val="en-US" w:eastAsia="zh-CN"/>
                    </w:rPr>
                    <w:t>III</w:t>
                  </w:r>
                  <w:r>
                    <w:rPr>
                      <w:rFonts w:hint="eastAsia" w:ascii="Times New Roman" w:hAnsi="Times New Roman" w:eastAsia="宋体" w:cs="Times New Roman"/>
                      <w:color w:val="auto"/>
                      <w:sz w:val="21"/>
                      <w:szCs w:val="21"/>
                      <w:vertAlign w:val="subscript"/>
                      <w:lang w:val="en-US" w:eastAsia="zh-CN"/>
                    </w:rPr>
                    <w:t>1</w:t>
                  </w:r>
                  <w:r>
                    <w:rPr>
                      <w:rFonts w:hint="default" w:ascii="Times New Roman" w:hAnsi="Times New Roman" w:eastAsia="宋体" w:cs="Times New Roman"/>
                      <w:color w:val="auto"/>
                      <w:sz w:val="21"/>
                      <w:szCs w:val="21"/>
                    </w:rPr>
                    <w:t>）</w:t>
                  </w:r>
                </w:p>
              </w:tc>
            </w:tr>
            <w:tr w14:paraId="3FE924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1" w:hRule="atLeast"/>
              </w:trPr>
              <w:tc>
                <w:tcPr>
                  <w:tcW w:w="962" w:type="dxa"/>
                  <w:vMerge w:val="continue"/>
                  <w:noWrap w:val="0"/>
                  <w:vAlign w:val="center"/>
                </w:tcPr>
                <w:p w14:paraId="66543080">
                  <w:pPr>
                    <w:pStyle w:val="48"/>
                    <w:rPr>
                      <w:rFonts w:hint="default" w:ascii="Times New Roman" w:hAnsi="Times New Roman" w:eastAsia="宋体" w:cs="Times New Roman"/>
                      <w:color w:val="auto"/>
                      <w:sz w:val="21"/>
                      <w:szCs w:val="21"/>
                    </w:rPr>
                  </w:pPr>
                </w:p>
              </w:tc>
              <w:tc>
                <w:tcPr>
                  <w:tcW w:w="1404" w:type="dxa"/>
                  <w:noWrap w:val="0"/>
                  <w:vAlign w:val="center"/>
                </w:tcPr>
                <w:p w14:paraId="1A8085A7">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生态功能区</w:t>
                  </w:r>
                </w:p>
              </w:tc>
              <w:tc>
                <w:tcPr>
                  <w:tcW w:w="6156" w:type="dxa"/>
                  <w:noWrap w:val="0"/>
                  <w:vAlign w:val="center"/>
                </w:tcPr>
                <w:p w14:paraId="121F0AC6">
                  <w:pPr>
                    <w:pStyle w:val="48"/>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天山北坡中段中高山森林、草甸水源涵养及草原牧业</w:t>
                  </w:r>
                  <w:r>
                    <w:rPr>
                      <w:rFonts w:hint="default" w:ascii="Times New Roman" w:hAnsi="Times New Roman" w:eastAsia="宋体" w:cs="Times New Roman"/>
                      <w:color w:val="auto"/>
                      <w:sz w:val="21"/>
                      <w:szCs w:val="21"/>
                    </w:rPr>
                    <w:t>生态功能区</w:t>
                  </w:r>
                  <w:r>
                    <w:rPr>
                      <w:rFonts w:hint="default"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30</w:t>
                  </w:r>
                  <w:r>
                    <w:rPr>
                      <w:rFonts w:hint="default" w:ascii="Times New Roman" w:hAnsi="Times New Roman" w:eastAsia="宋体" w:cs="Times New Roman"/>
                      <w:color w:val="auto"/>
                      <w:sz w:val="21"/>
                      <w:szCs w:val="21"/>
                      <w:lang w:eastAsia="zh-CN"/>
                    </w:rPr>
                    <w:t>）</w:t>
                  </w:r>
                </w:p>
              </w:tc>
            </w:tr>
            <w:tr w14:paraId="2736CC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5D72A964">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隶属行政区</w:t>
                  </w:r>
                </w:p>
              </w:tc>
              <w:tc>
                <w:tcPr>
                  <w:tcW w:w="6156" w:type="dxa"/>
                  <w:noWrap w:val="0"/>
                  <w:vAlign w:val="center"/>
                </w:tcPr>
                <w:p w14:paraId="00197561">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乌苏市</w:t>
                  </w:r>
                </w:p>
              </w:tc>
            </w:tr>
            <w:tr w14:paraId="5B3457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49E2077E">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主要生态服务功能</w:t>
                  </w:r>
                </w:p>
              </w:tc>
              <w:tc>
                <w:tcPr>
                  <w:tcW w:w="6156" w:type="dxa"/>
                  <w:noWrap w:val="0"/>
                  <w:vAlign w:val="center"/>
                </w:tcPr>
                <w:p w14:paraId="0F172EC8">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水源涵养、土壤保持、林畜产品生产、生物多样性维护</w:t>
                  </w:r>
                </w:p>
              </w:tc>
            </w:tr>
            <w:tr w14:paraId="776021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41598215">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主要生态环境问题</w:t>
                  </w:r>
                </w:p>
              </w:tc>
              <w:tc>
                <w:tcPr>
                  <w:tcW w:w="6156" w:type="dxa"/>
                  <w:noWrap w:val="0"/>
                  <w:vAlign w:val="center"/>
                </w:tcPr>
                <w:p w14:paraId="5E1B66CF">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森林过渡采伐、水土流失、旅游造成环境污染与破坏、草地退化</w:t>
                  </w:r>
                </w:p>
              </w:tc>
            </w:tr>
            <w:tr w14:paraId="355063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6B19CF36">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生态敏感因子敏感程度</w:t>
                  </w:r>
                </w:p>
              </w:tc>
              <w:tc>
                <w:tcPr>
                  <w:tcW w:w="6156" w:type="dxa"/>
                  <w:noWrap w:val="0"/>
                  <w:vAlign w:val="center"/>
                </w:tcPr>
                <w:p w14:paraId="5745F13C">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生物多样性及其生境极度敏感，土壤侵蚀轻度敏感</w:t>
                  </w:r>
                </w:p>
              </w:tc>
            </w:tr>
            <w:tr w14:paraId="43FA7D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353A98AE">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保护目标</w:t>
                  </w:r>
                </w:p>
              </w:tc>
              <w:tc>
                <w:tcPr>
                  <w:tcW w:w="6156" w:type="dxa"/>
                  <w:noWrap w:val="0"/>
                  <w:vAlign w:val="center"/>
                </w:tcPr>
                <w:p w14:paraId="62D280B1">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保护森林与草地、保护水源</w:t>
                  </w:r>
                </w:p>
              </w:tc>
            </w:tr>
            <w:tr w14:paraId="0F5886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03523D90">
                  <w:pPr>
                    <w:pStyle w:val="48"/>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保护措施</w:t>
                  </w:r>
                </w:p>
              </w:tc>
              <w:tc>
                <w:tcPr>
                  <w:tcW w:w="6156" w:type="dxa"/>
                  <w:noWrap w:val="0"/>
                  <w:vAlign w:val="center"/>
                </w:tcPr>
                <w:p w14:paraId="643EDDD7">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禁止采伐天然林、有计划地实施封山育林、减牧或休牧、规范生态旅游</w:t>
                  </w:r>
                </w:p>
              </w:tc>
            </w:tr>
            <w:tr w14:paraId="48832C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2366" w:type="dxa"/>
                  <w:gridSpan w:val="2"/>
                  <w:noWrap w:val="0"/>
                  <w:vAlign w:val="center"/>
                </w:tcPr>
                <w:p w14:paraId="0EC38D12">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适宜发展方向</w:t>
                  </w:r>
                </w:p>
              </w:tc>
              <w:tc>
                <w:tcPr>
                  <w:tcW w:w="6156" w:type="dxa"/>
                  <w:noWrap w:val="0"/>
                  <w:vAlign w:val="center"/>
                </w:tcPr>
                <w:p w14:paraId="23C926C2">
                  <w:pPr>
                    <w:pStyle w:val="48"/>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维护森林草原生态系统的自然平衡与永续利用</w:t>
                  </w:r>
                </w:p>
              </w:tc>
            </w:tr>
          </w:tbl>
          <w:p w14:paraId="629947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r>
              <w:rPr>
                <w:rFonts w:hint="eastAsia"/>
                <w:color w:val="auto"/>
                <w:sz w:val="24"/>
                <w:szCs w:val="32"/>
                <w:lang w:val="en-US" w:eastAsia="zh-CN"/>
              </w:rPr>
              <w:t>从上表可知，项目区主要生态服务功能为</w:t>
            </w:r>
            <w:r>
              <w:rPr>
                <w:rFonts w:hint="eastAsia"/>
                <w:color w:val="auto"/>
                <w:sz w:val="24"/>
                <w:szCs w:val="24"/>
                <w:lang w:val="en-US" w:eastAsia="zh-CN"/>
              </w:rPr>
              <w:t>“</w:t>
            </w:r>
            <w:r>
              <w:rPr>
                <w:rFonts w:hint="eastAsia" w:ascii="Times New Roman" w:hAnsi="Times New Roman" w:eastAsia="宋体" w:cs="Times New Roman"/>
                <w:color w:val="auto"/>
                <w:sz w:val="24"/>
                <w:szCs w:val="24"/>
                <w:lang w:val="en-US" w:eastAsia="zh-CN"/>
              </w:rPr>
              <w:t>水源涵养、土壤保持、林畜产品生产、生物多样性维护</w:t>
            </w:r>
            <w:r>
              <w:rPr>
                <w:rFonts w:hint="eastAsia"/>
                <w:color w:val="auto"/>
                <w:sz w:val="24"/>
                <w:szCs w:val="24"/>
                <w:lang w:val="en-US" w:eastAsia="zh-CN"/>
              </w:rPr>
              <w:t>。”本</w:t>
            </w:r>
            <w:r>
              <w:rPr>
                <w:rFonts w:hint="eastAsia"/>
                <w:color w:val="auto"/>
                <w:sz w:val="24"/>
                <w:szCs w:val="32"/>
                <w:lang w:val="en-US" w:eastAsia="zh-CN"/>
              </w:rPr>
              <w:t>项目占地面积小，均为临时占地，施工具有临时性、短暂性特点，通过控制占地范围和严格施工期环境管理、做好生态保护工作，在项目建设的过程中大力保护地表植被，减少水土流失；工程结束后及时对占地进行恢复，不会对占地区域土壤、动植物产生明显影响，符合区域生态服务功能定位。</w:t>
            </w:r>
          </w:p>
          <w:p w14:paraId="7FD4D6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（3）植被现状</w:t>
            </w:r>
          </w:p>
          <w:p w14:paraId="33B7FB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0"/>
                <w:sz w:val="24"/>
                <w:szCs w:val="24"/>
                <w:lang w:val="en-US"/>
              </w:rPr>
            </w:pPr>
            <w:r>
              <w:rPr>
                <w:rFonts w:hint="eastAsia" w:ascii="Times New Roman" w:hAnsi="Times New Roman" w:eastAsia="宋体" w:cs="Times New Roman"/>
                <w:color w:val="auto"/>
                <w:kern w:val="0"/>
                <w:sz w:val="24"/>
                <w:szCs w:val="24"/>
                <w:lang w:val="en-US" w:eastAsia="zh-CN" w:bidi="ar"/>
              </w:rPr>
              <w:t>根据现场调查及查阅相关资料，项目区占地类型为草地，主要植被种类见表3-7。</w:t>
            </w:r>
          </w:p>
          <w:p w14:paraId="6B7749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 w:val="21"/>
                <w:szCs w:val="21"/>
                <w:lang w:val="en-US" w:eastAsia="zh-CN"/>
              </w:rPr>
            </w:pPr>
            <w:r>
              <w:rPr>
                <w:rFonts w:hint="eastAsia" w:ascii="Times New Roman" w:hAnsi="Times New Roman" w:cs="Times New Roman"/>
                <w:b/>
                <w:bCs/>
                <w:color w:val="auto"/>
                <w:kern w:val="0"/>
                <w:sz w:val="21"/>
                <w:szCs w:val="21"/>
                <w:lang w:val="en-US" w:eastAsia="zh-CN"/>
              </w:rPr>
              <w:t>表3-7  评价区主要植被一览表</w:t>
            </w:r>
          </w:p>
          <w:tbl>
            <w:tblPr>
              <w:tblStyle w:val="29"/>
              <w:tblW w:w="8037"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20"/>
              <w:gridCol w:w="1200"/>
              <w:gridCol w:w="1365"/>
              <w:gridCol w:w="2997"/>
            </w:tblGrid>
            <w:tr w14:paraId="77200B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7ECC6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序号</w:t>
                  </w:r>
                </w:p>
              </w:tc>
              <w:tc>
                <w:tcPr>
                  <w:tcW w:w="1620" w:type="dxa"/>
                  <w:tcBorders>
                    <w:tl2br w:val="nil"/>
                    <w:tr2bl w:val="nil"/>
                  </w:tcBorders>
                  <w:noWrap w:val="0"/>
                  <w:vAlign w:val="center"/>
                </w:tcPr>
                <w:p w14:paraId="3A0709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物种名</w:t>
                  </w:r>
                </w:p>
              </w:tc>
              <w:tc>
                <w:tcPr>
                  <w:tcW w:w="1200" w:type="dxa"/>
                  <w:tcBorders>
                    <w:tl2br w:val="nil"/>
                    <w:tr2bl w:val="nil"/>
                  </w:tcBorders>
                  <w:noWrap w:val="0"/>
                  <w:vAlign w:val="center"/>
                </w:tcPr>
                <w:p w14:paraId="0EEA0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科名</w:t>
                  </w:r>
                </w:p>
              </w:tc>
              <w:tc>
                <w:tcPr>
                  <w:tcW w:w="1365" w:type="dxa"/>
                  <w:tcBorders>
                    <w:tl2br w:val="nil"/>
                    <w:tr2bl w:val="nil"/>
                  </w:tcBorders>
                  <w:noWrap w:val="0"/>
                  <w:vAlign w:val="center"/>
                </w:tcPr>
                <w:p w14:paraId="29DD3F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属名</w:t>
                  </w:r>
                </w:p>
              </w:tc>
              <w:tc>
                <w:tcPr>
                  <w:tcW w:w="2997" w:type="dxa"/>
                  <w:tcBorders>
                    <w:tl2br w:val="nil"/>
                    <w:tr2bl w:val="nil"/>
                  </w:tcBorders>
                  <w:noWrap w:val="0"/>
                  <w:vAlign w:val="center"/>
                </w:tcPr>
                <w:p w14:paraId="524861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学名</w:t>
                  </w:r>
                </w:p>
              </w:tc>
            </w:tr>
            <w:tr w14:paraId="39BF6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09F7D1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1</w:t>
                  </w:r>
                </w:p>
              </w:tc>
              <w:tc>
                <w:tcPr>
                  <w:tcW w:w="1620" w:type="dxa"/>
                  <w:tcBorders>
                    <w:tl2br w:val="nil"/>
                    <w:tr2bl w:val="nil"/>
                  </w:tcBorders>
                  <w:noWrap w:val="0"/>
                  <w:vAlign w:val="center"/>
                </w:tcPr>
                <w:p w14:paraId="3FF15B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羽衣草</w:t>
                  </w:r>
                </w:p>
              </w:tc>
              <w:tc>
                <w:tcPr>
                  <w:tcW w:w="1200" w:type="dxa"/>
                  <w:tcBorders>
                    <w:tl2br w:val="nil"/>
                    <w:tr2bl w:val="nil"/>
                  </w:tcBorders>
                  <w:noWrap w:val="0"/>
                  <w:vAlign w:val="center"/>
                </w:tcPr>
                <w:p w14:paraId="20DDD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蔷薇科</w:t>
                  </w:r>
                </w:p>
              </w:tc>
              <w:tc>
                <w:tcPr>
                  <w:tcW w:w="1365" w:type="dxa"/>
                  <w:tcBorders>
                    <w:tl2br w:val="nil"/>
                    <w:tr2bl w:val="nil"/>
                  </w:tcBorders>
                  <w:noWrap w:val="0"/>
                  <w:vAlign w:val="center"/>
                </w:tcPr>
                <w:p w14:paraId="5457B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羽衣草属</w:t>
                  </w:r>
                </w:p>
              </w:tc>
              <w:tc>
                <w:tcPr>
                  <w:tcW w:w="2997" w:type="dxa"/>
                  <w:tcBorders>
                    <w:tl2br w:val="nil"/>
                    <w:tr2bl w:val="nil"/>
                  </w:tcBorders>
                  <w:noWrap w:val="0"/>
                  <w:vAlign w:val="center"/>
                </w:tcPr>
                <w:p w14:paraId="5F63D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Alchemilla japonica</w:t>
                  </w:r>
                </w:p>
              </w:tc>
            </w:tr>
            <w:tr w14:paraId="7F138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3ACA75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2</w:t>
                  </w:r>
                </w:p>
              </w:tc>
              <w:tc>
                <w:tcPr>
                  <w:tcW w:w="1620" w:type="dxa"/>
                  <w:tcBorders>
                    <w:tl2br w:val="nil"/>
                    <w:tr2bl w:val="nil"/>
                  </w:tcBorders>
                  <w:noWrap w:val="0"/>
                  <w:vAlign w:val="center"/>
                </w:tcPr>
                <w:p w14:paraId="5C431A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线叶蒿</w:t>
                  </w:r>
                </w:p>
              </w:tc>
              <w:tc>
                <w:tcPr>
                  <w:tcW w:w="1200" w:type="dxa"/>
                  <w:tcBorders>
                    <w:tl2br w:val="nil"/>
                    <w:tr2bl w:val="nil"/>
                  </w:tcBorders>
                  <w:noWrap w:val="0"/>
                  <w:vAlign w:val="center"/>
                </w:tcPr>
                <w:p w14:paraId="7D70FB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菊科</w:t>
                  </w:r>
                </w:p>
              </w:tc>
              <w:tc>
                <w:tcPr>
                  <w:tcW w:w="1365" w:type="dxa"/>
                  <w:tcBorders>
                    <w:tl2br w:val="nil"/>
                    <w:tr2bl w:val="nil"/>
                  </w:tcBorders>
                  <w:noWrap w:val="0"/>
                  <w:vAlign w:val="center"/>
                </w:tcPr>
                <w:p w14:paraId="2791FE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蒿属</w:t>
                  </w:r>
                </w:p>
              </w:tc>
              <w:tc>
                <w:tcPr>
                  <w:tcW w:w="2997" w:type="dxa"/>
                  <w:tcBorders>
                    <w:tl2br w:val="nil"/>
                    <w:tr2bl w:val="nil"/>
                  </w:tcBorders>
                  <w:noWrap w:val="0"/>
                  <w:vAlign w:val="center"/>
                </w:tcPr>
                <w:p w14:paraId="10727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Artemisia subulata</w:t>
                  </w:r>
                </w:p>
              </w:tc>
            </w:tr>
            <w:tr w14:paraId="4527C4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17CB2D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3</w:t>
                  </w:r>
                </w:p>
              </w:tc>
              <w:tc>
                <w:tcPr>
                  <w:tcW w:w="1620" w:type="dxa"/>
                  <w:tcBorders>
                    <w:tl2br w:val="nil"/>
                    <w:tr2bl w:val="nil"/>
                  </w:tcBorders>
                  <w:noWrap w:val="0"/>
                  <w:vAlign w:val="center"/>
                </w:tcPr>
                <w:p w14:paraId="36F34C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高山紫菀</w:t>
                  </w:r>
                </w:p>
              </w:tc>
              <w:tc>
                <w:tcPr>
                  <w:tcW w:w="1200" w:type="dxa"/>
                  <w:tcBorders>
                    <w:tl2br w:val="nil"/>
                    <w:tr2bl w:val="nil"/>
                  </w:tcBorders>
                  <w:noWrap w:val="0"/>
                  <w:vAlign w:val="center"/>
                </w:tcPr>
                <w:p w14:paraId="5038F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菊科</w:t>
                  </w:r>
                </w:p>
              </w:tc>
              <w:tc>
                <w:tcPr>
                  <w:tcW w:w="1365" w:type="dxa"/>
                  <w:tcBorders>
                    <w:tl2br w:val="nil"/>
                    <w:tr2bl w:val="nil"/>
                  </w:tcBorders>
                  <w:noWrap w:val="0"/>
                  <w:vAlign w:val="center"/>
                </w:tcPr>
                <w:p w14:paraId="01D90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紫菀属</w:t>
                  </w:r>
                </w:p>
              </w:tc>
              <w:tc>
                <w:tcPr>
                  <w:tcW w:w="2997" w:type="dxa"/>
                  <w:tcBorders>
                    <w:tl2br w:val="nil"/>
                    <w:tr2bl w:val="nil"/>
                  </w:tcBorders>
                  <w:noWrap w:val="0"/>
                  <w:vAlign w:val="center"/>
                </w:tcPr>
                <w:p w14:paraId="161F7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Aster alpinus L.</w:t>
                  </w:r>
                </w:p>
              </w:tc>
            </w:tr>
            <w:tr w14:paraId="75095B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7DC22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4</w:t>
                  </w:r>
                </w:p>
              </w:tc>
              <w:tc>
                <w:tcPr>
                  <w:tcW w:w="1620" w:type="dxa"/>
                  <w:tcBorders>
                    <w:tl2br w:val="nil"/>
                    <w:tr2bl w:val="nil"/>
                  </w:tcBorders>
                  <w:noWrap w:val="0"/>
                  <w:vAlign w:val="center"/>
                </w:tcPr>
                <w:p w14:paraId="20633B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雪岭云杉</w:t>
                  </w:r>
                </w:p>
              </w:tc>
              <w:tc>
                <w:tcPr>
                  <w:tcW w:w="1200" w:type="dxa"/>
                  <w:tcBorders>
                    <w:tl2br w:val="nil"/>
                    <w:tr2bl w:val="nil"/>
                  </w:tcBorders>
                  <w:noWrap w:val="0"/>
                  <w:vAlign w:val="center"/>
                </w:tcPr>
                <w:p w14:paraId="43494A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松科</w:t>
                  </w:r>
                </w:p>
              </w:tc>
              <w:tc>
                <w:tcPr>
                  <w:tcW w:w="1365" w:type="dxa"/>
                  <w:tcBorders>
                    <w:tl2br w:val="nil"/>
                    <w:tr2bl w:val="nil"/>
                  </w:tcBorders>
                  <w:noWrap w:val="0"/>
                  <w:vAlign w:val="center"/>
                </w:tcPr>
                <w:p w14:paraId="27684A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云杉属</w:t>
                  </w:r>
                </w:p>
              </w:tc>
              <w:tc>
                <w:tcPr>
                  <w:tcW w:w="2997" w:type="dxa"/>
                  <w:tcBorders>
                    <w:tl2br w:val="nil"/>
                    <w:tr2bl w:val="nil"/>
                  </w:tcBorders>
                  <w:noWrap w:val="0"/>
                  <w:vAlign w:val="center"/>
                </w:tcPr>
                <w:p w14:paraId="50E966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Picea schrenkiana Fisch. &amp; C. A. Mey.</w:t>
                  </w:r>
                </w:p>
              </w:tc>
            </w:tr>
            <w:tr w14:paraId="010BB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7CC5E8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5</w:t>
                  </w:r>
                </w:p>
              </w:tc>
              <w:tc>
                <w:tcPr>
                  <w:tcW w:w="1620" w:type="dxa"/>
                  <w:tcBorders>
                    <w:tl2br w:val="nil"/>
                    <w:tr2bl w:val="nil"/>
                  </w:tcBorders>
                  <w:noWrap w:val="0"/>
                  <w:vAlign w:val="center"/>
                </w:tcPr>
                <w:p w14:paraId="262D3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蒲公英</w:t>
                  </w:r>
                </w:p>
              </w:tc>
              <w:tc>
                <w:tcPr>
                  <w:tcW w:w="1200" w:type="dxa"/>
                  <w:tcBorders>
                    <w:tl2br w:val="nil"/>
                    <w:tr2bl w:val="nil"/>
                  </w:tcBorders>
                  <w:noWrap w:val="0"/>
                  <w:vAlign w:val="center"/>
                </w:tcPr>
                <w:p w14:paraId="3732CC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菊科</w:t>
                  </w:r>
                </w:p>
              </w:tc>
              <w:tc>
                <w:tcPr>
                  <w:tcW w:w="1365" w:type="dxa"/>
                  <w:tcBorders>
                    <w:tl2br w:val="nil"/>
                    <w:tr2bl w:val="nil"/>
                  </w:tcBorders>
                  <w:noWrap w:val="0"/>
                  <w:vAlign w:val="center"/>
                </w:tcPr>
                <w:p w14:paraId="50CAA7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蒲公英属</w:t>
                  </w:r>
                </w:p>
              </w:tc>
              <w:tc>
                <w:tcPr>
                  <w:tcW w:w="2997" w:type="dxa"/>
                  <w:tcBorders>
                    <w:tl2br w:val="nil"/>
                    <w:tr2bl w:val="nil"/>
                  </w:tcBorders>
                  <w:noWrap w:val="0"/>
                  <w:vAlign w:val="center"/>
                </w:tcPr>
                <w:p w14:paraId="3B56C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araxacum mongolicum Hand.-Mazz.</w:t>
                  </w:r>
                </w:p>
              </w:tc>
            </w:tr>
            <w:tr w14:paraId="737886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1DB698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6</w:t>
                  </w:r>
                </w:p>
              </w:tc>
              <w:tc>
                <w:tcPr>
                  <w:tcW w:w="1620" w:type="dxa"/>
                  <w:tcBorders>
                    <w:tl2br w:val="nil"/>
                    <w:tr2bl w:val="nil"/>
                  </w:tcBorders>
                  <w:noWrap w:val="0"/>
                  <w:vAlign w:val="center"/>
                </w:tcPr>
                <w:p w14:paraId="7907C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风毛菊</w:t>
                  </w:r>
                </w:p>
              </w:tc>
              <w:tc>
                <w:tcPr>
                  <w:tcW w:w="1200" w:type="dxa"/>
                  <w:tcBorders>
                    <w:tl2br w:val="nil"/>
                    <w:tr2bl w:val="nil"/>
                  </w:tcBorders>
                  <w:noWrap w:val="0"/>
                  <w:vAlign w:val="center"/>
                </w:tcPr>
                <w:p w14:paraId="506FA4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菊科</w:t>
                  </w:r>
                </w:p>
              </w:tc>
              <w:tc>
                <w:tcPr>
                  <w:tcW w:w="1365" w:type="dxa"/>
                  <w:tcBorders>
                    <w:tl2br w:val="nil"/>
                    <w:tr2bl w:val="nil"/>
                  </w:tcBorders>
                  <w:noWrap w:val="0"/>
                  <w:vAlign w:val="center"/>
                </w:tcPr>
                <w:p w14:paraId="3D4281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风毛菊属</w:t>
                  </w:r>
                </w:p>
              </w:tc>
              <w:tc>
                <w:tcPr>
                  <w:tcW w:w="2997" w:type="dxa"/>
                  <w:tcBorders>
                    <w:tl2br w:val="nil"/>
                    <w:tr2bl w:val="nil"/>
                  </w:tcBorders>
                  <w:noWrap w:val="0"/>
                  <w:vAlign w:val="center"/>
                </w:tcPr>
                <w:p w14:paraId="6A9DB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Saussurea japonica (Thunb.) DC.</w:t>
                  </w:r>
                </w:p>
              </w:tc>
            </w:tr>
            <w:tr w14:paraId="744F2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5" w:type="dxa"/>
                  <w:tcBorders>
                    <w:tl2br w:val="nil"/>
                    <w:tr2bl w:val="nil"/>
                  </w:tcBorders>
                  <w:noWrap w:val="0"/>
                  <w:vAlign w:val="center"/>
                </w:tcPr>
                <w:p w14:paraId="5BD26D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7</w:t>
                  </w:r>
                </w:p>
              </w:tc>
              <w:tc>
                <w:tcPr>
                  <w:tcW w:w="1620" w:type="dxa"/>
                  <w:tcBorders>
                    <w:tl2br w:val="nil"/>
                    <w:tr2bl w:val="nil"/>
                  </w:tcBorders>
                  <w:noWrap w:val="0"/>
                  <w:vAlign w:val="center"/>
                </w:tcPr>
                <w:p w14:paraId="70A99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早熟禾</w:t>
                  </w:r>
                </w:p>
              </w:tc>
              <w:tc>
                <w:tcPr>
                  <w:tcW w:w="1200" w:type="dxa"/>
                  <w:tcBorders>
                    <w:tl2br w:val="nil"/>
                    <w:tr2bl w:val="nil"/>
                  </w:tcBorders>
                  <w:noWrap w:val="0"/>
                  <w:vAlign w:val="center"/>
                </w:tcPr>
                <w:p w14:paraId="135EBC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禾本科</w:t>
                  </w:r>
                </w:p>
              </w:tc>
              <w:tc>
                <w:tcPr>
                  <w:tcW w:w="1365" w:type="dxa"/>
                  <w:tcBorders>
                    <w:tl2br w:val="nil"/>
                    <w:tr2bl w:val="nil"/>
                  </w:tcBorders>
                  <w:noWrap w:val="0"/>
                  <w:vAlign w:val="center"/>
                </w:tcPr>
                <w:p w14:paraId="217EA2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kern w:val="0"/>
                      <w:sz w:val="21"/>
                      <w:szCs w:val="21"/>
                      <w:vertAlign w:val="baseline"/>
                      <w:lang w:val="en-US" w:eastAsia="zh-CN"/>
                    </w:rPr>
                    <w:t>早熟属</w:t>
                  </w:r>
                </w:p>
              </w:tc>
              <w:tc>
                <w:tcPr>
                  <w:tcW w:w="2997" w:type="dxa"/>
                  <w:tcBorders>
                    <w:tl2br w:val="nil"/>
                    <w:tr2bl w:val="nil"/>
                  </w:tcBorders>
                  <w:noWrap w:val="0"/>
                  <w:vAlign w:val="center"/>
                </w:tcPr>
                <w:p w14:paraId="5C962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iCs/>
                      <w:color w:val="auto"/>
                      <w:kern w:val="0"/>
                      <w:sz w:val="21"/>
                      <w:szCs w:val="21"/>
                      <w:vertAlign w:val="baseline"/>
                      <w:lang w:val="en-US" w:eastAsia="zh-CN"/>
                    </w:rPr>
                  </w:pPr>
                  <w:r>
                    <w:rPr>
                      <w:rFonts w:hint="default" w:ascii="Times New Roman" w:hAnsi="Times New Roman" w:eastAsia="宋体" w:cs="Times New Roman"/>
                      <w:i/>
                      <w:iCs/>
                      <w:color w:val="auto"/>
                      <w:kern w:val="0"/>
                      <w:sz w:val="21"/>
                      <w:szCs w:val="21"/>
                      <w:vertAlign w:val="baseline"/>
                      <w:lang w:val="en-US" w:eastAsia="zh-CN"/>
                    </w:rPr>
                    <w:t>Poa annua</w:t>
                  </w:r>
                  <w:r>
                    <w:rPr>
                      <w:rFonts w:hint="eastAsia" w:ascii="Times New Roman" w:hAnsi="Times New Roman" w:eastAsia="宋体" w:cs="Times New Roman"/>
                      <w:i/>
                      <w:iCs/>
                      <w:color w:val="auto"/>
                      <w:kern w:val="0"/>
                      <w:sz w:val="21"/>
                      <w:szCs w:val="21"/>
                      <w:vertAlign w:val="baseline"/>
                      <w:lang w:val="en-US" w:eastAsia="zh-CN"/>
                    </w:rPr>
                    <w:t xml:space="preserve"> L.</w:t>
                  </w:r>
                </w:p>
              </w:tc>
            </w:tr>
          </w:tbl>
          <w:p w14:paraId="275033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lang w:eastAsia="zh-CN"/>
              </w:rPr>
            </w:pPr>
            <w:r>
              <w:rPr>
                <w:rFonts w:hint="default" w:ascii="Times New Roman" w:hAnsi="Times New Roman" w:cs="Times New Roman"/>
                <w:color w:val="auto"/>
                <w:sz w:val="24"/>
                <w:szCs w:val="28"/>
                <w:lang w:val="en-US" w:eastAsia="zh-CN"/>
              </w:rPr>
              <w:t>根据《国家重点保护野生植物名录》和《新疆维吾尔自治区重点保护野生植物名录》（新政发</w:t>
            </w:r>
            <w:r>
              <w:rPr>
                <w:rFonts w:hint="default" w:ascii="Times New Roman" w:hAnsi="Times New Roman" w:eastAsia="宋体" w:cs="Times New Roman"/>
                <w:color w:val="auto"/>
                <w:sz w:val="24"/>
                <w:szCs w:val="28"/>
                <w:lang w:val="en-US" w:eastAsia="zh-CN"/>
              </w:rPr>
              <w:t>〔2023〕63号</w:t>
            </w:r>
            <w:r>
              <w:rPr>
                <w:rFonts w:hint="default" w:ascii="Times New Roman" w:hAnsi="Times New Roman" w:cs="Times New Roman"/>
                <w:color w:val="auto"/>
                <w:sz w:val="24"/>
                <w:szCs w:val="28"/>
                <w:lang w:val="en-US" w:eastAsia="zh-CN"/>
              </w:rPr>
              <w:t>）</w:t>
            </w:r>
            <w:r>
              <w:rPr>
                <w:rFonts w:hint="eastAsia" w:cs="Times New Roman"/>
                <w:color w:val="auto"/>
                <w:sz w:val="24"/>
                <w:szCs w:val="28"/>
                <w:lang w:val="en-US" w:eastAsia="zh-CN"/>
              </w:rPr>
              <w:t>，本次调查占地区域内的植被以灌丛为主，</w:t>
            </w:r>
            <w:r>
              <w:rPr>
                <w:rFonts w:hint="eastAsia" w:ascii="Times New Roman" w:hAnsi="Times New Roman" w:eastAsia="宋体" w:cs="Times New Roman"/>
                <w:color w:val="auto"/>
                <w:kern w:val="0"/>
                <w:sz w:val="24"/>
                <w:szCs w:val="24"/>
                <w:lang w:val="en-US" w:eastAsia="zh-CN" w:bidi="ar"/>
              </w:rPr>
              <w:t>未发现国家及自治区级保护植物分布。</w:t>
            </w:r>
          </w:p>
          <w:p w14:paraId="4AD5DC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4</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动物现状</w:t>
            </w:r>
          </w:p>
          <w:p w14:paraId="0ADDB4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val="en-US" w:eastAsia="zh-CN"/>
              </w:rPr>
              <w:t>本项目占地范围内仅分布有一些啮齿类、爬行类的小型动物，项目区未发现国家及自治区级保护动物分布。</w:t>
            </w:r>
          </w:p>
          <w:p w14:paraId="6CB593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5</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土地利用类型</w:t>
            </w:r>
          </w:p>
          <w:p w14:paraId="45E2A247">
            <w:pPr>
              <w:spacing w:line="360" w:lineRule="auto"/>
              <w:ind w:firstLine="480" w:firstLineChars="200"/>
              <w:rPr>
                <w:rFonts w:hint="eastAsia"/>
                <w:color w:val="auto"/>
                <w:kern w:val="0"/>
                <w:sz w:val="24"/>
                <w:highlight w:val="none"/>
              </w:rPr>
            </w:pPr>
            <w:r>
              <w:rPr>
                <w:rFonts w:hint="eastAsia"/>
                <w:color w:val="auto"/>
                <w:kern w:val="0"/>
                <w:sz w:val="24"/>
                <w:highlight w:val="none"/>
              </w:rPr>
              <w:t>根据遥感调查结果，并参照《土地利用现状分类》（</w:t>
            </w:r>
            <w:r>
              <w:rPr>
                <w:rFonts w:hint="eastAsia"/>
                <w:color w:val="auto"/>
                <w:kern w:val="0"/>
                <w:sz w:val="24"/>
                <w:highlight w:val="none"/>
                <w:lang w:eastAsia="zh-CN"/>
              </w:rPr>
              <w:t>GB/T 21010-2017</w:t>
            </w:r>
            <w:r>
              <w:rPr>
                <w:rFonts w:hint="eastAsia"/>
                <w:color w:val="auto"/>
                <w:kern w:val="0"/>
                <w:sz w:val="24"/>
                <w:highlight w:val="none"/>
              </w:rPr>
              <w:t>）</w:t>
            </w:r>
            <w:r>
              <w:rPr>
                <w:rFonts w:hint="eastAsia"/>
                <w:color w:val="auto"/>
                <w:kern w:val="0"/>
                <w:sz w:val="24"/>
                <w:highlight w:val="none"/>
                <w:lang w:val="en-US" w:eastAsia="zh-CN"/>
              </w:rPr>
              <w:t>和中科院全国土地利用数据</w:t>
            </w:r>
            <w:r>
              <w:rPr>
                <w:rFonts w:hint="eastAsia"/>
                <w:color w:val="auto"/>
                <w:kern w:val="0"/>
                <w:sz w:val="24"/>
                <w:highlight w:val="none"/>
              </w:rPr>
              <w:t>，以确定</w:t>
            </w:r>
            <w:r>
              <w:rPr>
                <w:rFonts w:hint="eastAsia"/>
                <w:color w:val="auto"/>
                <w:kern w:val="0"/>
                <w:sz w:val="24"/>
                <w:highlight w:val="none"/>
                <w:lang w:eastAsia="zh-CN"/>
              </w:rPr>
              <w:t>本</w:t>
            </w:r>
            <w:r>
              <w:rPr>
                <w:rFonts w:hint="eastAsia"/>
                <w:color w:val="auto"/>
                <w:kern w:val="0"/>
                <w:sz w:val="24"/>
                <w:highlight w:val="none"/>
                <w:lang w:val="en-US" w:eastAsia="zh-CN"/>
              </w:rPr>
              <w:t>项目</w:t>
            </w:r>
            <w:r>
              <w:rPr>
                <w:rFonts w:hint="eastAsia"/>
                <w:color w:val="auto"/>
                <w:kern w:val="0"/>
                <w:sz w:val="24"/>
                <w:highlight w:val="none"/>
              </w:rPr>
              <w:t>区域的土地利用类型</w:t>
            </w:r>
            <w:r>
              <w:rPr>
                <w:rFonts w:hint="eastAsia"/>
                <w:color w:val="auto"/>
                <w:kern w:val="0"/>
                <w:sz w:val="24"/>
                <w:highlight w:val="none"/>
                <w:lang w:eastAsia="zh-CN"/>
              </w:rPr>
              <w:t>，</w:t>
            </w:r>
            <w:r>
              <w:rPr>
                <w:rFonts w:hint="eastAsia"/>
                <w:color w:val="auto"/>
                <w:kern w:val="0"/>
                <w:sz w:val="24"/>
                <w:highlight w:val="none"/>
                <w:lang w:val="en-US" w:eastAsia="zh-CN"/>
              </w:rPr>
              <w:t>主要为高覆盖度草地和裸岩石砾地</w:t>
            </w:r>
            <w:r>
              <w:rPr>
                <w:rFonts w:hint="eastAsia"/>
                <w:color w:val="auto"/>
                <w:kern w:val="0"/>
                <w:sz w:val="24"/>
                <w:highlight w:val="none"/>
              </w:rPr>
              <w:t>。</w:t>
            </w:r>
          </w:p>
          <w:p w14:paraId="0F00B7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6</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土壤类型</w:t>
            </w:r>
          </w:p>
          <w:p w14:paraId="42C1B0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rPr>
            </w:pPr>
            <w:r>
              <w:rPr>
                <w:rFonts w:hint="eastAsia" w:ascii="Times New Roman" w:hAnsi="Times New Roman" w:cs="Times New Roman"/>
                <w:color w:val="auto"/>
                <w:kern w:val="0"/>
                <w:sz w:val="24"/>
                <w:szCs w:val="24"/>
                <w:lang w:val="en-US" w:eastAsia="zh-CN"/>
              </w:rPr>
              <w:t>本项目区域土壤类型为草毡土。</w:t>
            </w:r>
          </w:p>
          <w:p w14:paraId="36C4CD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草毡土其主要特征如下：</w:t>
            </w:r>
          </w:p>
          <w:p w14:paraId="357FC7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剖面结构</w:t>
            </w:r>
            <w:r>
              <w:rPr>
                <w:rFonts w:hint="default"/>
                <w:color w:val="auto"/>
                <w:sz w:val="24"/>
                <w:szCs w:val="32"/>
              </w:rPr>
              <w:t>：由草皮层、腐殖质层、过渡层和母质层组成。表层有厚3～10厘米的草皮，根系交织似毛毡状，轻韧有弹性。</w:t>
            </w:r>
          </w:p>
          <w:p w14:paraId="2AAED6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32"/>
              </w:rPr>
            </w:pPr>
            <w:r>
              <w:rPr>
                <w:rFonts w:hint="default"/>
                <w:color w:val="auto"/>
                <w:sz w:val="24"/>
                <w:szCs w:val="32"/>
              </w:rPr>
              <w:t>理化性质：土层薄，腐殖质层厚9～20厘米，有机质含量较高（6%～14%），呈中性反应，通气不良，冻结期长。</w:t>
            </w:r>
          </w:p>
          <w:p w14:paraId="4E492E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default"/>
                <w:color w:val="auto"/>
                <w:sz w:val="24"/>
                <w:szCs w:val="32"/>
              </w:rPr>
              <w:t>地表形态：常因冻融交互作用呈现鳞片状滑脱</w:t>
            </w:r>
            <w:r>
              <w:rPr>
                <w:rFonts w:hint="eastAsia"/>
                <w:color w:val="auto"/>
                <w:sz w:val="24"/>
                <w:szCs w:val="32"/>
                <w:lang w:eastAsia="zh-CN"/>
              </w:rPr>
              <w:t>。</w:t>
            </w:r>
          </w:p>
        </w:tc>
      </w:tr>
      <w:tr w14:paraId="6B357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14:paraId="5B1B77AC">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环境</w:t>
            </w:r>
          </w:p>
          <w:p w14:paraId="75618D06">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保护</w:t>
            </w:r>
          </w:p>
          <w:p w14:paraId="3561B4C0">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目标</w:t>
            </w:r>
          </w:p>
        </w:tc>
        <w:tc>
          <w:tcPr>
            <w:tcW w:w="8190" w:type="dxa"/>
            <w:noWrap w:val="0"/>
            <w:vAlign w:val="center"/>
          </w:tcPr>
          <w:p w14:paraId="48B8F3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本项目环境保护目标根据</w:t>
            </w:r>
            <w:r>
              <w:rPr>
                <w:rFonts w:hint="default" w:ascii="Times New Roman" w:hAnsi="Times New Roman" w:cs="Times New Roman"/>
                <w:color w:val="auto"/>
                <w:sz w:val="24"/>
              </w:rPr>
              <w:t>《建设项目环境影响报告表编制技术指南（污染影响类）（试行）》</w:t>
            </w:r>
            <w:r>
              <w:rPr>
                <w:rFonts w:hint="eastAsia" w:ascii="Times New Roman" w:hAnsi="Times New Roman" w:cs="Times New Roman"/>
                <w:color w:val="auto"/>
                <w:sz w:val="24"/>
                <w:lang w:val="en-US" w:eastAsia="zh-CN"/>
              </w:rPr>
              <w:t>进行分析：</w:t>
            </w:r>
          </w:p>
          <w:p w14:paraId="398AE4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1.大气</w:t>
            </w:r>
            <w:r>
              <w:rPr>
                <w:rFonts w:hint="eastAsia" w:ascii="Times New Roman" w:hAnsi="Times New Roman" w:cs="Times New Roman"/>
                <w:color w:val="auto"/>
                <w:kern w:val="0"/>
                <w:sz w:val="24"/>
                <w:szCs w:val="24"/>
                <w:lang w:val="en-US" w:eastAsia="zh-CN"/>
              </w:rPr>
              <w:t>环境</w:t>
            </w:r>
          </w:p>
          <w:p w14:paraId="1E7867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本项目各厂界500m范围内无自然保护区、风景名胜区、居住区、文化区和农村地区中人群较集中的区域。</w:t>
            </w:r>
          </w:p>
          <w:p w14:paraId="7F883A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2.声环境</w:t>
            </w:r>
          </w:p>
          <w:p w14:paraId="4A66AC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本项目各厂界外50m范围内均无声环境保护目标。</w:t>
            </w:r>
          </w:p>
          <w:p w14:paraId="03DF09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3.</w:t>
            </w:r>
            <w:r>
              <w:rPr>
                <w:rFonts w:hint="eastAsia" w:ascii="Times New Roman" w:hAnsi="Times New Roman" w:cs="Times New Roman"/>
                <w:color w:val="auto"/>
                <w:kern w:val="0"/>
                <w:sz w:val="24"/>
                <w:szCs w:val="24"/>
                <w:lang w:val="en-US" w:eastAsia="zh-CN"/>
              </w:rPr>
              <w:t>地下水环境</w:t>
            </w:r>
          </w:p>
          <w:p w14:paraId="0B60A0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本项目各厂界外500米范围内均无地下水集中式饮用水水源和热水、矿泉水、温泉等特殊地下水资源。</w:t>
            </w:r>
          </w:p>
          <w:p w14:paraId="6BB79E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4.生态环境</w:t>
            </w:r>
          </w:p>
          <w:p w14:paraId="1760CE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本项目区临时占用</w:t>
            </w:r>
            <w:r>
              <w:rPr>
                <w:rFonts w:hint="eastAsia" w:ascii="Times New Roman" w:hAnsi="Times New Roman" w:eastAsia="宋体" w:cs="Times New Roman"/>
                <w:color w:val="auto"/>
                <w:kern w:val="0"/>
                <w:sz w:val="24"/>
                <w:szCs w:val="24"/>
                <w:lang w:val="en-US" w:eastAsia="zh-CN"/>
              </w:rPr>
              <w:t>乌苏市天山水源涵养与生物多样性维护生态保护红线区。</w:t>
            </w:r>
          </w:p>
        </w:tc>
      </w:tr>
      <w:tr w14:paraId="057D6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68E9BF69">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污染</w:t>
            </w:r>
          </w:p>
          <w:p w14:paraId="315B91DF">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物排</w:t>
            </w:r>
          </w:p>
          <w:p w14:paraId="5524340D">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放控</w:t>
            </w:r>
          </w:p>
          <w:p w14:paraId="3B156BF4">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制标</w:t>
            </w:r>
          </w:p>
          <w:p w14:paraId="483D8687">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准</w:t>
            </w:r>
          </w:p>
        </w:tc>
        <w:tc>
          <w:tcPr>
            <w:tcW w:w="8190" w:type="dxa"/>
            <w:noWrap w:val="0"/>
            <w:vAlign w:val="center"/>
          </w:tcPr>
          <w:p w14:paraId="4BD583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w:t>
            </w:r>
            <w:r>
              <w:rPr>
                <w:rFonts w:hint="eastAsia" w:ascii="Times New Roman" w:hAnsi="Times New Roman" w:cs="Times New Roman"/>
                <w:color w:val="auto"/>
                <w:kern w:val="0"/>
                <w:sz w:val="24"/>
                <w:szCs w:val="24"/>
                <w:lang w:val="en-US" w:eastAsia="zh-CN"/>
              </w:rPr>
              <w:t>大气污染物排放标准</w:t>
            </w:r>
          </w:p>
          <w:p w14:paraId="767C02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pacing w:val="0"/>
                <w:kern w:val="0"/>
                <w:sz w:val="24"/>
                <w:szCs w:val="24"/>
                <w:lang w:val="en-US" w:eastAsia="zh-CN"/>
              </w:rPr>
            </w:pPr>
            <w:r>
              <w:rPr>
                <w:color w:val="auto"/>
                <w:sz w:val="24"/>
              </w:rPr>
              <w:t>本项目施工期大气污染物执行《大气污染物综合排放标准》（GB16297-1996）中无组织排放监控浓度限值（周界外浓度最高点：1.0mg/m</w:t>
            </w:r>
            <w:r>
              <w:rPr>
                <w:color w:val="auto"/>
                <w:sz w:val="24"/>
                <w:vertAlign w:val="superscript"/>
              </w:rPr>
              <w:t>3</w:t>
            </w:r>
            <w:r>
              <w:rPr>
                <w:color w:val="auto"/>
                <w:sz w:val="24"/>
              </w:rPr>
              <w:t>）；运营期</w:t>
            </w:r>
            <w:r>
              <w:rPr>
                <w:rFonts w:hint="eastAsia"/>
                <w:color w:val="auto"/>
                <w:sz w:val="24"/>
              </w:rPr>
              <w:t>大气污染物排放标准：无组织排放颗粒物执行《水泥工业大气污染物排放标准》（</w:t>
            </w:r>
            <w:r>
              <w:rPr>
                <w:color w:val="auto"/>
                <w:sz w:val="24"/>
              </w:rPr>
              <w:t>GB4915</w:t>
            </w:r>
            <w:r>
              <w:rPr>
                <w:rFonts w:hint="eastAsia"/>
                <w:color w:val="auto"/>
                <w:sz w:val="24"/>
              </w:rPr>
              <w:t>-</w:t>
            </w:r>
            <w:r>
              <w:rPr>
                <w:color w:val="auto"/>
                <w:sz w:val="24"/>
              </w:rPr>
              <w:t>2013</w:t>
            </w:r>
            <w:r>
              <w:rPr>
                <w:rFonts w:hint="eastAsia"/>
                <w:color w:val="auto"/>
                <w:sz w:val="24"/>
              </w:rPr>
              <w:t>）</w:t>
            </w:r>
            <w:r>
              <w:rPr>
                <w:rFonts w:hint="eastAsia"/>
                <w:color w:val="auto"/>
                <w:sz w:val="24"/>
                <w:lang w:val="en-US" w:eastAsia="zh-CN"/>
              </w:rPr>
              <w:t>及修改单</w:t>
            </w:r>
            <w:r>
              <w:rPr>
                <w:rFonts w:hint="eastAsia"/>
                <w:color w:val="auto"/>
                <w:sz w:val="24"/>
              </w:rPr>
              <w:t>表</w:t>
            </w:r>
            <w:r>
              <w:rPr>
                <w:color w:val="auto"/>
                <w:sz w:val="24"/>
              </w:rPr>
              <w:t>3</w:t>
            </w:r>
            <w:r>
              <w:rPr>
                <w:rFonts w:hint="eastAsia"/>
                <w:color w:val="auto"/>
                <w:sz w:val="24"/>
              </w:rPr>
              <w:t>中无组织颗粒物排放要求（浓度</w:t>
            </w:r>
            <w:r>
              <w:rPr>
                <w:rFonts w:hint="eastAsia"/>
                <w:color w:val="auto"/>
                <w:sz w:val="24"/>
                <w:lang w:val="en-US" w:eastAsia="zh-CN"/>
              </w:rPr>
              <w:t>差值</w:t>
            </w:r>
            <w:r>
              <w:rPr>
                <w:color w:val="auto"/>
                <w:sz w:val="24"/>
              </w:rPr>
              <w:t>≤0</w:t>
            </w:r>
            <w:r>
              <w:rPr>
                <w:rFonts w:hint="eastAsia"/>
                <w:color w:val="auto"/>
                <w:sz w:val="24"/>
              </w:rPr>
              <w:t>.</w:t>
            </w:r>
            <w:r>
              <w:rPr>
                <w:color w:val="auto"/>
                <w:sz w:val="24"/>
              </w:rPr>
              <w:t>5mg</w:t>
            </w:r>
            <w:r>
              <w:rPr>
                <w:rFonts w:hint="eastAsia"/>
                <w:color w:val="auto"/>
                <w:sz w:val="24"/>
              </w:rPr>
              <w:t>/</w:t>
            </w:r>
            <w:r>
              <w:rPr>
                <w:color w:val="auto"/>
                <w:sz w:val="24"/>
              </w:rPr>
              <w:t>m</w:t>
            </w:r>
            <w:r>
              <w:rPr>
                <w:color w:val="auto"/>
                <w:sz w:val="24"/>
                <w:vertAlign w:val="superscript"/>
              </w:rPr>
              <w:t>3</w:t>
            </w:r>
            <w:r>
              <w:rPr>
                <w:rFonts w:hint="eastAsia"/>
                <w:color w:val="auto"/>
                <w:sz w:val="24"/>
              </w:rPr>
              <w:t>）</w:t>
            </w:r>
            <w:r>
              <w:rPr>
                <w:rFonts w:hint="eastAsia" w:ascii="Times New Roman" w:hAnsi="Times New Roman" w:eastAsia="宋体" w:cs="Times New Roman"/>
                <w:color w:val="auto"/>
                <w:spacing w:val="0"/>
                <w:kern w:val="0"/>
                <w:sz w:val="24"/>
                <w:szCs w:val="24"/>
                <w:lang w:val="en-US" w:eastAsia="zh-CN"/>
              </w:rPr>
              <w:t>，具体标准值见表3-8。</w:t>
            </w:r>
          </w:p>
          <w:p w14:paraId="5CCF90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lang w:val="en-US" w:eastAsia="zh-CN"/>
              </w:rPr>
            </w:pPr>
            <w:r>
              <w:rPr>
                <w:rFonts w:hint="eastAsia" w:ascii="Times New Roman" w:hAnsi="Times New Roman" w:eastAsia="宋体" w:cs="Times New Roman"/>
                <w:b/>
                <w:bCs/>
                <w:color w:val="auto"/>
                <w:spacing w:val="0"/>
                <w:kern w:val="0"/>
                <w:sz w:val="21"/>
                <w:szCs w:val="21"/>
                <w:lang w:val="en-US" w:eastAsia="zh-CN"/>
              </w:rPr>
              <w:t>表3-8  大气污染物排放限值</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035"/>
              <w:gridCol w:w="3075"/>
              <w:gridCol w:w="2448"/>
            </w:tblGrid>
            <w:tr w14:paraId="00A37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3" w:type="dxa"/>
                  <w:noWrap w:val="0"/>
                  <w:vAlign w:val="center"/>
                </w:tcPr>
                <w:p w14:paraId="2546BE9D">
                  <w:pPr>
                    <w:jc w:val="center"/>
                    <w:rPr>
                      <w:rFonts w:hint="eastAsia"/>
                      <w:b/>
                      <w:bCs/>
                      <w:color w:val="auto"/>
                      <w:kern w:val="0"/>
                      <w:szCs w:val="21"/>
                    </w:rPr>
                  </w:pPr>
                  <w:r>
                    <w:rPr>
                      <w:rFonts w:hint="eastAsia"/>
                      <w:b/>
                      <w:bCs/>
                      <w:color w:val="auto"/>
                      <w:kern w:val="0"/>
                      <w:szCs w:val="21"/>
                    </w:rPr>
                    <w:t>污染物项目</w:t>
                  </w:r>
                </w:p>
              </w:tc>
              <w:tc>
                <w:tcPr>
                  <w:tcW w:w="1035" w:type="dxa"/>
                  <w:noWrap w:val="0"/>
                  <w:vAlign w:val="center"/>
                </w:tcPr>
                <w:p w14:paraId="0371E49B">
                  <w:pPr>
                    <w:jc w:val="center"/>
                    <w:rPr>
                      <w:rFonts w:hint="eastAsia"/>
                      <w:b/>
                      <w:bCs/>
                      <w:color w:val="auto"/>
                      <w:kern w:val="0"/>
                      <w:szCs w:val="21"/>
                    </w:rPr>
                  </w:pPr>
                  <w:r>
                    <w:rPr>
                      <w:rFonts w:hint="eastAsia"/>
                      <w:b/>
                      <w:bCs/>
                      <w:color w:val="auto"/>
                      <w:kern w:val="0"/>
                      <w:szCs w:val="21"/>
                    </w:rPr>
                    <w:t>限值</w:t>
                  </w:r>
                </w:p>
              </w:tc>
              <w:tc>
                <w:tcPr>
                  <w:tcW w:w="3075" w:type="dxa"/>
                  <w:noWrap w:val="0"/>
                  <w:vAlign w:val="center"/>
                </w:tcPr>
                <w:p w14:paraId="6D47A44B">
                  <w:pPr>
                    <w:jc w:val="center"/>
                    <w:rPr>
                      <w:rFonts w:hint="eastAsia"/>
                      <w:b/>
                      <w:bCs/>
                      <w:color w:val="auto"/>
                      <w:kern w:val="0"/>
                      <w:szCs w:val="21"/>
                    </w:rPr>
                  </w:pPr>
                  <w:r>
                    <w:rPr>
                      <w:rFonts w:hint="eastAsia"/>
                      <w:b/>
                      <w:bCs/>
                      <w:color w:val="auto"/>
                      <w:kern w:val="0"/>
                      <w:szCs w:val="21"/>
                    </w:rPr>
                    <w:t>限值含义</w:t>
                  </w:r>
                </w:p>
              </w:tc>
              <w:tc>
                <w:tcPr>
                  <w:tcW w:w="2448" w:type="dxa"/>
                  <w:noWrap w:val="0"/>
                  <w:vAlign w:val="center"/>
                </w:tcPr>
                <w:p w14:paraId="4858B7FA">
                  <w:pPr>
                    <w:jc w:val="center"/>
                    <w:rPr>
                      <w:rFonts w:hint="eastAsia"/>
                      <w:b/>
                      <w:bCs/>
                      <w:color w:val="auto"/>
                      <w:kern w:val="0"/>
                      <w:szCs w:val="21"/>
                    </w:rPr>
                  </w:pPr>
                  <w:r>
                    <w:rPr>
                      <w:rFonts w:hint="eastAsia"/>
                      <w:b/>
                      <w:bCs/>
                      <w:color w:val="auto"/>
                      <w:kern w:val="0"/>
                      <w:szCs w:val="21"/>
                    </w:rPr>
                    <w:t>无组织排放监控位置</w:t>
                  </w:r>
                </w:p>
              </w:tc>
            </w:tr>
            <w:tr w14:paraId="2FBE7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13" w:type="dxa"/>
                  <w:noWrap w:val="0"/>
                  <w:vAlign w:val="center"/>
                </w:tcPr>
                <w:p w14:paraId="23B644F1">
                  <w:pPr>
                    <w:jc w:val="center"/>
                    <w:rPr>
                      <w:rFonts w:hint="eastAsia"/>
                      <w:color w:val="auto"/>
                      <w:kern w:val="0"/>
                      <w:szCs w:val="21"/>
                    </w:rPr>
                  </w:pPr>
                  <w:r>
                    <w:rPr>
                      <w:rFonts w:hint="eastAsia"/>
                      <w:color w:val="auto"/>
                      <w:kern w:val="0"/>
                      <w:szCs w:val="21"/>
                    </w:rPr>
                    <w:t>颗粒物</w:t>
                  </w:r>
                </w:p>
              </w:tc>
              <w:tc>
                <w:tcPr>
                  <w:tcW w:w="1035" w:type="dxa"/>
                  <w:noWrap w:val="0"/>
                  <w:vAlign w:val="center"/>
                </w:tcPr>
                <w:p w14:paraId="1F25AA9B">
                  <w:pPr>
                    <w:jc w:val="center"/>
                    <w:rPr>
                      <w:color w:val="auto"/>
                      <w:kern w:val="0"/>
                      <w:szCs w:val="21"/>
                    </w:rPr>
                  </w:pPr>
                  <w:r>
                    <w:rPr>
                      <w:rFonts w:hint="eastAsia"/>
                      <w:color w:val="auto"/>
                      <w:kern w:val="0"/>
                      <w:szCs w:val="21"/>
                    </w:rPr>
                    <w:t>0.5</w:t>
                  </w:r>
                </w:p>
              </w:tc>
              <w:tc>
                <w:tcPr>
                  <w:tcW w:w="3075" w:type="dxa"/>
                  <w:noWrap w:val="0"/>
                  <w:vAlign w:val="center"/>
                </w:tcPr>
                <w:p w14:paraId="0634763D">
                  <w:pPr>
                    <w:jc w:val="center"/>
                    <w:rPr>
                      <w:color w:val="auto"/>
                      <w:kern w:val="0"/>
                      <w:szCs w:val="21"/>
                    </w:rPr>
                  </w:pPr>
                  <w:r>
                    <w:rPr>
                      <w:rFonts w:hint="eastAsia"/>
                      <w:color w:val="auto"/>
                      <w:kern w:val="0"/>
                      <w:szCs w:val="21"/>
                    </w:rPr>
                    <w:t>监控点与参照点总悬浮颗粒物（TSP）1小时浓度值的差值</w:t>
                  </w:r>
                </w:p>
              </w:tc>
              <w:tc>
                <w:tcPr>
                  <w:tcW w:w="2448" w:type="dxa"/>
                  <w:noWrap w:val="0"/>
                  <w:vAlign w:val="center"/>
                </w:tcPr>
                <w:p w14:paraId="6875C049">
                  <w:pPr>
                    <w:jc w:val="center"/>
                    <w:rPr>
                      <w:color w:val="auto"/>
                      <w:kern w:val="0"/>
                      <w:szCs w:val="21"/>
                    </w:rPr>
                  </w:pPr>
                  <w:r>
                    <w:rPr>
                      <w:rFonts w:hint="eastAsia"/>
                      <w:color w:val="auto"/>
                      <w:kern w:val="0"/>
                      <w:szCs w:val="21"/>
                    </w:rPr>
                    <w:t>厂界外20m处上风向设参照点，下风向设监控点</w:t>
                  </w:r>
                </w:p>
              </w:tc>
            </w:tr>
          </w:tbl>
          <w:p w14:paraId="4F06D1C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2、噪声排放标准</w:t>
            </w:r>
          </w:p>
          <w:p w14:paraId="3DDBDA2C">
            <w:pPr>
              <w:adjustRightInd w:val="0"/>
              <w:snapToGrid w:val="0"/>
              <w:spacing w:line="360" w:lineRule="auto"/>
              <w:ind w:firstLine="480" w:firstLineChars="200"/>
              <w:rPr>
                <w:color w:val="auto"/>
                <w:kern w:val="0"/>
                <w:sz w:val="24"/>
              </w:rPr>
            </w:pPr>
            <w:r>
              <w:rPr>
                <w:color w:val="auto"/>
                <w:kern w:val="0"/>
                <w:sz w:val="24"/>
              </w:rPr>
              <w:t>施工期执行《建筑施工</w:t>
            </w:r>
            <w:r>
              <w:rPr>
                <w:rFonts w:hint="eastAsia"/>
                <w:color w:val="auto"/>
                <w:kern w:val="0"/>
                <w:sz w:val="24"/>
                <w:lang w:val="en-US" w:eastAsia="zh-CN"/>
              </w:rPr>
              <w:t>噪声</w:t>
            </w:r>
            <w:r>
              <w:rPr>
                <w:color w:val="auto"/>
                <w:kern w:val="0"/>
                <w:sz w:val="24"/>
              </w:rPr>
              <w:t>排放标准》（GB12523-20</w:t>
            </w:r>
            <w:r>
              <w:rPr>
                <w:rFonts w:hint="eastAsia"/>
                <w:color w:val="auto"/>
                <w:kern w:val="0"/>
                <w:sz w:val="24"/>
                <w:lang w:val="en-US" w:eastAsia="zh-CN"/>
              </w:rPr>
              <w:t>25</w:t>
            </w:r>
            <w:r>
              <w:rPr>
                <w:color w:val="auto"/>
                <w:kern w:val="0"/>
                <w:sz w:val="24"/>
              </w:rPr>
              <w:t>）；运营期厂界噪声执行《工业企业厂界环境噪声排放标准》（GB12348-2008）中</w:t>
            </w:r>
            <w:r>
              <w:rPr>
                <w:rFonts w:hint="eastAsia"/>
                <w:color w:val="auto"/>
                <w:kern w:val="0"/>
                <w:sz w:val="24"/>
                <w:lang w:val="en-US" w:eastAsia="zh-CN"/>
              </w:rPr>
              <w:t>2</w:t>
            </w:r>
            <w:r>
              <w:rPr>
                <w:color w:val="auto"/>
                <w:kern w:val="0"/>
                <w:sz w:val="24"/>
              </w:rPr>
              <w:t>类标准限值。</w:t>
            </w:r>
          </w:p>
          <w:p w14:paraId="7202E69E">
            <w:pPr>
              <w:adjustRightInd w:val="0"/>
              <w:snapToGrid w:val="0"/>
              <w:jc w:val="center"/>
              <w:rPr>
                <w:b/>
                <w:bCs/>
                <w:color w:val="auto"/>
                <w:kern w:val="0"/>
                <w:szCs w:val="21"/>
              </w:rPr>
            </w:pPr>
            <w:r>
              <w:rPr>
                <w:b/>
                <w:bCs/>
                <w:color w:val="auto"/>
                <w:kern w:val="0"/>
                <w:szCs w:val="21"/>
              </w:rPr>
              <w:t>表3-</w:t>
            </w:r>
            <w:r>
              <w:rPr>
                <w:rFonts w:hint="eastAsia"/>
                <w:b/>
                <w:bCs/>
                <w:color w:val="auto"/>
                <w:kern w:val="0"/>
                <w:szCs w:val="21"/>
                <w:lang w:val="en-US" w:eastAsia="zh-CN"/>
              </w:rPr>
              <w:t>9</w:t>
            </w:r>
            <w:r>
              <w:rPr>
                <w:b/>
                <w:bCs/>
                <w:color w:val="auto"/>
                <w:kern w:val="0"/>
                <w:szCs w:val="21"/>
              </w:rPr>
              <w:t xml:space="preserve">  建筑施工噪声排放限值  单位：dB(A)</w:t>
            </w:r>
          </w:p>
          <w:tbl>
            <w:tblPr>
              <w:tblStyle w:val="28"/>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58"/>
              <w:gridCol w:w="2658"/>
              <w:gridCol w:w="2658"/>
            </w:tblGrid>
            <w:tr w14:paraId="249A09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58" w:type="dxa"/>
                  <w:noWrap w:val="0"/>
                  <w:vAlign w:val="center"/>
                </w:tcPr>
                <w:p w14:paraId="70BC38E2">
                  <w:pPr>
                    <w:adjustRightInd w:val="0"/>
                    <w:snapToGrid w:val="0"/>
                    <w:jc w:val="center"/>
                    <w:rPr>
                      <w:b/>
                      <w:bCs/>
                      <w:color w:val="auto"/>
                      <w:kern w:val="0"/>
                      <w:szCs w:val="21"/>
                    </w:rPr>
                  </w:pPr>
                  <w:r>
                    <w:rPr>
                      <w:b/>
                      <w:bCs/>
                      <w:color w:val="auto"/>
                      <w:kern w:val="0"/>
                      <w:szCs w:val="21"/>
                    </w:rPr>
                    <w:t>时间段</w:t>
                  </w:r>
                </w:p>
              </w:tc>
              <w:tc>
                <w:tcPr>
                  <w:tcW w:w="2658" w:type="dxa"/>
                  <w:noWrap w:val="0"/>
                  <w:vAlign w:val="center"/>
                </w:tcPr>
                <w:p w14:paraId="268F276D">
                  <w:pPr>
                    <w:adjustRightInd w:val="0"/>
                    <w:snapToGrid w:val="0"/>
                    <w:jc w:val="center"/>
                    <w:rPr>
                      <w:b/>
                      <w:bCs/>
                      <w:color w:val="auto"/>
                      <w:kern w:val="0"/>
                      <w:szCs w:val="21"/>
                    </w:rPr>
                  </w:pPr>
                  <w:r>
                    <w:rPr>
                      <w:b/>
                      <w:bCs/>
                      <w:color w:val="auto"/>
                      <w:kern w:val="0"/>
                      <w:szCs w:val="21"/>
                    </w:rPr>
                    <w:t>昼间</w:t>
                  </w:r>
                </w:p>
              </w:tc>
              <w:tc>
                <w:tcPr>
                  <w:tcW w:w="2658" w:type="dxa"/>
                  <w:noWrap w:val="0"/>
                  <w:vAlign w:val="center"/>
                </w:tcPr>
                <w:p w14:paraId="406E1358">
                  <w:pPr>
                    <w:adjustRightInd w:val="0"/>
                    <w:snapToGrid w:val="0"/>
                    <w:jc w:val="center"/>
                    <w:rPr>
                      <w:b/>
                      <w:bCs/>
                      <w:color w:val="auto"/>
                      <w:kern w:val="0"/>
                      <w:szCs w:val="21"/>
                    </w:rPr>
                  </w:pPr>
                  <w:r>
                    <w:rPr>
                      <w:b/>
                      <w:bCs/>
                      <w:color w:val="auto"/>
                      <w:kern w:val="0"/>
                      <w:szCs w:val="21"/>
                    </w:rPr>
                    <w:t>夜间</w:t>
                  </w:r>
                </w:p>
              </w:tc>
            </w:tr>
            <w:tr w14:paraId="492428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58" w:type="dxa"/>
                  <w:noWrap w:val="0"/>
                  <w:vAlign w:val="center"/>
                </w:tcPr>
                <w:p w14:paraId="58FC81F7">
                  <w:pPr>
                    <w:adjustRightInd w:val="0"/>
                    <w:snapToGrid w:val="0"/>
                    <w:jc w:val="center"/>
                    <w:rPr>
                      <w:color w:val="auto"/>
                      <w:kern w:val="0"/>
                      <w:szCs w:val="21"/>
                    </w:rPr>
                  </w:pPr>
                  <w:r>
                    <w:rPr>
                      <w:color w:val="auto"/>
                      <w:kern w:val="0"/>
                      <w:szCs w:val="21"/>
                    </w:rPr>
                    <w:t>标准限值</w:t>
                  </w:r>
                </w:p>
              </w:tc>
              <w:tc>
                <w:tcPr>
                  <w:tcW w:w="2658" w:type="dxa"/>
                  <w:noWrap w:val="0"/>
                  <w:vAlign w:val="center"/>
                </w:tcPr>
                <w:p w14:paraId="23FA371C">
                  <w:pPr>
                    <w:adjustRightInd w:val="0"/>
                    <w:snapToGrid w:val="0"/>
                    <w:jc w:val="center"/>
                    <w:rPr>
                      <w:color w:val="auto"/>
                      <w:kern w:val="0"/>
                      <w:szCs w:val="21"/>
                    </w:rPr>
                  </w:pPr>
                  <w:r>
                    <w:rPr>
                      <w:color w:val="auto"/>
                      <w:kern w:val="0"/>
                      <w:szCs w:val="21"/>
                    </w:rPr>
                    <w:t>70</w:t>
                  </w:r>
                </w:p>
              </w:tc>
              <w:tc>
                <w:tcPr>
                  <w:tcW w:w="2658" w:type="dxa"/>
                  <w:noWrap w:val="0"/>
                  <w:vAlign w:val="center"/>
                </w:tcPr>
                <w:p w14:paraId="66D015F0">
                  <w:pPr>
                    <w:adjustRightInd w:val="0"/>
                    <w:snapToGrid w:val="0"/>
                    <w:jc w:val="center"/>
                    <w:rPr>
                      <w:color w:val="auto"/>
                      <w:kern w:val="0"/>
                      <w:szCs w:val="21"/>
                    </w:rPr>
                  </w:pPr>
                  <w:r>
                    <w:rPr>
                      <w:color w:val="auto"/>
                      <w:kern w:val="0"/>
                      <w:szCs w:val="21"/>
                    </w:rPr>
                    <w:t>55</w:t>
                  </w:r>
                </w:p>
              </w:tc>
            </w:tr>
          </w:tbl>
          <w:p w14:paraId="4FDD32B0">
            <w:pPr>
              <w:adjustRightInd w:val="0"/>
              <w:snapToGrid w:val="0"/>
              <w:jc w:val="center"/>
              <w:rPr>
                <w:b/>
                <w:bCs/>
                <w:color w:val="auto"/>
                <w:kern w:val="0"/>
                <w:szCs w:val="21"/>
              </w:rPr>
            </w:pPr>
            <w:r>
              <w:rPr>
                <w:b/>
                <w:bCs/>
                <w:color w:val="auto"/>
                <w:kern w:val="0"/>
                <w:szCs w:val="21"/>
              </w:rPr>
              <w:t>表3-</w:t>
            </w:r>
            <w:r>
              <w:rPr>
                <w:rFonts w:hint="eastAsia"/>
                <w:b/>
                <w:bCs/>
                <w:color w:val="auto"/>
                <w:kern w:val="0"/>
                <w:szCs w:val="21"/>
                <w:lang w:val="en-US" w:eastAsia="zh-CN"/>
              </w:rPr>
              <w:t>10</w:t>
            </w:r>
            <w:r>
              <w:rPr>
                <w:b/>
                <w:bCs/>
                <w:color w:val="auto"/>
                <w:kern w:val="0"/>
                <w:szCs w:val="21"/>
              </w:rPr>
              <w:t xml:space="preserve">  工业企业厂界环境噪声排放限值  单位：dB(A)</w:t>
            </w:r>
          </w:p>
          <w:tbl>
            <w:tblPr>
              <w:tblStyle w:val="28"/>
              <w:tblW w:w="0" w:type="auto"/>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54"/>
              <w:gridCol w:w="2655"/>
              <w:gridCol w:w="2655"/>
            </w:tblGrid>
            <w:tr w14:paraId="21E925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54" w:type="dxa"/>
                  <w:vMerge w:val="restart"/>
                  <w:tcBorders>
                    <w:tl2br w:val="nil"/>
                    <w:tr2bl w:val="nil"/>
                  </w:tcBorders>
                  <w:noWrap w:val="0"/>
                  <w:vAlign w:val="center"/>
                </w:tcPr>
                <w:p w14:paraId="4046FC34">
                  <w:pPr>
                    <w:adjustRightInd w:val="0"/>
                    <w:snapToGrid w:val="0"/>
                    <w:jc w:val="center"/>
                    <w:rPr>
                      <w:b/>
                      <w:bCs/>
                      <w:color w:val="auto"/>
                      <w:kern w:val="0"/>
                      <w:szCs w:val="21"/>
                    </w:rPr>
                  </w:pPr>
                  <w:r>
                    <w:rPr>
                      <w:b/>
                      <w:bCs/>
                      <w:color w:val="auto"/>
                      <w:kern w:val="0"/>
                      <w:szCs w:val="21"/>
                    </w:rPr>
                    <w:t>厂界外声环境功能区类别</w:t>
                  </w:r>
                </w:p>
              </w:tc>
              <w:tc>
                <w:tcPr>
                  <w:tcW w:w="5310" w:type="dxa"/>
                  <w:gridSpan w:val="2"/>
                  <w:tcBorders>
                    <w:tl2br w:val="nil"/>
                    <w:tr2bl w:val="nil"/>
                  </w:tcBorders>
                  <w:noWrap w:val="0"/>
                  <w:vAlign w:val="center"/>
                </w:tcPr>
                <w:p w14:paraId="23756861">
                  <w:pPr>
                    <w:adjustRightInd w:val="0"/>
                    <w:snapToGrid w:val="0"/>
                    <w:jc w:val="center"/>
                    <w:rPr>
                      <w:b/>
                      <w:bCs/>
                      <w:color w:val="auto"/>
                      <w:kern w:val="0"/>
                      <w:szCs w:val="21"/>
                    </w:rPr>
                  </w:pPr>
                  <w:r>
                    <w:rPr>
                      <w:b/>
                      <w:bCs/>
                      <w:color w:val="auto"/>
                      <w:kern w:val="0"/>
                      <w:szCs w:val="21"/>
                    </w:rPr>
                    <w:t>时段</w:t>
                  </w:r>
                </w:p>
              </w:tc>
            </w:tr>
            <w:tr w14:paraId="0FA27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54" w:type="dxa"/>
                  <w:vMerge w:val="continue"/>
                  <w:tcBorders>
                    <w:tl2br w:val="nil"/>
                    <w:tr2bl w:val="nil"/>
                  </w:tcBorders>
                  <w:noWrap w:val="0"/>
                  <w:vAlign w:val="center"/>
                </w:tcPr>
                <w:p w14:paraId="65085BB1">
                  <w:pPr>
                    <w:adjustRightInd w:val="0"/>
                    <w:snapToGrid w:val="0"/>
                    <w:jc w:val="center"/>
                    <w:rPr>
                      <w:b/>
                      <w:bCs/>
                      <w:color w:val="auto"/>
                      <w:kern w:val="0"/>
                      <w:szCs w:val="21"/>
                    </w:rPr>
                  </w:pPr>
                </w:p>
              </w:tc>
              <w:tc>
                <w:tcPr>
                  <w:tcW w:w="2655" w:type="dxa"/>
                  <w:tcBorders>
                    <w:tl2br w:val="nil"/>
                    <w:tr2bl w:val="nil"/>
                  </w:tcBorders>
                  <w:noWrap w:val="0"/>
                  <w:vAlign w:val="center"/>
                </w:tcPr>
                <w:p w14:paraId="683C13A1">
                  <w:pPr>
                    <w:adjustRightInd w:val="0"/>
                    <w:snapToGrid w:val="0"/>
                    <w:jc w:val="center"/>
                    <w:rPr>
                      <w:b/>
                      <w:bCs/>
                      <w:color w:val="auto"/>
                      <w:kern w:val="0"/>
                      <w:szCs w:val="21"/>
                    </w:rPr>
                  </w:pPr>
                  <w:r>
                    <w:rPr>
                      <w:b/>
                      <w:bCs/>
                      <w:color w:val="auto"/>
                      <w:kern w:val="0"/>
                      <w:szCs w:val="21"/>
                    </w:rPr>
                    <w:t>昼间</w:t>
                  </w:r>
                </w:p>
              </w:tc>
              <w:tc>
                <w:tcPr>
                  <w:tcW w:w="2655" w:type="dxa"/>
                  <w:tcBorders>
                    <w:tl2br w:val="nil"/>
                    <w:tr2bl w:val="nil"/>
                  </w:tcBorders>
                  <w:noWrap w:val="0"/>
                  <w:vAlign w:val="center"/>
                </w:tcPr>
                <w:p w14:paraId="063CBFFD">
                  <w:pPr>
                    <w:adjustRightInd w:val="0"/>
                    <w:snapToGrid w:val="0"/>
                    <w:jc w:val="center"/>
                    <w:rPr>
                      <w:b/>
                      <w:bCs/>
                      <w:color w:val="auto"/>
                      <w:kern w:val="0"/>
                      <w:szCs w:val="21"/>
                    </w:rPr>
                  </w:pPr>
                  <w:r>
                    <w:rPr>
                      <w:b/>
                      <w:bCs/>
                      <w:color w:val="auto"/>
                      <w:kern w:val="0"/>
                      <w:szCs w:val="21"/>
                    </w:rPr>
                    <w:t>夜间</w:t>
                  </w:r>
                </w:p>
              </w:tc>
            </w:tr>
            <w:tr w14:paraId="730B6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54" w:type="dxa"/>
                  <w:tcBorders>
                    <w:tl2br w:val="nil"/>
                    <w:tr2bl w:val="nil"/>
                  </w:tcBorders>
                  <w:noWrap w:val="0"/>
                  <w:vAlign w:val="center"/>
                </w:tcPr>
                <w:p w14:paraId="4798CA1A">
                  <w:pPr>
                    <w:adjustRightInd w:val="0"/>
                    <w:snapToGrid w:val="0"/>
                    <w:jc w:val="center"/>
                    <w:rPr>
                      <w:rFonts w:hint="eastAsia" w:eastAsia="宋体"/>
                      <w:color w:val="auto"/>
                      <w:kern w:val="0"/>
                      <w:szCs w:val="21"/>
                      <w:lang w:eastAsia="zh-CN"/>
                    </w:rPr>
                  </w:pPr>
                  <w:r>
                    <w:rPr>
                      <w:rFonts w:hint="eastAsia"/>
                      <w:color w:val="auto"/>
                      <w:kern w:val="0"/>
                      <w:szCs w:val="21"/>
                      <w:lang w:val="en-US" w:eastAsia="zh-CN"/>
                    </w:rPr>
                    <w:t>2</w:t>
                  </w:r>
                </w:p>
              </w:tc>
              <w:tc>
                <w:tcPr>
                  <w:tcW w:w="2655" w:type="dxa"/>
                  <w:tcBorders>
                    <w:tl2br w:val="nil"/>
                    <w:tr2bl w:val="nil"/>
                  </w:tcBorders>
                  <w:noWrap w:val="0"/>
                  <w:vAlign w:val="center"/>
                </w:tcPr>
                <w:p w14:paraId="6964CDE0">
                  <w:pPr>
                    <w:adjustRightInd w:val="0"/>
                    <w:snapToGrid w:val="0"/>
                    <w:jc w:val="center"/>
                    <w:rPr>
                      <w:rFonts w:hint="default" w:eastAsia="宋体"/>
                      <w:color w:val="auto"/>
                      <w:kern w:val="0"/>
                      <w:szCs w:val="21"/>
                      <w:lang w:val="en-US" w:eastAsia="zh-CN"/>
                    </w:rPr>
                  </w:pPr>
                  <w:r>
                    <w:rPr>
                      <w:rFonts w:hint="eastAsia" w:eastAsia="宋体"/>
                      <w:color w:val="auto"/>
                      <w:kern w:val="0"/>
                      <w:szCs w:val="21"/>
                      <w:lang w:val="en-US" w:eastAsia="zh-CN"/>
                    </w:rPr>
                    <w:t>60</w:t>
                  </w:r>
                </w:p>
              </w:tc>
              <w:tc>
                <w:tcPr>
                  <w:tcW w:w="2655" w:type="dxa"/>
                  <w:tcBorders>
                    <w:tl2br w:val="nil"/>
                    <w:tr2bl w:val="nil"/>
                  </w:tcBorders>
                  <w:noWrap w:val="0"/>
                  <w:vAlign w:val="center"/>
                </w:tcPr>
                <w:p w14:paraId="30B05F76">
                  <w:pPr>
                    <w:adjustRightInd w:val="0"/>
                    <w:snapToGrid w:val="0"/>
                    <w:jc w:val="center"/>
                    <w:rPr>
                      <w:rFonts w:hint="default" w:eastAsia="宋体"/>
                      <w:color w:val="auto"/>
                      <w:kern w:val="0"/>
                      <w:szCs w:val="21"/>
                      <w:lang w:val="en-US" w:eastAsia="zh-CN"/>
                    </w:rPr>
                  </w:pPr>
                  <w:r>
                    <w:rPr>
                      <w:rFonts w:hint="eastAsia" w:eastAsia="宋体"/>
                      <w:color w:val="auto"/>
                      <w:kern w:val="0"/>
                      <w:szCs w:val="21"/>
                      <w:lang w:val="en-US" w:eastAsia="zh-CN"/>
                    </w:rPr>
                    <w:t>50</w:t>
                  </w:r>
                </w:p>
              </w:tc>
            </w:tr>
          </w:tbl>
          <w:p w14:paraId="54A82A1A">
            <w:pPr>
              <w:adjustRightInd w:val="0"/>
              <w:snapToGrid w:val="0"/>
              <w:spacing w:line="360" w:lineRule="auto"/>
              <w:jc w:val="left"/>
              <w:rPr>
                <w:b w:val="0"/>
                <w:bCs w:val="0"/>
                <w:color w:val="auto"/>
                <w:kern w:val="0"/>
                <w:sz w:val="24"/>
              </w:rPr>
            </w:pPr>
            <w:r>
              <w:rPr>
                <w:rFonts w:hint="eastAsia"/>
                <w:b w:val="0"/>
                <w:bCs w:val="0"/>
                <w:color w:val="auto"/>
                <w:sz w:val="24"/>
                <w:lang w:val="en-US" w:eastAsia="zh-CN"/>
              </w:rPr>
              <w:t>3、</w:t>
            </w:r>
            <w:r>
              <w:rPr>
                <w:b w:val="0"/>
                <w:bCs w:val="0"/>
                <w:color w:val="auto"/>
                <w:kern w:val="0"/>
                <w:sz w:val="24"/>
              </w:rPr>
              <w:t>固体废物</w:t>
            </w:r>
          </w:p>
          <w:p w14:paraId="2394B6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s="宋体"/>
                <w:color w:val="auto"/>
                <w:kern w:val="0"/>
                <w:sz w:val="24"/>
                <w:szCs w:val="24"/>
              </w:rPr>
            </w:pPr>
            <w:r>
              <w:rPr>
                <w:color w:val="auto"/>
                <w:kern w:val="0"/>
                <w:sz w:val="24"/>
              </w:rPr>
              <w:t>一般固体废物执行《一般工业固体废物贮存和填埋污染控制标准》（GB</w:t>
            </w:r>
            <w:r>
              <w:rPr>
                <w:rFonts w:hint="eastAsia"/>
                <w:color w:val="auto"/>
                <w:kern w:val="0"/>
                <w:sz w:val="24"/>
              </w:rPr>
              <w:t xml:space="preserve"> </w:t>
            </w:r>
            <w:r>
              <w:rPr>
                <w:color w:val="auto"/>
                <w:kern w:val="0"/>
                <w:sz w:val="24"/>
              </w:rPr>
              <w:t>18599-2020）</w:t>
            </w:r>
            <w:r>
              <w:rPr>
                <w:rFonts w:hint="eastAsia"/>
                <w:color w:val="auto"/>
                <w:kern w:val="0"/>
                <w:sz w:val="24"/>
                <w:lang w:eastAsia="zh-CN"/>
              </w:rPr>
              <w:t>。</w:t>
            </w:r>
          </w:p>
        </w:tc>
      </w:tr>
      <w:tr w14:paraId="1BCC2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5" w:hRule="atLeast"/>
          <w:jc w:val="center"/>
        </w:trPr>
        <w:tc>
          <w:tcPr>
            <w:tcW w:w="800" w:type="dxa"/>
            <w:noWrap w:val="0"/>
            <w:vAlign w:val="center"/>
          </w:tcPr>
          <w:p w14:paraId="72B0DAF8">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总量</w:t>
            </w:r>
          </w:p>
          <w:p w14:paraId="2F60BA6A">
            <w:pPr>
              <w:adjustRightInd w:val="0"/>
              <w:snapToGrid w:val="0"/>
              <w:jc w:val="center"/>
              <w:rPr>
                <w:rFonts w:hint="eastAsia" w:ascii="宋体" w:hAnsi="宋体" w:cs="宋体"/>
                <w:color w:val="auto"/>
                <w:kern w:val="0"/>
                <w:sz w:val="24"/>
                <w:szCs w:val="24"/>
              </w:rPr>
            </w:pPr>
            <w:r>
              <w:rPr>
                <w:rFonts w:hint="eastAsia" w:ascii="宋体" w:hAnsi="宋体" w:cs="宋体"/>
                <w:color w:val="auto"/>
                <w:kern w:val="0"/>
                <w:sz w:val="24"/>
                <w:szCs w:val="24"/>
              </w:rPr>
              <w:t>控制</w:t>
            </w:r>
          </w:p>
          <w:p w14:paraId="05EF2B1A">
            <w:pPr>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指标</w:t>
            </w:r>
          </w:p>
        </w:tc>
        <w:tc>
          <w:tcPr>
            <w:tcW w:w="8190" w:type="dxa"/>
            <w:noWrap w:val="0"/>
            <w:vAlign w:val="center"/>
          </w:tcPr>
          <w:p w14:paraId="421B40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s="宋体"/>
                <w:color w:val="auto"/>
                <w:kern w:val="0"/>
                <w:sz w:val="24"/>
                <w:szCs w:val="24"/>
              </w:rPr>
            </w:pPr>
            <w:r>
              <w:rPr>
                <w:rFonts w:hint="default" w:ascii="Times New Roman" w:hAnsi="Times New Roman" w:cs="Times New Roman"/>
                <w:color w:val="auto"/>
                <w:spacing w:val="0"/>
                <w:sz w:val="24"/>
                <w:szCs w:val="24"/>
              </w:rPr>
              <w:t>结合所在区域的环境特征及本项目排污情况，</w:t>
            </w:r>
            <w:r>
              <w:rPr>
                <w:rFonts w:hint="default" w:ascii="Times New Roman" w:hAnsi="Times New Roman" w:cs="Times New Roman"/>
                <w:color w:val="auto"/>
                <w:sz w:val="24"/>
                <w:szCs w:val="24"/>
                <w:lang w:val="en-US" w:eastAsia="zh-CN"/>
              </w:rPr>
              <w:t>故本次环评不设置总量控制指标。</w:t>
            </w:r>
          </w:p>
        </w:tc>
      </w:tr>
    </w:tbl>
    <w:p w14:paraId="1ABC6E7E">
      <w:pPr>
        <w:pStyle w:val="24"/>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bookmarkStart w:id="7" w:name="_Toc9822"/>
      <w:r>
        <w:rPr>
          <w:rFonts w:hint="eastAsia" w:ascii="黑体" w:hAnsi="黑体" w:eastAsia="黑体"/>
          <w:snapToGrid w:val="0"/>
          <w:color w:val="auto"/>
          <w:sz w:val="30"/>
          <w:szCs w:val="30"/>
        </w:rPr>
        <w:t>四、主要环境影响和保护措施</w:t>
      </w:r>
      <w:bookmarkEnd w:id="7"/>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1C8E5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9" w:hRule="atLeast"/>
          <w:jc w:val="center"/>
        </w:trPr>
        <w:tc>
          <w:tcPr>
            <w:tcW w:w="746" w:type="dxa"/>
            <w:noWrap w:val="0"/>
            <w:tcMar>
              <w:left w:w="28" w:type="dxa"/>
              <w:right w:w="28" w:type="dxa"/>
            </w:tcMar>
            <w:vAlign w:val="center"/>
          </w:tcPr>
          <w:p w14:paraId="31052FE9">
            <w:pPr>
              <w:pStyle w:val="24"/>
              <w:adjustRightInd w:val="0"/>
              <w:snapToGrid w:val="0"/>
              <w:spacing w:before="0" w:beforeAutospacing="0" w:after="0" w:afterAutospacing="0"/>
              <w:jc w:val="center"/>
              <w:rPr>
                <w:rFonts w:hint="eastAsia" w:cs="宋体"/>
                <w:color w:val="auto"/>
                <w:kern w:val="2"/>
                <w:sz w:val="24"/>
                <w:szCs w:val="24"/>
              </w:rPr>
            </w:pPr>
            <w:r>
              <w:rPr>
                <w:rFonts w:hint="eastAsia" w:cs="宋体"/>
                <w:color w:val="auto"/>
                <w:kern w:val="2"/>
                <w:sz w:val="24"/>
                <w:szCs w:val="24"/>
              </w:rPr>
              <w:t>施工</w:t>
            </w:r>
          </w:p>
          <w:p w14:paraId="6E45E810">
            <w:pPr>
              <w:pStyle w:val="24"/>
              <w:adjustRightInd w:val="0"/>
              <w:snapToGrid w:val="0"/>
              <w:spacing w:before="0" w:beforeAutospacing="0" w:after="0" w:afterAutospacing="0"/>
              <w:jc w:val="center"/>
              <w:rPr>
                <w:rFonts w:hint="eastAsia" w:cs="宋体"/>
                <w:color w:val="auto"/>
                <w:kern w:val="2"/>
                <w:sz w:val="24"/>
                <w:szCs w:val="24"/>
              </w:rPr>
            </w:pPr>
            <w:r>
              <w:rPr>
                <w:rFonts w:hint="eastAsia" w:cs="宋体"/>
                <w:color w:val="auto"/>
                <w:kern w:val="2"/>
                <w:sz w:val="24"/>
                <w:szCs w:val="24"/>
              </w:rPr>
              <w:t>期环</w:t>
            </w:r>
          </w:p>
          <w:p w14:paraId="7FD34E2E">
            <w:pPr>
              <w:pStyle w:val="24"/>
              <w:adjustRightInd w:val="0"/>
              <w:snapToGrid w:val="0"/>
              <w:spacing w:before="0" w:beforeAutospacing="0" w:after="0" w:afterAutospacing="0"/>
              <w:jc w:val="center"/>
              <w:rPr>
                <w:rFonts w:hint="eastAsia" w:cs="宋体"/>
                <w:color w:val="auto"/>
                <w:kern w:val="2"/>
                <w:sz w:val="24"/>
                <w:szCs w:val="24"/>
              </w:rPr>
            </w:pPr>
            <w:r>
              <w:rPr>
                <w:rFonts w:hint="eastAsia" w:cs="宋体"/>
                <w:color w:val="auto"/>
                <w:kern w:val="2"/>
                <w:sz w:val="24"/>
                <w:szCs w:val="24"/>
              </w:rPr>
              <w:t>境保</w:t>
            </w:r>
          </w:p>
          <w:p w14:paraId="7BA8C723">
            <w:pPr>
              <w:pStyle w:val="24"/>
              <w:adjustRightInd w:val="0"/>
              <w:snapToGrid w:val="0"/>
              <w:spacing w:before="0" w:beforeAutospacing="0" w:after="0" w:afterAutospacing="0"/>
              <w:jc w:val="center"/>
              <w:rPr>
                <w:rFonts w:hint="eastAsia" w:cs="宋体"/>
                <w:color w:val="auto"/>
                <w:kern w:val="2"/>
                <w:sz w:val="24"/>
                <w:szCs w:val="24"/>
              </w:rPr>
            </w:pPr>
            <w:r>
              <w:rPr>
                <w:rFonts w:hint="eastAsia" w:cs="宋体"/>
                <w:color w:val="auto"/>
                <w:kern w:val="2"/>
                <w:sz w:val="24"/>
                <w:szCs w:val="24"/>
              </w:rPr>
              <w:t>护措</w:t>
            </w:r>
          </w:p>
          <w:p w14:paraId="78405E00">
            <w:pPr>
              <w:pStyle w:val="24"/>
              <w:adjustRightInd w:val="0"/>
              <w:snapToGrid w:val="0"/>
              <w:spacing w:before="0" w:beforeAutospacing="0" w:after="0" w:afterAutospacing="0"/>
              <w:jc w:val="center"/>
              <w:rPr>
                <w:rFonts w:hint="eastAsia" w:cs="宋体"/>
                <w:bCs/>
                <w:color w:val="auto"/>
                <w:kern w:val="2"/>
                <w:sz w:val="24"/>
                <w:szCs w:val="24"/>
              </w:rPr>
            </w:pPr>
            <w:r>
              <w:rPr>
                <w:rFonts w:hint="eastAsia" w:cs="宋体"/>
                <w:color w:val="auto"/>
                <w:kern w:val="2"/>
                <w:sz w:val="24"/>
                <w:szCs w:val="24"/>
              </w:rPr>
              <w:t>施</w:t>
            </w:r>
          </w:p>
        </w:tc>
        <w:tc>
          <w:tcPr>
            <w:tcW w:w="8162" w:type="dxa"/>
            <w:noWrap w:val="0"/>
            <w:vAlign w:val="center"/>
          </w:tcPr>
          <w:p w14:paraId="0F5AA33D">
            <w:pPr>
              <w:spacing w:line="360" w:lineRule="auto"/>
              <w:jc w:val="both"/>
              <w:rPr>
                <w:rFonts w:hint="default" w:ascii="Times New Roman" w:hAnsi="Times New Roman" w:cs="Times New Roman"/>
                <w:b/>
                <w:bCs/>
                <w:color w:val="auto"/>
                <w:sz w:val="24"/>
              </w:rPr>
            </w:pPr>
            <w:r>
              <w:rPr>
                <w:rFonts w:hint="eastAsia" w:ascii="Times New Roman" w:hAnsi="Times New Roman" w:cs="Times New Roman"/>
                <w:b/>
                <w:bCs/>
                <w:color w:val="auto"/>
                <w:sz w:val="24"/>
                <w:lang w:val="en-US" w:eastAsia="zh-CN"/>
              </w:rPr>
              <w:t>4.1</w:t>
            </w:r>
            <w:r>
              <w:rPr>
                <w:rFonts w:hint="default" w:ascii="Times New Roman" w:hAnsi="Times New Roman" w:cs="Times New Roman"/>
                <w:b/>
                <w:bCs/>
                <w:color w:val="auto"/>
                <w:sz w:val="24"/>
              </w:rPr>
              <w:t>施工大气污染防治措施</w:t>
            </w:r>
          </w:p>
          <w:p w14:paraId="50910304">
            <w:pPr>
              <w:pStyle w:val="3"/>
              <w:spacing w:line="360" w:lineRule="auto"/>
              <w:ind w:firstLine="480" w:firstLineChars="200"/>
              <w:jc w:val="both"/>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施工期主要有土地平整、设备运输等过程产生扬尘，应采取以下措施减缓影响：</w:t>
            </w:r>
          </w:p>
          <w:p w14:paraId="70081270">
            <w:pPr>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（1）遇到干燥、易起尘的土方过程作业时，应辅以洒水抑尘，尽量缩短起尘操作时间，遇到四级或以上大风天气，应停止作业，同时作业处覆盖防尘网。</w:t>
            </w:r>
          </w:p>
          <w:p w14:paraId="6F5D929A">
            <w:pPr>
              <w:pStyle w:val="3"/>
              <w:spacing w:line="360" w:lineRule="auto"/>
              <w:ind w:firstLine="480" w:firstLineChars="200"/>
              <w:jc w:val="both"/>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（2）在施工现场对施工车辆实施限速行驶，固定施工运输车辆在场地内的行驶路线，加强场地路面洒水抑尘。</w:t>
            </w:r>
          </w:p>
          <w:p w14:paraId="0EBB7CC8">
            <w:pPr>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（3）运输容易散落、飞扬、流漏的物料车辆，必须采取措施封闭严密，保证车辆清洁。</w:t>
            </w:r>
          </w:p>
          <w:p w14:paraId="7F5D0698">
            <w:pPr>
              <w:pStyle w:val="3"/>
              <w:spacing w:line="360" w:lineRule="auto"/>
              <w:jc w:val="both"/>
              <w:rPr>
                <w:rFonts w:hint="default" w:ascii="Times New Roman" w:hAnsi="Times New Roman" w:cs="Times New Roman"/>
                <w:b/>
                <w:bCs w:val="0"/>
                <w:color w:val="auto"/>
                <w:sz w:val="24"/>
              </w:rPr>
            </w:pPr>
            <w:r>
              <w:rPr>
                <w:rFonts w:hint="eastAsia" w:ascii="Times New Roman" w:hAnsi="Times New Roman" w:cs="Times New Roman"/>
                <w:b/>
                <w:bCs w:val="0"/>
                <w:color w:val="auto"/>
                <w:sz w:val="24"/>
                <w:lang w:val="en-US" w:eastAsia="zh-CN"/>
              </w:rPr>
              <w:t>4.2</w:t>
            </w:r>
            <w:r>
              <w:rPr>
                <w:rFonts w:hint="default" w:ascii="Times New Roman" w:hAnsi="Times New Roman" w:cs="Times New Roman"/>
                <w:b/>
                <w:bCs w:val="0"/>
                <w:color w:val="auto"/>
                <w:sz w:val="24"/>
              </w:rPr>
              <w:t>施工期水污染防治措施</w:t>
            </w:r>
          </w:p>
          <w:p w14:paraId="08E3F534">
            <w:pPr>
              <w:spacing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项目施工期较短，施工场地设施工营地，</w:t>
            </w:r>
            <w:r>
              <w:rPr>
                <w:rFonts w:hint="eastAsia" w:ascii="Times New Roman" w:hAnsi="Times New Roman" w:cs="Times New Roman"/>
                <w:color w:val="auto"/>
                <w:sz w:val="24"/>
                <w:szCs w:val="24"/>
                <w:lang w:eastAsia="zh-CN"/>
              </w:rPr>
              <w:t>生活污水</w:t>
            </w:r>
            <w:r>
              <w:rPr>
                <w:rFonts w:hint="eastAsia" w:ascii="Times New Roman" w:hAnsi="Times New Roman" w:cs="Times New Roman"/>
                <w:color w:val="auto"/>
                <w:sz w:val="24"/>
                <w:szCs w:val="24"/>
                <w:lang w:val="en-US" w:eastAsia="zh-CN"/>
              </w:rPr>
              <w:t>依托高速公路生活区配套</w:t>
            </w:r>
            <w:r>
              <w:rPr>
                <w:rFonts w:hint="eastAsia"/>
                <w:color w:val="auto"/>
                <w:sz w:val="24"/>
                <w:szCs w:val="24"/>
                <w:lang w:val="en-US" w:eastAsia="zh-CN"/>
              </w:rPr>
              <w:t>一体化生活污水处理设施处理满足《城市污水再生利用城市杂用水水质》（GB/T18920-2020）标准限值后用于绿化、道路清扫</w:t>
            </w:r>
            <w:r>
              <w:rPr>
                <w:rFonts w:hint="default" w:ascii="Times New Roman" w:hAnsi="Times New Roman" w:cs="Times New Roman"/>
                <w:color w:val="auto"/>
                <w:sz w:val="24"/>
                <w:szCs w:val="24"/>
              </w:rPr>
              <w:t>。</w:t>
            </w:r>
          </w:p>
          <w:p w14:paraId="5BACE869">
            <w:pPr>
              <w:pStyle w:val="3"/>
              <w:spacing w:line="360" w:lineRule="auto"/>
              <w:jc w:val="both"/>
              <w:rPr>
                <w:rFonts w:hint="default" w:ascii="Times New Roman" w:hAnsi="Times New Roman" w:cs="Times New Roman"/>
                <w:color w:val="auto"/>
                <w:sz w:val="24"/>
              </w:rPr>
            </w:pPr>
            <w:r>
              <w:rPr>
                <w:rFonts w:hint="eastAsia" w:ascii="Times New Roman" w:hAnsi="Times New Roman" w:cs="Times New Roman"/>
                <w:b/>
                <w:bCs w:val="0"/>
                <w:color w:val="auto"/>
                <w:sz w:val="24"/>
                <w:lang w:val="en-US" w:eastAsia="zh-CN"/>
              </w:rPr>
              <w:t>4.3</w:t>
            </w:r>
            <w:r>
              <w:rPr>
                <w:rFonts w:hint="default" w:ascii="Times New Roman" w:hAnsi="Times New Roman" w:cs="Times New Roman"/>
                <w:b/>
                <w:bCs w:val="0"/>
                <w:color w:val="auto"/>
                <w:sz w:val="24"/>
              </w:rPr>
              <w:t>施工期声污染防治措施</w:t>
            </w:r>
          </w:p>
          <w:p w14:paraId="6DDC0CB5">
            <w:pPr>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（1）合理安排施工时间，禁止夜间22:00至次日6:00施工。</w:t>
            </w:r>
          </w:p>
          <w:p w14:paraId="4DEB5EC1">
            <w:pPr>
              <w:pStyle w:val="3"/>
              <w:spacing w:line="360" w:lineRule="auto"/>
              <w:ind w:firstLine="480" w:firstLineChars="200"/>
              <w:jc w:val="both"/>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（2）加强施工机械的维护保养，严格按操作规范使用各类机械设备。</w:t>
            </w:r>
          </w:p>
          <w:p w14:paraId="7BC864B7">
            <w:pPr>
              <w:spacing w:line="360" w:lineRule="auto"/>
              <w:jc w:val="both"/>
              <w:rPr>
                <w:rFonts w:hint="default" w:ascii="Times New Roman" w:hAnsi="Times New Roman" w:cs="Times New Roman"/>
                <w:b/>
                <w:bCs/>
                <w:color w:val="auto"/>
                <w:sz w:val="24"/>
              </w:rPr>
            </w:pPr>
            <w:r>
              <w:rPr>
                <w:rFonts w:hint="default" w:ascii="Times New Roman" w:hAnsi="Times New Roman" w:cs="Times New Roman"/>
                <w:b/>
                <w:bCs/>
                <w:color w:val="auto"/>
                <w:sz w:val="24"/>
              </w:rPr>
              <w:t>4</w:t>
            </w:r>
            <w:r>
              <w:rPr>
                <w:rFonts w:hint="eastAsia" w:ascii="Times New Roman" w:hAnsi="Times New Roman" w:cs="Times New Roman"/>
                <w:b/>
                <w:bCs/>
                <w:color w:val="auto"/>
                <w:sz w:val="24"/>
                <w:lang w:val="en-US" w:eastAsia="zh-CN"/>
              </w:rPr>
              <w:t>.4</w:t>
            </w:r>
            <w:r>
              <w:rPr>
                <w:rFonts w:hint="default" w:ascii="Times New Roman" w:hAnsi="Times New Roman" w:cs="Times New Roman"/>
                <w:b/>
                <w:bCs/>
                <w:color w:val="auto"/>
                <w:sz w:val="24"/>
              </w:rPr>
              <w:t>施工期固体废物污染防治措施</w:t>
            </w:r>
          </w:p>
          <w:p w14:paraId="5A36EA2C">
            <w:pPr>
              <w:pStyle w:val="3"/>
              <w:spacing w:line="360" w:lineRule="auto"/>
              <w:ind w:firstLine="480" w:firstLineChars="200"/>
              <w:jc w:val="both"/>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（1）施工期产生的建筑垃圾可回收的进行综合利用，不能回用的运往</w:t>
            </w:r>
            <w:r>
              <w:rPr>
                <w:rFonts w:hint="eastAsia" w:ascii="Times New Roman" w:hAnsi="Times New Roman" w:cs="Times New Roman"/>
                <w:b w:val="0"/>
                <w:bCs/>
                <w:color w:val="auto"/>
                <w:sz w:val="24"/>
                <w:lang w:val="en-US" w:eastAsia="zh-CN"/>
              </w:rPr>
              <w:t>建筑垃圾填埋场</w:t>
            </w:r>
            <w:r>
              <w:rPr>
                <w:rFonts w:hint="default" w:ascii="Times New Roman" w:hAnsi="Times New Roman" w:cs="Times New Roman"/>
                <w:b w:val="0"/>
                <w:bCs/>
                <w:color w:val="auto"/>
                <w:sz w:val="24"/>
              </w:rPr>
              <w:t>处置。</w:t>
            </w:r>
          </w:p>
          <w:p w14:paraId="133A2D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bCs/>
                <w:color w:val="auto"/>
                <w:spacing w:val="-10"/>
                <w:sz w:val="24"/>
                <w:szCs w:val="24"/>
              </w:rPr>
            </w:pPr>
            <w:r>
              <w:rPr>
                <w:rFonts w:hint="default" w:ascii="Times New Roman" w:hAnsi="Times New Roman" w:cs="Times New Roman"/>
                <w:color w:val="auto"/>
                <w:sz w:val="24"/>
              </w:rPr>
              <w:t>（2）施工渣土及时清运，对不能及时清运的应采取封闭等有效防尘措施。</w:t>
            </w:r>
          </w:p>
          <w:p w14:paraId="5F1E3C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cs="Times New Roman"/>
                <w:b/>
                <w:bCs w:val="0"/>
                <w:color w:val="auto"/>
                <w:spacing w:val="-10"/>
                <w:sz w:val="24"/>
                <w:szCs w:val="24"/>
                <w:lang w:val="en-US" w:eastAsia="zh-CN"/>
              </w:rPr>
              <w:t>4.5施工期生态保护措施</w:t>
            </w:r>
          </w:p>
          <w:p w14:paraId="655C24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）控制施工车辆的停放和施工材料的堆放。</w:t>
            </w:r>
          </w:p>
          <w:p w14:paraId="78BA57A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合理规划施工工序，尽量减少临时占地面积，提高工效，缩短施工时间，及时恢复地表。</w:t>
            </w:r>
          </w:p>
          <w:p w14:paraId="73C18AA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（3）施工期避开雨季，注意保护周边植被，尽可能减少对植被和土地的破坏。</w:t>
            </w:r>
          </w:p>
          <w:p w14:paraId="5FC538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pacing w:val="-10"/>
                <w:sz w:val="24"/>
                <w:szCs w:val="24"/>
              </w:rPr>
            </w:pPr>
            <w:r>
              <w:rPr>
                <w:rFonts w:hint="eastAsia" w:cs="Times New Roman"/>
                <w:color w:val="auto"/>
                <w:sz w:val="24"/>
                <w:szCs w:val="24"/>
                <w:lang w:val="en-US" w:eastAsia="zh-CN"/>
              </w:rPr>
              <w:t>（4）严格控制施工范围，严禁施工机械及车辆进入、占用占地范围外区域。</w:t>
            </w:r>
          </w:p>
          <w:p w14:paraId="360D085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cs="Times New Roman"/>
                <w:color w:val="auto"/>
                <w:sz w:val="24"/>
                <w:szCs w:val="24"/>
                <w:lang w:val="en-US" w:eastAsia="zh-CN"/>
              </w:rPr>
            </w:pPr>
            <w:r>
              <w:rPr>
                <w:rFonts w:hint="eastAsia" w:cs="Times New Roman"/>
                <w:color w:val="auto"/>
                <w:sz w:val="24"/>
                <w:szCs w:val="24"/>
                <w:lang w:val="en-US" w:eastAsia="zh-CN"/>
              </w:rPr>
              <w:t>（5）对施工人员开展保护野生动物宣传教育工作，强化保护野生动物的观念；加强管理，确保各生产设施的正常运行，避免强噪声情况发生对野生动物造成惊扰。</w:t>
            </w:r>
          </w:p>
          <w:p w14:paraId="229FDB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bCs/>
                <w:color w:val="auto"/>
                <w:spacing w:val="-10"/>
                <w:sz w:val="24"/>
                <w:szCs w:val="24"/>
              </w:rPr>
            </w:pPr>
            <w:r>
              <w:rPr>
                <w:rFonts w:hint="eastAsia"/>
                <w:color w:val="auto"/>
                <w:sz w:val="24"/>
                <w:szCs w:val="32"/>
                <w:lang w:val="en-US" w:eastAsia="zh-CN"/>
              </w:rPr>
              <w:t>（6）按照相关要求，制定并严格落实生态环境保护和恢复治理方案</w:t>
            </w:r>
          </w:p>
        </w:tc>
      </w:tr>
      <w:tr w14:paraId="778B3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noWrap w:val="0"/>
            <w:tcMar>
              <w:left w:w="28" w:type="dxa"/>
              <w:right w:w="28" w:type="dxa"/>
            </w:tcMar>
            <w:vAlign w:val="center"/>
          </w:tcPr>
          <w:p w14:paraId="5BA89939">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运营</w:t>
            </w:r>
          </w:p>
          <w:p w14:paraId="1783E6DF">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期环</w:t>
            </w:r>
          </w:p>
          <w:p w14:paraId="702C668E">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境影</w:t>
            </w:r>
          </w:p>
          <w:p w14:paraId="02CD535B">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响和</w:t>
            </w:r>
          </w:p>
          <w:p w14:paraId="2C05F8DC">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保护</w:t>
            </w:r>
          </w:p>
          <w:p w14:paraId="361D3C8D">
            <w:pPr>
              <w:adjustRightInd w:val="0"/>
              <w:snapToGrid w:val="0"/>
              <w:jc w:val="center"/>
              <w:rPr>
                <w:rFonts w:ascii="宋体" w:hAnsi="宋体" w:cs="宋体"/>
                <w:bCs/>
                <w:color w:val="auto"/>
                <w:sz w:val="24"/>
                <w:szCs w:val="24"/>
              </w:rPr>
            </w:pPr>
            <w:r>
              <w:rPr>
                <w:rFonts w:hint="eastAsia" w:ascii="宋体" w:hAnsi="宋体" w:cs="宋体"/>
                <w:bCs/>
                <w:color w:val="auto"/>
                <w:sz w:val="24"/>
                <w:szCs w:val="24"/>
              </w:rPr>
              <w:t>措施</w:t>
            </w:r>
          </w:p>
        </w:tc>
        <w:tc>
          <w:tcPr>
            <w:tcW w:w="8162" w:type="dxa"/>
            <w:noWrap w:val="0"/>
            <w:vAlign w:val="top"/>
          </w:tcPr>
          <w:p w14:paraId="784EE18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cs="Times New Roman"/>
                <w:b/>
                <w:bCs w:val="0"/>
                <w:color w:val="auto"/>
                <w:spacing w:val="-10"/>
                <w:sz w:val="24"/>
                <w:szCs w:val="24"/>
                <w:lang w:val="en-US" w:eastAsia="zh-CN"/>
              </w:rPr>
              <w:t>4.</w:t>
            </w:r>
            <w:r>
              <w:rPr>
                <w:rFonts w:hint="eastAsia" w:ascii="Times New Roman" w:hAnsi="Times New Roman" w:cs="Times New Roman"/>
                <w:b/>
                <w:bCs w:val="0"/>
                <w:color w:val="auto"/>
                <w:spacing w:val="-10"/>
                <w:sz w:val="24"/>
                <w:szCs w:val="24"/>
                <w:lang w:val="en-US" w:eastAsia="zh-CN"/>
              </w:rPr>
              <w:t>6</w:t>
            </w:r>
            <w:r>
              <w:rPr>
                <w:rFonts w:hint="default" w:ascii="Times New Roman" w:hAnsi="Times New Roman" w:cs="Times New Roman"/>
                <w:b/>
                <w:bCs w:val="0"/>
                <w:color w:val="auto"/>
                <w:spacing w:val="-10"/>
                <w:sz w:val="24"/>
                <w:szCs w:val="24"/>
                <w:lang w:val="en-US" w:eastAsia="zh-CN"/>
              </w:rPr>
              <w:t>运营期废气</w:t>
            </w:r>
          </w:p>
          <w:p w14:paraId="6E0C370C">
            <w:pPr>
              <w:spacing w:line="360" w:lineRule="auto"/>
              <w:ind w:firstLine="440" w:firstLineChars="200"/>
              <w:rPr>
                <w:rFonts w:hint="default" w:eastAsia="宋体"/>
                <w:bCs/>
                <w:color w:val="auto"/>
                <w:spacing w:val="-10"/>
                <w:sz w:val="24"/>
                <w:lang w:val="en-US" w:eastAsia="zh-CN"/>
              </w:rPr>
            </w:pPr>
            <w:r>
              <w:rPr>
                <w:rFonts w:hint="eastAsia"/>
                <w:bCs/>
                <w:color w:val="auto"/>
                <w:spacing w:val="-10"/>
                <w:sz w:val="24"/>
                <w:lang w:val="en-US" w:eastAsia="zh-CN"/>
              </w:rPr>
              <w:t>1.污染物源强核算</w:t>
            </w:r>
          </w:p>
          <w:p w14:paraId="726B3F6C">
            <w:pPr>
              <w:spacing w:line="360" w:lineRule="auto"/>
              <w:ind w:firstLine="440" w:firstLineChars="200"/>
              <w:rPr>
                <w:rFonts w:hint="default" w:eastAsia="宋体"/>
                <w:bCs/>
                <w:color w:val="auto"/>
                <w:spacing w:val="-10"/>
                <w:sz w:val="24"/>
                <w:lang w:val="en-US" w:eastAsia="zh-CN"/>
              </w:rPr>
            </w:pPr>
            <w:r>
              <w:rPr>
                <w:bCs/>
                <w:color w:val="auto"/>
                <w:spacing w:val="-10"/>
                <w:sz w:val="24"/>
              </w:rPr>
              <w:t>本项目</w:t>
            </w:r>
            <w:r>
              <w:rPr>
                <w:rFonts w:hint="eastAsia"/>
                <w:bCs/>
                <w:color w:val="auto"/>
                <w:spacing w:val="-10"/>
                <w:sz w:val="24"/>
                <w:lang w:val="en-US" w:eastAsia="zh-CN"/>
              </w:rPr>
              <w:t>商混</w:t>
            </w:r>
            <w:r>
              <w:rPr>
                <w:bCs/>
                <w:color w:val="auto"/>
                <w:spacing w:val="-10"/>
                <w:sz w:val="24"/>
              </w:rPr>
              <w:t>生产过程中的废气主要为</w:t>
            </w:r>
            <w:r>
              <w:rPr>
                <w:rFonts w:hint="eastAsia"/>
                <w:bCs/>
                <w:color w:val="auto"/>
                <w:spacing w:val="-10"/>
                <w:sz w:val="24"/>
                <w:lang w:val="en-US" w:eastAsia="zh-CN"/>
              </w:rPr>
              <w:t>砂石卸料、筒仓等产生的</w:t>
            </w:r>
            <w:r>
              <w:rPr>
                <w:bCs/>
                <w:color w:val="auto"/>
                <w:spacing w:val="-10"/>
                <w:sz w:val="24"/>
              </w:rPr>
              <w:t>颗粒物</w:t>
            </w:r>
            <w:r>
              <w:rPr>
                <w:rFonts w:hint="eastAsia"/>
                <w:bCs/>
                <w:color w:val="auto"/>
                <w:spacing w:val="-10"/>
                <w:sz w:val="24"/>
                <w:lang w:val="en-US" w:eastAsia="zh-CN"/>
              </w:rPr>
              <w:t>以及</w:t>
            </w:r>
            <w:r>
              <w:rPr>
                <w:bCs/>
                <w:color w:val="auto"/>
                <w:spacing w:val="-10"/>
                <w:sz w:val="24"/>
              </w:rPr>
              <w:t>车辆</w:t>
            </w:r>
            <w:r>
              <w:rPr>
                <w:rFonts w:hint="eastAsia"/>
                <w:bCs/>
                <w:color w:val="auto"/>
                <w:spacing w:val="-10"/>
                <w:sz w:val="24"/>
              </w:rPr>
              <w:t>运输起尘</w:t>
            </w:r>
            <w:r>
              <w:rPr>
                <w:bCs/>
                <w:color w:val="auto"/>
                <w:spacing w:val="-10"/>
                <w:sz w:val="24"/>
              </w:rPr>
              <w:t>。</w:t>
            </w:r>
          </w:p>
          <w:p w14:paraId="2CD0F98C">
            <w:pPr>
              <w:spacing w:line="360" w:lineRule="auto"/>
              <w:ind w:firstLine="440" w:firstLineChars="200"/>
              <w:rPr>
                <w:bCs/>
                <w:color w:val="auto"/>
                <w:spacing w:val="-10"/>
                <w:sz w:val="24"/>
              </w:rPr>
            </w:pPr>
            <w:r>
              <w:rPr>
                <w:bCs/>
                <w:color w:val="auto"/>
                <w:spacing w:val="-10"/>
                <w:sz w:val="24"/>
              </w:rPr>
              <w:t>（1）砂石卸料</w:t>
            </w:r>
            <w:r>
              <w:rPr>
                <w:rFonts w:hint="eastAsia"/>
                <w:bCs/>
                <w:color w:val="auto"/>
                <w:spacing w:val="-10"/>
                <w:sz w:val="24"/>
              </w:rPr>
              <w:t>颗粒物</w:t>
            </w:r>
          </w:p>
          <w:p w14:paraId="5DBC989B">
            <w:pPr>
              <w:pStyle w:val="26"/>
              <w:spacing w:after="0"/>
              <w:ind w:left="0" w:leftChars="0" w:firstLine="480"/>
              <w:rPr>
                <w:color w:val="auto"/>
              </w:rPr>
            </w:pPr>
            <w:r>
              <w:rPr>
                <w:color w:val="auto"/>
                <w:lang w:eastAsia="zh-Hans"/>
              </w:rPr>
              <w:t>原料</w:t>
            </w:r>
            <w:r>
              <w:rPr>
                <w:color w:val="auto"/>
              </w:rPr>
              <w:t>在经自卸汽车卸料起尘量根据《无组织排放源常用分析与估算方法》（西北铀地质，2005年10月）推荐的山西环保科研所、武汉水运工程学院提出的经验公式计算卸车过程中的粉尘产生量，具体公式为：</w:t>
            </w:r>
          </w:p>
          <w:p w14:paraId="21633E6D">
            <w:pPr>
              <w:pStyle w:val="26"/>
              <w:spacing w:after="0"/>
              <w:ind w:left="0" w:leftChars="0" w:firstLine="0" w:firstLineChars="0"/>
              <w:jc w:val="center"/>
              <w:rPr>
                <w:color w:val="auto"/>
              </w:rPr>
            </w:pPr>
            <w:r>
              <w:rPr>
                <w:color w:val="auto"/>
                <w:position w:val="-24"/>
              </w:rPr>
              <w:object>
                <v:shape id="_x0000_i1027" o:spt="75" type="#_x0000_t75" style="height:30.6pt;width:69.35pt;" o:ole="t" filled="f" o:preferrelative="t" stroked="f" coordsize="21600,21600">
                  <v:path/>
                  <v:fill on="f" focussize="0,0"/>
                  <v:stroke on="f"/>
                  <v:imagedata r:id="rId13" o:title=""/>
                  <o:lock v:ext="edit" aspectratio="t"/>
                  <w10:wrap type="none"/>
                  <w10:anchorlock/>
                </v:shape>
                <o:OLEObject Type="Embed" ProgID="Equation.KSEE3" ShapeID="_x0000_i1027" DrawAspect="Content" ObjectID="_1468075727" r:id="rId12">
                  <o:LockedField>false</o:LockedField>
                </o:OLEObject>
              </w:object>
            </w:r>
          </w:p>
          <w:p w14:paraId="30371587">
            <w:pPr>
              <w:pStyle w:val="26"/>
              <w:spacing w:after="0"/>
              <w:ind w:left="0" w:leftChars="0" w:firstLine="480"/>
              <w:rPr>
                <w:color w:val="auto"/>
              </w:rPr>
            </w:pPr>
            <w:r>
              <w:rPr>
                <w:color w:val="auto"/>
              </w:rPr>
              <w:t>式中：Q——自卸汽车卸料起尘量，(g/次)；</w:t>
            </w:r>
          </w:p>
          <w:p w14:paraId="123EA227">
            <w:pPr>
              <w:pStyle w:val="26"/>
              <w:spacing w:after="0"/>
              <w:ind w:left="0" w:leftChars="0" w:firstLine="480"/>
              <w:rPr>
                <w:color w:val="auto"/>
              </w:rPr>
            </w:pPr>
            <w:r>
              <w:rPr>
                <w:color w:val="auto"/>
              </w:rPr>
              <w:t>u——平均风速（m/s），项目区多年平均风速按</w:t>
            </w:r>
            <w:r>
              <w:rPr>
                <w:rFonts w:hint="eastAsia"/>
                <w:color w:val="auto"/>
                <w:lang w:val="en-US" w:eastAsia="zh-CN"/>
              </w:rPr>
              <w:t>2.5</w:t>
            </w:r>
            <w:r>
              <w:rPr>
                <w:color w:val="auto"/>
              </w:rPr>
              <w:t>m/s；</w:t>
            </w:r>
          </w:p>
          <w:p w14:paraId="7F5443EA">
            <w:pPr>
              <w:pStyle w:val="26"/>
              <w:spacing w:after="0"/>
              <w:ind w:left="0" w:leftChars="0" w:firstLine="480"/>
              <w:rPr>
                <w:color w:val="auto"/>
              </w:rPr>
            </w:pPr>
            <w:r>
              <w:rPr>
                <w:color w:val="auto"/>
              </w:rPr>
              <w:t>M——汽车卸料量（t），20t。</w:t>
            </w:r>
          </w:p>
          <w:p w14:paraId="01A20006">
            <w:pPr>
              <w:spacing w:line="360" w:lineRule="auto"/>
              <w:ind w:firstLine="480" w:firstLineChars="200"/>
              <w:rPr>
                <w:bCs/>
                <w:color w:val="auto"/>
                <w:spacing w:val="-10"/>
                <w:sz w:val="24"/>
              </w:rPr>
            </w:pPr>
            <w:r>
              <w:rPr>
                <w:color w:val="auto"/>
                <w:sz w:val="24"/>
              </w:rPr>
              <w:t>项目</w:t>
            </w:r>
            <w:r>
              <w:rPr>
                <w:rFonts w:hint="eastAsia"/>
                <w:color w:val="auto"/>
                <w:sz w:val="24"/>
                <w:lang w:val="en-US" w:eastAsia="zh-CN"/>
              </w:rPr>
              <w:t>商混生产</w:t>
            </w:r>
            <w:r>
              <w:rPr>
                <w:color w:val="auto"/>
                <w:sz w:val="24"/>
              </w:rPr>
              <w:t>砂石用量为</w:t>
            </w:r>
            <w:r>
              <w:rPr>
                <w:rFonts w:hint="eastAsia"/>
                <w:color w:val="auto"/>
                <w:sz w:val="24"/>
                <w:lang w:val="en-US" w:eastAsia="zh-CN"/>
              </w:rPr>
              <w:t>210000</w:t>
            </w:r>
            <w:r>
              <w:rPr>
                <w:color w:val="auto"/>
                <w:sz w:val="24"/>
              </w:rPr>
              <w:t>t/a。运输车辆载重以20t计，则装车次数为</w:t>
            </w:r>
            <w:r>
              <w:rPr>
                <w:rFonts w:hint="eastAsia"/>
                <w:color w:val="auto"/>
                <w:sz w:val="24"/>
                <w:lang w:val="en-US" w:eastAsia="zh-CN"/>
              </w:rPr>
              <w:t>10500</w:t>
            </w:r>
            <w:r>
              <w:rPr>
                <w:color w:val="auto"/>
                <w:sz w:val="24"/>
              </w:rPr>
              <w:t>次/年，自卸汽车卸料起尘量为</w:t>
            </w:r>
            <w:r>
              <w:rPr>
                <w:rFonts w:hint="eastAsia"/>
                <w:color w:val="auto"/>
                <w:sz w:val="24"/>
                <w:lang w:val="en-US" w:eastAsia="zh-CN"/>
              </w:rPr>
              <w:t>6.8</w:t>
            </w:r>
            <w:r>
              <w:rPr>
                <w:color w:val="auto"/>
                <w:sz w:val="24"/>
              </w:rPr>
              <w:t>g/次，则项目卸料起尘产生量为</w:t>
            </w:r>
            <w:r>
              <w:rPr>
                <w:rFonts w:hint="eastAsia"/>
                <w:color w:val="auto"/>
                <w:sz w:val="24"/>
                <w:lang w:val="en-US" w:eastAsia="zh-CN"/>
              </w:rPr>
              <w:t>0.071</w:t>
            </w:r>
            <w:r>
              <w:rPr>
                <w:color w:val="auto"/>
                <w:sz w:val="24"/>
              </w:rPr>
              <w:t>t/a。经</w:t>
            </w:r>
            <w:r>
              <w:rPr>
                <w:rFonts w:hint="eastAsia"/>
                <w:color w:val="auto"/>
                <w:sz w:val="24"/>
                <w:lang w:val="en-US" w:eastAsia="zh-CN"/>
              </w:rPr>
              <w:t>全封闭料仓及喷淋</w:t>
            </w:r>
            <w:r>
              <w:rPr>
                <w:color w:val="auto"/>
                <w:sz w:val="24"/>
              </w:rPr>
              <w:t>后，</w:t>
            </w:r>
            <w:r>
              <w:rPr>
                <w:rFonts w:hint="eastAsia"/>
                <w:color w:val="auto"/>
                <w:sz w:val="24"/>
                <w:lang w:val="en-US" w:eastAsia="zh-CN"/>
              </w:rPr>
              <w:t>根据《固体废物堆存颗粒物产排污核算系数手册》密闭堆场控制效率99</w:t>
            </w:r>
            <w:r>
              <w:rPr>
                <w:color w:val="auto"/>
                <w:sz w:val="24"/>
              </w:rPr>
              <w:t>%，颗粒物排放量</w:t>
            </w:r>
            <w:r>
              <w:rPr>
                <w:rFonts w:hint="eastAsia"/>
                <w:color w:val="auto"/>
                <w:sz w:val="24"/>
                <w:lang w:val="en-US" w:eastAsia="zh-CN"/>
              </w:rPr>
              <w:t>约</w:t>
            </w:r>
            <w:r>
              <w:rPr>
                <w:color w:val="auto"/>
                <w:sz w:val="24"/>
              </w:rPr>
              <w:t>为</w:t>
            </w:r>
            <w:r>
              <w:rPr>
                <w:rFonts w:hint="eastAsia"/>
                <w:color w:val="auto"/>
                <w:sz w:val="24"/>
                <w:lang w:val="en-US" w:eastAsia="zh-CN"/>
              </w:rPr>
              <w:t>0.0007</w:t>
            </w:r>
            <w:r>
              <w:rPr>
                <w:color w:val="auto"/>
                <w:sz w:val="24"/>
              </w:rPr>
              <w:t>t/a。</w:t>
            </w:r>
          </w:p>
          <w:p w14:paraId="78113D26">
            <w:pPr>
              <w:spacing w:line="360" w:lineRule="auto"/>
              <w:ind w:firstLine="440" w:firstLineChars="200"/>
              <w:rPr>
                <w:bCs/>
                <w:color w:val="auto"/>
                <w:spacing w:val="-10"/>
                <w:sz w:val="24"/>
              </w:rPr>
            </w:pPr>
            <w:r>
              <w:rPr>
                <w:bCs/>
                <w:color w:val="auto"/>
                <w:spacing w:val="-10"/>
                <w:sz w:val="24"/>
              </w:rPr>
              <w:t>（2）筒仓</w:t>
            </w:r>
            <w:r>
              <w:rPr>
                <w:rFonts w:hint="eastAsia"/>
                <w:bCs/>
                <w:color w:val="auto"/>
                <w:spacing w:val="-10"/>
                <w:sz w:val="24"/>
              </w:rPr>
              <w:t>颗粒物</w:t>
            </w:r>
          </w:p>
          <w:p w14:paraId="7A6897D5">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bCs/>
                <w:color w:val="auto"/>
                <w:spacing w:val="-10"/>
                <w:sz w:val="24"/>
                <w:szCs w:val="24"/>
              </w:rPr>
            </w:pPr>
            <w:r>
              <w:rPr>
                <w:bCs/>
                <w:color w:val="auto"/>
                <w:spacing w:val="-10"/>
                <w:sz w:val="24"/>
              </w:rPr>
              <w:t>粉煤灰和水泥由罐装车通过气力输送进入筒仓，</w:t>
            </w:r>
            <w:r>
              <w:rPr>
                <w:rFonts w:hint="eastAsia"/>
                <w:bCs/>
                <w:color w:val="auto"/>
                <w:spacing w:val="-10"/>
                <w:sz w:val="24"/>
              </w:rPr>
              <w:t>每个</w:t>
            </w:r>
            <w:r>
              <w:rPr>
                <w:bCs/>
                <w:color w:val="auto"/>
                <w:spacing w:val="-10"/>
                <w:sz w:val="24"/>
              </w:rPr>
              <w:t>筒仓顶部呼吸孔安装脉冲布袋除尘器，废气经筒仓布袋除尘器除尘后排放。</w:t>
            </w:r>
          </w:p>
          <w:p w14:paraId="7FBDD040">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bCs/>
                <w:color w:val="auto"/>
                <w:spacing w:val="-10"/>
                <w:sz w:val="24"/>
                <w:szCs w:val="24"/>
              </w:rPr>
            </w:pPr>
            <w:r>
              <w:rPr>
                <w:rFonts w:hint="eastAsia"/>
                <w:bCs/>
                <w:color w:val="auto"/>
                <w:spacing w:val="-10"/>
                <w:sz w:val="24"/>
              </w:rPr>
              <w:t>根据《排放源统计调查产排污核算方法和系数手册》中3021水泥制品制造（含3022砼结构构件制造、3029其他水泥类似制品制造）行业系数手册中规定，“物料输送、储存”颗粒物产污系数为0.</w:t>
            </w:r>
            <w:r>
              <w:rPr>
                <w:rFonts w:hint="eastAsia"/>
                <w:bCs/>
                <w:color w:val="auto"/>
                <w:spacing w:val="-10"/>
                <w:sz w:val="24"/>
                <w:lang w:val="en-US" w:eastAsia="zh-CN"/>
              </w:rPr>
              <w:t>12</w:t>
            </w:r>
            <w:r>
              <w:rPr>
                <w:rFonts w:hint="eastAsia"/>
                <w:bCs/>
                <w:color w:val="auto"/>
                <w:spacing w:val="-10"/>
                <w:sz w:val="24"/>
              </w:rPr>
              <w:t>kg/t产品，末端治理技术采用袋式除尘（除尘效率99.7%）。项目使用水泥</w:t>
            </w:r>
            <w:r>
              <w:rPr>
                <w:rFonts w:hint="eastAsia"/>
                <w:bCs/>
                <w:color w:val="auto"/>
                <w:spacing w:val="-10"/>
                <w:sz w:val="24"/>
                <w:lang w:val="en-US" w:eastAsia="zh-CN"/>
              </w:rPr>
              <w:t>35000</w:t>
            </w:r>
            <w:r>
              <w:rPr>
                <w:rFonts w:hint="eastAsia"/>
                <w:bCs/>
                <w:color w:val="auto"/>
                <w:spacing w:val="-10"/>
                <w:sz w:val="24"/>
              </w:rPr>
              <w:t>t/a、粉煤灰</w:t>
            </w:r>
            <w:r>
              <w:rPr>
                <w:rFonts w:hint="eastAsia"/>
                <w:bCs/>
                <w:color w:val="auto"/>
                <w:spacing w:val="-10"/>
                <w:sz w:val="24"/>
                <w:lang w:val="en-US" w:eastAsia="zh-CN"/>
              </w:rPr>
              <w:t>2800</w:t>
            </w:r>
            <w:r>
              <w:rPr>
                <w:rFonts w:hint="eastAsia"/>
                <w:bCs/>
                <w:color w:val="auto"/>
                <w:spacing w:val="-10"/>
                <w:sz w:val="24"/>
              </w:rPr>
              <w:t>t/a，则水泥筒仓颗粒物产生量</w:t>
            </w:r>
            <w:r>
              <w:rPr>
                <w:rFonts w:hint="eastAsia"/>
                <w:bCs/>
                <w:color w:val="auto"/>
                <w:spacing w:val="-10"/>
                <w:sz w:val="24"/>
                <w:lang w:val="en-US" w:eastAsia="zh-CN"/>
              </w:rPr>
              <w:t>4.2</w:t>
            </w:r>
            <w:r>
              <w:rPr>
                <w:rFonts w:hint="eastAsia"/>
                <w:bCs/>
                <w:color w:val="auto"/>
                <w:spacing w:val="-10"/>
                <w:sz w:val="24"/>
              </w:rPr>
              <w:t>t/a，颗粒物排放量</w:t>
            </w:r>
            <w:r>
              <w:rPr>
                <w:rFonts w:hint="eastAsia"/>
                <w:bCs/>
                <w:color w:val="auto"/>
                <w:spacing w:val="-10"/>
                <w:sz w:val="24"/>
                <w:lang w:val="en-US" w:eastAsia="zh-CN"/>
              </w:rPr>
              <w:t>0.013</w:t>
            </w:r>
            <w:r>
              <w:rPr>
                <w:rFonts w:hint="eastAsia"/>
                <w:bCs/>
                <w:color w:val="auto"/>
                <w:spacing w:val="-10"/>
                <w:sz w:val="24"/>
              </w:rPr>
              <w:t>t/a</w:t>
            </w:r>
            <w:r>
              <w:rPr>
                <w:rFonts w:hint="eastAsia"/>
                <w:bCs/>
                <w:color w:val="auto"/>
                <w:spacing w:val="-10"/>
                <w:sz w:val="24"/>
                <w:lang w:eastAsia="zh-CN"/>
              </w:rPr>
              <w:t>；</w:t>
            </w:r>
            <w:r>
              <w:rPr>
                <w:rFonts w:hint="eastAsia"/>
                <w:bCs/>
                <w:color w:val="auto"/>
                <w:spacing w:val="-10"/>
                <w:sz w:val="24"/>
              </w:rPr>
              <w:t>粉煤灰</w:t>
            </w:r>
            <w:r>
              <w:rPr>
                <w:rFonts w:hint="eastAsia"/>
                <w:bCs/>
                <w:color w:val="auto"/>
                <w:spacing w:val="-10"/>
                <w:sz w:val="24"/>
                <w:lang w:val="en-US" w:eastAsia="zh-CN"/>
              </w:rPr>
              <w:t>筒仓</w:t>
            </w:r>
            <w:r>
              <w:rPr>
                <w:rFonts w:hint="eastAsia"/>
                <w:bCs/>
                <w:color w:val="auto"/>
                <w:spacing w:val="-10"/>
                <w:sz w:val="24"/>
              </w:rPr>
              <w:t>颗粒物产生量</w:t>
            </w:r>
            <w:r>
              <w:rPr>
                <w:rFonts w:hint="eastAsia"/>
                <w:bCs/>
                <w:color w:val="auto"/>
                <w:spacing w:val="-10"/>
                <w:sz w:val="24"/>
                <w:lang w:val="en-US" w:eastAsia="zh-CN"/>
              </w:rPr>
              <w:t>0.34</w:t>
            </w:r>
            <w:r>
              <w:rPr>
                <w:rFonts w:hint="eastAsia"/>
                <w:bCs/>
                <w:color w:val="auto"/>
                <w:spacing w:val="-10"/>
                <w:sz w:val="24"/>
              </w:rPr>
              <w:t>t/a，颗粒物排放量</w:t>
            </w:r>
            <w:r>
              <w:rPr>
                <w:rFonts w:hint="eastAsia"/>
                <w:bCs/>
                <w:color w:val="auto"/>
                <w:spacing w:val="-10"/>
                <w:sz w:val="24"/>
                <w:lang w:val="en-US" w:eastAsia="zh-CN"/>
              </w:rPr>
              <w:t>0.001</w:t>
            </w:r>
            <w:r>
              <w:rPr>
                <w:rFonts w:hint="eastAsia"/>
                <w:bCs/>
                <w:color w:val="auto"/>
                <w:spacing w:val="-10"/>
                <w:sz w:val="24"/>
              </w:rPr>
              <w:t>t/a。</w:t>
            </w:r>
          </w:p>
          <w:p w14:paraId="4DC5F179">
            <w:pPr>
              <w:spacing w:line="360" w:lineRule="auto"/>
              <w:ind w:firstLine="440" w:firstLineChars="200"/>
              <w:rPr>
                <w:bCs/>
                <w:color w:val="auto"/>
                <w:spacing w:val="-10"/>
                <w:sz w:val="24"/>
              </w:rPr>
            </w:pPr>
            <w:r>
              <w:rPr>
                <w:rFonts w:hint="eastAsia"/>
                <w:bCs/>
                <w:color w:val="auto"/>
                <w:spacing w:val="-10"/>
                <w:sz w:val="24"/>
              </w:rPr>
              <w:t>（3）</w:t>
            </w:r>
            <w:r>
              <w:rPr>
                <w:rFonts w:hint="eastAsia"/>
                <w:bCs/>
                <w:color w:val="auto"/>
                <w:spacing w:val="-10"/>
                <w:sz w:val="24"/>
                <w:lang w:val="en-US" w:eastAsia="zh-CN"/>
              </w:rPr>
              <w:t>砂石</w:t>
            </w:r>
            <w:r>
              <w:rPr>
                <w:rFonts w:hint="eastAsia"/>
                <w:bCs/>
                <w:color w:val="auto"/>
                <w:spacing w:val="-10"/>
                <w:sz w:val="24"/>
              </w:rPr>
              <w:t>输送颗粒物</w:t>
            </w:r>
          </w:p>
          <w:p w14:paraId="4F4D42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10"/>
                <w:sz w:val="24"/>
                <w:szCs w:val="24"/>
              </w:rPr>
            </w:pPr>
            <w:r>
              <w:rPr>
                <w:rFonts w:hint="eastAsia"/>
                <w:color w:val="auto"/>
                <w:sz w:val="24"/>
                <w:lang w:val="en-US" w:eastAsia="zh-CN"/>
              </w:rPr>
              <w:t>项目生产过程中砂石料通过密闭传输带运输至搅拌机，产生的粉尘自然沉降，传输带输送过程产生的粉尘对环境影响程度较小，本次环评不进行计量分析。</w:t>
            </w:r>
          </w:p>
          <w:p w14:paraId="4787919E">
            <w:pPr>
              <w:tabs>
                <w:tab w:val="left" w:pos="428"/>
              </w:tabs>
              <w:spacing w:line="360" w:lineRule="auto"/>
              <w:ind w:firstLine="440" w:firstLineChars="200"/>
              <w:rPr>
                <w:rFonts w:hint="eastAsia"/>
                <w:bCs/>
                <w:color w:val="auto"/>
                <w:spacing w:val="-10"/>
                <w:sz w:val="24"/>
              </w:rPr>
            </w:pPr>
            <w:r>
              <w:rPr>
                <w:rFonts w:hint="eastAsia"/>
                <w:bCs/>
                <w:color w:val="auto"/>
                <w:spacing w:val="-10"/>
                <w:sz w:val="24"/>
              </w:rPr>
              <w:t>（4）搅拌颗粒物</w:t>
            </w:r>
          </w:p>
          <w:p w14:paraId="1C846AC4">
            <w:pPr>
              <w:autoSpaceDE w:val="0"/>
              <w:autoSpaceDN w:val="0"/>
              <w:adjustRightInd w:val="0"/>
              <w:snapToGrid w:val="0"/>
              <w:spacing w:line="360" w:lineRule="auto"/>
              <w:ind w:firstLine="440" w:firstLineChars="200"/>
              <w:rPr>
                <w:rFonts w:hint="eastAsia"/>
                <w:color w:val="auto"/>
                <w:sz w:val="24"/>
              </w:rPr>
            </w:pPr>
            <w:r>
              <w:rPr>
                <w:rFonts w:hint="eastAsia"/>
                <w:bCs/>
                <w:color w:val="auto"/>
                <w:spacing w:val="-10"/>
                <w:sz w:val="24"/>
              </w:rPr>
              <w:t>原料经皮带传输进入</w:t>
            </w:r>
            <w:r>
              <w:rPr>
                <w:rFonts w:hint="eastAsia"/>
                <w:bCs/>
                <w:color w:val="auto"/>
                <w:spacing w:val="-10"/>
                <w:sz w:val="24"/>
                <w:lang w:val="en-US" w:eastAsia="zh-CN"/>
              </w:rPr>
              <w:t>密闭</w:t>
            </w:r>
            <w:r>
              <w:rPr>
                <w:rFonts w:hint="eastAsia"/>
                <w:bCs/>
                <w:color w:val="auto"/>
                <w:spacing w:val="-10"/>
                <w:sz w:val="24"/>
              </w:rPr>
              <w:t>搅拌主机</w:t>
            </w:r>
            <w:r>
              <w:rPr>
                <w:rFonts w:hint="eastAsia"/>
                <w:bCs/>
                <w:color w:val="auto"/>
                <w:spacing w:val="-10"/>
                <w:sz w:val="24"/>
                <w:lang w:eastAsia="zh-CN"/>
              </w:rPr>
              <w:t>，</w:t>
            </w:r>
            <w:r>
              <w:rPr>
                <w:rFonts w:hint="eastAsia"/>
                <w:bCs/>
                <w:color w:val="auto"/>
                <w:spacing w:val="-10"/>
                <w:sz w:val="24"/>
                <w:lang w:val="en-US" w:eastAsia="zh-CN"/>
              </w:rPr>
              <w:t>少量</w:t>
            </w:r>
            <w:r>
              <w:rPr>
                <w:rFonts w:hint="eastAsia"/>
                <w:color w:val="auto"/>
                <w:sz w:val="24"/>
              </w:rPr>
              <w:t>的粉尘以无组织排放。</w:t>
            </w:r>
          </w:p>
          <w:p w14:paraId="3C5D2D4B">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bCs/>
                <w:color w:val="auto"/>
                <w:spacing w:val="-10"/>
                <w:sz w:val="24"/>
                <w:szCs w:val="24"/>
              </w:rPr>
            </w:pPr>
            <w:r>
              <w:rPr>
                <w:rFonts w:hint="eastAsia"/>
                <w:bCs/>
                <w:color w:val="auto"/>
                <w:spacing w:val="-10"/>
                <w:sz w:val="24"/>
              </w:rPr>
              <w:t>根据《排放源统计调查产排污核算方法和系数手册》中3021水泥制品制造（含3022砼结构构件制造、3029其他水泥类似制品制造）行业系数手册中规定，“物料混合搅拌”产污系数为0.1</w:t>
            </w:r>
            <w:r>
              <w:rPr>
                <w:rFonts w:hint="eastAsia"/>
                <w:bCs/>
                <w:color w:val="auto"/>
                <w:spacing w:val="-10"/>
                <w:sz w:val="24"/>
                <w:lang w:val="en-US" w:eastAsia="zh-CN"/>
              </w:rPr>
              <w:t>3</w:t>
            </w:r>
            <w:r>
              <w:rPr>
                <w:rFonts w:hint="eastAsia"/>
                <w:bCs/>
                <w:color w:val="auto"/>
                <w:spacing w:val="-10"/>
                <w:sz w:val="24"/>
              </w:rPr>
              <w:t>kg/t产品，颗粒物</w:t>
            </w:r>
            <w:r>
              <w:rPr>
                <w:rFonts w:hint="eastAsia"/>
                <w:bCs/>
                <w:color w:val="auto"/>
                <w:spacing w:val="-10"/>
                <w:sz w:val="24"/>
                <w:lang w:val="en-US" w:eastAsia="zh-CN"/>
              </w:rPr>
              <w:t>经密闭式搅拌楼进行搅拌</w:t>
            </w:r>
            <w:r>
              <w:rPr>
                <w:rFonts w:hint="eastAsia"/>
                <w:bCs/>
                <w:color w:val="auto"/>
                <w:spacing w:val="-10"/>
                <w:sz w:val="24"/>
              </w:rPr>
              <w:t>。项目使用原料</w:t>
            </w:r>
            <w:r>
              <w:rPr>
                <w:rFonts w:hint="eastAsia"/>
                <w:bCs/>
                <w:color w:val="auto"/>
                <w:spacing w:val="-10"/>
                <w:sz w:val="24"/>
                <w:lang w:val="en-US" w:eastAsia="zh-CN"/>
              </w:rPr>
              <w:t>247800</w:t>
            </w:r>
            <w:r>
              <w:rPr>
                <w:rFonts w:hint="eastAsia"/>
                <w:bCs/>
                <w:color w:val="auto"/>
                <w:spacing w:val="-10"/>
                <w:sz w:val="24"/>
              </w:rPr>
              <w:t>t/a</w:t>
            </w:r>
            <w:r>
              <w:rPr>
                <w:rFonts w:hint="eastAsia"/>
                <w:bCs/>
                <w:color w:val="auto"/>
                <w:spacing w:val="-10"/>
                <w:sz w:val="24"/>
                <w:lang w:eastAsia="zh-CN"/>
              </w:rPr>
              <w:t>（</w:t>
            </w:r>
            <w:r>
              <w:rPr>
                <w:rFonts w:hint="eastAsia"/>
                <w:bCs/>
                <w:color w:val="auto"/>
                <w:spacing w:val="-10"/>
                <w:sz w:val="24"/>
                <w:lang w:val="en-US" w:eastAsia="zh-CN"/>
              </w:rPr>
              <w:t>以水泥、砂石、粉煤灰量计</w:t>
            </w:r>
            <w:r>
              <w:rPr>
                <w:rFonts w:hint="eastAsia"/>
                <w:bCs/>
                <w:color w:val="auto"/>
                <w:spacing w:val="-10"/>
                <w:sz w:val="24"/>
                <w:lang w:eastAsia="zh-CN"/>
              </w:rPr>
              <w:t>）</w:t>
            </w:r>
            <w:r>
              <w:rPr>
                <w:rFonts w:hint="eastAsia"/>
                <w:bCs/>
                <w:color w:val="auto"/>
                <w:spacing w:val="-10"/>
                <w:sz w:val="24"/>
              </w:rPr>
              <w:t>，</w:t>
            </w:r>
            <w:r>
              <w:rPr>
                <w:rFonts w:hint="eastAsia"/>
                <w:bCs/>
                <w:color w:val="auto"/>
                <w:spacing w:val="-10"/>
                <w:sz w:val="24"/>
                <w:lang w:val="en-US" w:eastAsia="zh-CN"/>
              </w:rPr>
              <w:t>颗粒物产生量约32.21t/a。采用全封闭搅拌楼和湿法搅拌可降尘80%，</w:t>
            </w:r>
            <w:r>
              <w:rPr>
                <w:rFonts w:hint="eastAsia"/>
                <w:bCs/>
                <w:color w:val="auto"/>
                <w:spacing w:val="-10"/>
                <w:sz w:val="24"/>
              </w:rPr>
              <w:t>则搅拌工序颗粒物产生量</w:t>
            </w:r>
            <w:r>
              <w:rPr>
                <w:rFonts w:hint="eastAsia"/>
                <w:bCs/>
                <w:color w:val="auto"/>
                <w:spacing w:val="-10"/>
                <w:sz w:val="24"/>
                <w:lang w:val="en-US" w:eastAsia="zh-CN"/>
              </w:rPr>
              <w:t>6.44</w:t>
            </w:r>
            <w:r>
              <w:rPr>
                <w:rFonts w:hint="eastAsia"/>
                <w:bCs/>
                <w:color w:val="auto"/>
                <w:spacing w:val="-10"/>
                <w:sz w:val="24"/>
              </w:rPr>
              <w:t>t/a。</w:t>
            </w:r>
          </w:p>
          <w:p w14:paraId="387C8D8D">
            <w:pPr>
              <w:spacing w:line="360" w:lineRule="auto"/>
              <w:ind w:firstLine="440" w:firstLineChars="200"/>
              <w:rPr>
                <w:bCs/>
                <w:color w:val="auto"/>
                <w:spacing w:val="-10"/>
                <w:sz w:val="24"/>
              </w:rPr>
            </w:pPr>
            <w:r>
              <w:rPr>
                <w:rFonts w:hint="eastAsia"/>
                <w:bCs/>
                <w:color w:val="auto"/>
                <w:spacing w:val="-10"/>
                <w:sz w:val="24"/>
              </w:rPr>
              <w:t>（5）车辆运输起尘</w:t>
            </w:r>
          </w:p>
          <w:p w14:paraId="4C48EB00">
            <w:pPr>
              <w:snapToGrid/>
              <w:spacing w:before="0" w:after="0" w:line="360" w:lineRule="auto"/>
              <w:ind w:right="0" w:firstLine="440" w:firstLineChars="200"/>
              <w:rPr>
                <w:bCs/>
                <w:color w:val="auto"/>
                <w:spacing w:val="-10"/>
                <w:sz w:val="24"/>
                <w:szCs w:val="24"/>
              </w:rPr>
            </w:pPr>
            <w:r>
              <w:rPr>
                <w:rFonts w:hint="eastAsia"/>
                <w:bCs/>
                <w:color w:val="auto"/>
                <w:spacing w:val="-10"/>
                <w:sz w:val="24"/>
                <w:szCs w:val="24"/>
              </w:rPr>
              <w:t>项目运输车辆在行驶过程中产生扬尘。在道路完全干燥的情况下，按下列经验公式计算汽车运输起尘量：</w:t>
            </w:r>
          </w:p>
          <w:p w14:paraId="06F15B94">
            <w:pPr>
              <w:spacing w:line="360" w:lineRule="auto"/>
              <w:jc w:val="center"/>
              <w:rPr>
                <w:rFonts w:hint="eastAsia"/>
                <w:bCs/>
                <w:color w:val="auto"/>
                <w:spacing w:val="-10"/>
                <w:sz w:val="24"/>
              </w:rPr>
            </w:pPr>
            <w:r>
              <w:rPr>
                <w:rFonts w:hint="eastAsia"/>
                <w:bCs/>
                <w:color w:val="auto"/>
                <w:spacing w:val="-10"/>
                <w:position w:val="-42"/>
                <w:sz w:val="24"/>
              </w:rPr>
              <w:object>
                <v:shape id="_x0000_i1028" o:spt="75" type="#_x0000_t75" style="height:51pt;width:181pt;" o:ole="t" filled="f" o:preferrelative="t" stroked="f" coordsize="21600,21600">
                  <v:path/>
                  <v:fill on="f" focussize="0,0"/>
                  <v:stroke on="f"/>
                  <v:imagedata r:id="rId15" o:title=""/>
                  <o:lock v:ext="edit" aspectratio="t"/>
                  <w10:wrap type="none"/>
                  <w10:anchorlock/>
                </v:shape>
                <o:OLEObject Type="Embed" ProgID="Equation.KSEE3" ShapeID="_x0000_i1028" DrawAspect="Content" ObjectID="_1468075728" r:id="rId14">
                  <o:LockedField>false</o:LockedField>
                </o:OLEObject>
              </w:object>
            </w:r>
          </w:p>
          <w:p w14:paraId="581F7DA0">
            <w:pPr>
              <w:pStyle w:val="26"/>
              <w:spacing w:after="0"/>
              <w:ind w:left="0" w:leftChars="0" w:firstLine="440"/>
              <w:rPr>
                <w:bCs/>
                <w:color w:val="auto"/>
                <w:spacing w:val="-10"/>
              </w:rPr>
            </w:pPr>
            <w:r>
              <w:rPr>
                <w:rFonts w:hint="eastAsia"/>
                <w:bCs/>
                <w:color w:val="auto"/>
                <w:spacing w:val="-10"/>
              </w:rPr>
              <w:t>式中：Q——每辆汽车行驶扬尘量，kg/km</w:t>
            </w:r>
            <w:r>
              <w:rPr>
                <w:bCs/>
                <w:color w:val="auto"/>
                <w:spacing w:val="-10"/>
              </w:rPr>
              <w:t>·</w:t>
            </w:r>
            <w:r>
              <w:rPr>
                <w:rFonts w:hint="eastAsia"/>
                <w:bCs/>
                <w:color w:val="auto"/>
                <w:spacing w:val="-10"/>
              </w:rPr>
              <w:t>辆；</w:t>
            </w:r>
          </w:p>
          <w:p w14:paraId="2E47B5C4">
            <w:pPr>
              <w:snapToGrid/>
              <w:spacing w:before="0" w:after="0" w:line="360" w:lineRule="auto"/>
              <w:ind w:right="0" w:firstLine="440" w:firstLineChars="200"/>
              <w:rPr>
                <w:bCs/>
                <w:color w:val="auto"/>
                <w:spacing w:val="-10"/>
                <w:sz w:val="24"/>
                <w:szCs w:val="24"/>
              </w:rPr>
            </w:pPr>
            <w:r>
              <w:rPr>
                <w:rFonts w:hint="eastAsia"/>
                <w:bCs/>
                <w:color w:val="auto"/>
                <w:spacing w:val="-10"/>
                <w:sz w:val="24"/>
                <w:szCs w:val="24"/>
              </w:rPr>
              <w:t>V——汽车速度，km/h；</w:t>
            </w:r>
          </w:p>
          <w:p w14:paraId="1DB24059">
            <w:pPr>
              <w:spacing w:line="360" w:lineRule="auto"/>
              <w:ind w:firstLine="480" w:firstLineChars="200"/>
              <w:rPr>
                <w:color w:val="auto"/>
                <w:sz w:val="24"/>
              </w:rPr>
            </w:pPr>
            <w:r>
              <w:rPr>
                <w:rFonts w:hint="eastAsia"/>
                <w:color w:val="auto"/>
                <w:sz w:val="24"/>
              </w:rPr>
              <w:t>W——汽车重量，t；</w:t>
            </w:r>
          </w:p>
          <w:p w14:paraId="2832F6EB">
            <w:pPr>
              <w:spacing w:line="360" w:lineRule="auto"/>
              <w:ind w:firstLine="440" w:firstLineChars="200"/>
              <w:rPr>
                <w:bCs/>
                <w:color w:val="auto"/>
                <w:spacing w:val="-10"/>
                <w:sz w:val="24"/>
              </w:rPr>
            </w:pPr>
            <w:r>
              <w:rPr>
                <w:rFonts w:hint="eastAsia"/>
                <w:bCs/>
                <w:color w:val="auto"/>
                <w:spacing w:val="-10"/>
                <w:sz w:val="24"/>
              </w:rPr>
              <w:t>P——道路表面粉尘量，kg/m</w:t>
            </w:r>
            <w:r>
              <w:rPr>
                <w:rFonts w:hint="eastAsia"/>
                <w:bCs/>
                <w:color w:val="auto"/>
                <w:spacing w:val="-10"/>
                <w:sz w:val="24"/>
                <w:vertAlign w:val="superscript"/>
              </w:rPr>
              <w:t>2</w:t>
            </w:r>
            <w:r>
              <w:rPr>
                <w:rFonts w:hint="eastAsia"/>
                <w:bCs/>
                <w:color w:val="auto"/>
                <w:spacing w:val="-10"/>
                <w:sz w:val="24"/>
              </w:rPr>
              <w:t>。</w:t>
            </w:r>
          </w:p>
          <w:p w14:paraId="04392724">
            <w:pPr>
              <w:pStyle w:val="26"/>
              <w:spacing w:after="0"/>
              <w:ind w:left="0" w:leftChars="0" w:firstLine="440"/>
              <w:rPr>
                <w:bCs/>
                <w:color w:val="auto"/>
                <w:spacing w:val="-10"/>
              </w:rPr>
            </w:pPr>
            <w:r>
              <w:rPr>
                <w:rFonts w:hint="eastAsia"/>
                <w:bCs/>
                <w:color w:val="auto"/>
                <w:spacing w:val="-10"/>
              </w:rPr>
              <w:t>项目运输车辆在厂区行驶距离按100m计，项目生产规模为</w:t>
            </w:r>
            <w:r>
              <w:rPr>
                <w:rFonts w:hint="eastAsia"/>
                <w:bCs/>
                <w:color w:val="auto"/>
                <w:spacing w:val="-10"/>
                <w:lang w:val="en-US" w:eastAsia="zh-CN"/>
              </w:rPr>
              <w:t>12</w:t>
            </w:r>
            <w:r>
              <w:rPr>
                <w:rFonts w:hint="eastAsia"/>
                <w:bCs/>
                <w:color w:val="auto"/>
                <w:spacing w:val="-10"/>
              </w:rPr>
              <w:t>万m</w:t>
            </w:r>
            <w:r>
              <w:rPr>
                <w:rFonts w:hint="eastAsia"/>
                <w:bCs/>
                <w:color w:val="auto"/>
                <w:spacing w:val="-10"/>
                <w:vertAlign w:val="superscript"/>
              </w:rPr>
              <w:t>3</w:t>
            </w:r>
            <w:r>
              <w:rPr>
                <w:rFonts w:hint="eastAsia"/>
                <w:bCs/>
                <w:color w:val="auto"/>
                <w:spacing w:val="-10"/>
              </w:rPr>
              <w:t>/a，则平均运输量约为</w:t>
            </w:r>
            <w:r>
              <w:rPr>
                <w:rFonts w:hint="eastAsia"/>
                <w:bCs/>
                <w:color w:val="auto"/>
                <w:spacing w:val="-10"/>
                <w:lang w:val="en-US" w:eastAsia="zh-CN"/>
              </w:rPr>
              <w:t>400</w:t>
            </w:r>
            <w:r>
              <w:rPr>
                <w:rFonts w:hint="eastAsia"/>
                <w:bCs/>
                <w:color w:val="auto"/>
                <w:spacing w:val="-10"/>
              </w:rPr>
              <w:t>m</w:t>
            </w:r>
            <w:r>
              <w:rPr>
                <w:rFonts w:hint="eastAsia"/>
                <w:bCs/>
                <w:color w:val="auto"/>
                <w:spacing w:val="-10"/>
                <w:vertAlign w:val="superscript"/>
              </w:rPr>
              <w:t>3</w:t>
            </w:r>
            <w:r>
              <w:rPr>
                <w:rFonts w:hint="eastAsia"/>
                <w:bCs/>
                <w:color w:val="auto"/>
                <w:spacing w:val="-10"/>
              </w:rPr>
              <w:t>/d，按单次运输量最大为</w:t>
            </w:r>
            <w:r>
              <w:rPr>
                <w:rFonts w:hint="eastAsia"/>
                <w:bCs/>
                <w:color w:val="auto"/>
                <w:spacing w:val="-10"/>
                <w:lang w:val="en-US" w:eastAsia="zh-CN"/>
              </w:rPr>
              <w:t>1</w:t>
            </w:r>
            <w:r>
              <w:rPr>
                <w:rFonts w:hint="eastAsia"/>
                <w:bCs/>
                <w:color w:val="auto"/>
                <w:spacing w:val="-10"/>
              </w:rPr>
              <w:t>0m</w:t>
            </w:r>
            <w:r>
              <w:rPr>
                <w:rFonts w:hint="eastAsia"/>
                <w:bCs/>
                <w:color w:val="auto"/>
                <w:spacing w:val="-10"/>
                <w:vertAlign w:val="superscript"/>
              </w:rPr>
              <w:t>3</w:t>
            </w:r>
            <w:r>
              <w:rPr>
                <w:rFonts w:hint="eastAsia"/>
                <w:bCs/>
                <w:color w:val="auto"/>
                <w:spacing w:val="-10"/>
              </w:rPr>
              <w:t>计算，每天运输</w:t>
            </w:r>
            <w:r>
              <w:rPr>
                <w:rFonts w:hint="eastAsia"/>
                <w:bCs/>
                <w:color w:val="auto"/>
                <w:spacing w:val="-10"/>
                <w:lang w:val="en-US" w:eastAsia="zh-CN"/>
              </w:rPr>
              <w:t>40</w:t>
            </w:r>
            <w:r>
              <w:rPr>
                <w:rFonts w:hint="eastAsia"/>
                <w:bCs/>
                <w:color w:val="auto"/>
                <w:spacing w:val="-10"/>
              </w:rPr>
              <w:t>车次，故空车、重载最大量分别以</w:t>
            </w:r>
            <w:r>
              <w:rPr>
                <w:rFonts w:hint="eastAsia"/>
                <w:bCs/>
                <w:color w:val="auto"/>
                <w:spacing w:val="-10"/>
                <w:lang w:val="en-US" w:eastAsia="zh-CN"/>
              </w:rPr>
              <w:t>40辆</w:t>
            </w:r>
            <w:r>
              <w:rPr>
                <w:bCs/>
                <w:color w:val="auto"/>
                <w:spacing w:val="-10"/>
              </w:rPr>
              <w:t>·</w:t>
            </w:r>
            <w:r>
              <w:rPr>
                <w:rFonts w:hint="eastAsia"/>
                <w:bCs/>
                <w:color w:val="auto"/>
                <w:spacing w:val="-10"/>
              </w:rPr>
              <w:t>次计，按空车重10t，重车载重40t，厂区速度为10km/h。通过1km路面时其在不同路面清洁度下扬尘量见表4-</w:t>
            </w:r>
            <w:r>
              <w:rPr>
                <w:rFonts w:hint="eastAsia"/>
                <w:bCs/>
                <w:color w:val="auto"/>
                <w:spacing w:val="-10"/>
                <w:lang w:val="en-US" w:eastAsia="zh-CN"/>
              </w:rPr>
              <w:t>1</w:t>
            </w:r>
            <w:r>
              <w:rPr>
                <w:rFonts w:hint="eastAsia"/>
                <w:bCs/>
                <w:color w:val="auto"/>
                <w:spacing w:val="-10"/>
              </w:rPr>
              <w:t>。</w:t>
            </w:r>
          </w:p>
          <w:p w14:paraId="6F1D4206">
            <w:pPr>
              <w:snapToGrid/>
              <w:spacing w:before="0" w:after="0" w:line="240" w:lineRule="auto"/>
              <w:ind w:right="0" w:firstLine="0" w:firstLineChars="0"/>
              <w:jc w:val="center"/>
              <w:rPr>
                <w:b/>
                <w:color w:val="auto"/>
                <w:spacing w:val="-10"/>
                <w:szCs w:val="21"/>
              </w:rPr>
            </w:pPr>
            <w:r>
              <w:rPr>
                <w:rFonts w:hint="eastAsia"/>
                <w:b/>
                <w:color w:val="auto"/>
                <w:spacing w:val="-10"/>
                <w:szCs w:val="21"/>
              </w:rPr>
              <w:t>表4-</w:t>
            </w:r>
            <w:r>
              <w:rPr>
                <w:rFonts w:hint="eastAsia"/>
                <w:b/>
                <w:color w:val="auto"/>
                <w:spacing w:val="-10"/>
                <w:szCs w:val="21"/>
                <w:lang w:val="en-US" w:eastAsia="zh-CN"/>
              </w:rPr>
              <w:t>1</w:t>
            </w:r>
            <w:r>
              <w:rPr>
                <w:rFonts w:hint="eastAsia"/>
                <w:b/>
                <w:color w:val="auto"/>
                <w:spacing w:val="-10"/>
                <w:szCs w:val="21"/>
              </w:rPr>
              <w:t xml:space="preserve">  车辆运输扬尘量  单位：kg/km</w:t>
            </w:r>
            <w:r>
              <w:rPr>
                <w:b/>
                <w:color w:val="auto"/>
                <w:spacing w:val="-10"/>
                <w:szCs w:val="21"/>
              </w:rPr>
              <w:t>·</w:t>
            </w:r>
            <w:r>
              <w:rPr>
                <w:rFonts w:hint="eastAsia"/>
                <w:b/>
                <w:color w:val="auto"/>
                <w:spacing w:val="-10"/>
                <w:szCs w:val="21"/>
              </w:rPr>
              <w:t>辆</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178"/>
              <w:gridCol w:w="1323"/>
              <w:gridCol w:w="1323"/>
              <w:gridCol w:w="1327"/>
              <w:gridCol w:w="1328"/>
            </w:tblGrid>
            <w:tr w14:paraId="72EA3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23" w:type="pct"/>
                  <w:noWrap w:val="0"/>
                  <w:vAlign w:val="center"/>
                </w:tcPr>
                <w:p w14:paraId="11B88482">
                  <w:pPr>
                    <w:snapToGrid w:val="0"/>
                    <w:jc w:val="center"/>
                    <w:rPr>
                      <w:rFonts w:hint="eastAsia"/>
                      <w:b/>
                      <w:bCs w:val="0"/>
                      <w:color w:val="auto"/>
                      <w:spacing w:val="-10"/>
                      <w:szCs w:val="21"/>
                    </w:rPr>
                  </w:pPr>
                  <w:r>
                    <w:rPr>
                      <w:rFonts w:hint="eastAsia"/>
                      <w:b/>
                      <w:bCs w:val="0"/>
                      <w:color w:val="auto"/>
                      <w:spacing w:val="-10"/>
                      <w:szCs w:val="21"/>
                    </w:rPr>
                    <w:t>车况</w:t>
                  </w:r>
                </w:p>
                <w:p w14:paraId="179773F1">
                  <w:pPr>
                    <w:jc w:val="center"/>
                    <w:rPr>
                      <w:rFonts w:hint="eastAsia"/>
                      <w:b/>
                      <w:bCs w:val="0"/>
                      <w:color w:val="auto"/>
                      <w:spacing w:val="-10"/>
                      <w:szCs w:val="21"/>
                    </w:rPr>
                  </w:pPr>
                  <w:r>
                    <w:rPr>
                      <w:rFonts w:hint="eastAsia"/>
                      <w:b/>
                      <w:bCs w:val="0"/>
                      <w:color w:val="auto"/>
                      <w:spacing w:val="-10"/>
                      <w:szCs w:val="21"/>
                    </w:rPr>
                    <w:t>路况</w:t>
                  </w:r>
                </w:p>
              </w:tc>
              <w:tc>
                <w:tcPr>
                  <w:tcW w:w="741" w:type="pct"/>
                  <w:noWrap w:val="0"/>
                  <w:vAlign w:val="center"/>
                </w:tcPr>
                <w:p w14:paraId="6C6E2A4B">
                  <w:pPr>
                    <w:jc w:val="center"/>
                    <w:rPr>
                      <w:b/>
                      <w:bCs w:val="0"/>
                      <w:color w:val="auto"/>
                      <w:spacing w:val="-10"/>
                      <w:szCs w:val="21"/>
                    </w:rPr>
                  </w:pPr>
                  <w:r>
                    <w:rPr>
                      <w:rFonts w:hint="eastAsia"/>
                      <w:b/>
                      <w:bCs w:val="0"/>
                      <w:color w:val="auto"/>
                      <w:spacing w:val="-10"/>
                      <w:szCs w:val="21"/>
                    </w:rPr>
                    <w:t>0.1（kg/m</w:t>
                  </w:r>
                  <w:r>
                    <w:rPr>
                      <w:rFonts w:hint="eastAsia"/>
                      <w:b/>
                      <w:bCs w:val="0"/>
                      <w:color w:val="auto"/>
                      <w:spacing w:val="-10"/>
                      <w:szCs w:val="21"/>
                      <w:vertAlign w:val="superscript"/>
                    </w:rPr>
                    <w:t>2</w:t>
                  </w:r>
                  <w:r>
                    <w:rPr>
                      <w:rFonts w:hint="eastAsia"/>
                      <w:b/>
                      <w:bCs w:val="0"/>
                      <w:color w:val="auto"/>
                      <w:spacing w:val="-10"/>
                      <w:szCs w:val="21"/>
                    </w:rPr>
                    <w:t>）</w:t>
                  </w:r>
                </w:p>
              </w:tc>
              <w:tc>
                <w:tcPr>
                  <w:tcW w:w="832" w:type="pct"/>
                  <w:noWrap w:val="0"/>
                  <w:vAlign w:val="center"/>
                </w:tcPr>
                <w:p w14:paraId="6256773B">
                  <w:pPr>
                    <w:jc w:val="center"/>
                    <w:rPr>
                      <w:b/>
                      <w:bCs w:val="0"/>
                      <w:color w:val="auto"/>
                      <w:spacing w:val="-10"/>
                      <w:szCs w:val="21"/>
                    </w:rPr>
                  </w:pPr>
                  <w:r>
                    <w:rPr>
                      <w:rFonts w:hint="eastAsia"/>
                      <w:b/>
                      <w:bCs w:val="0"/>
                      <w:color w:val="auto"/>
                      <w:spacing w:val="-10"/>
                      <w:szCs w:val="21"/>
                    </w:rPr>
                    <w:t>0.2（kg/m</w:t>
                  </w:r>
                  <w:r>
                    <w:rPr>
                      <w:rFonts w:hint="eastAsia"/>
                      <w:b/>
                      <w:bCs w:val="0"/>
                      <w:color w:val="auto"/>
                      <w:spacing w:val="-10"/>
                      <w:szCs w:val="21"/>
                      <w:vertAlign w:val="superscript"/>
                    </w:rPr>
                    <w:t>2</w:t>
                  </w:r>
                  <w:r>
                    <w:rPr>
                      <w:rFonts w:hint="eastAsia"/>
                      <w:b/>
                      <w:bCs w:val="0"/>
                      <w:color w:val="auto"/>
                      <w:spacing w:val="-10"/>
                      <w:szCs w:val="21"/>
                    </w:rPr>
                    <w:t>）</w:t>
                  </w:r>
                </w:p>
              </w:tc>
              <w:tc>
                <w:tcPr>
                  <w:tcW w:w="832" w:type="pct"/>
                  <w:noWrap w:val="0"/>
                  <w:vAlign w:val="center"/>
                </w:tcPr>
                <w:p w14:paraId="78997844">
                  <w:pPr>
                    <w:jc w:val="center"/>
                    <w:rPr>
                      <w:b/>
                      <w:bCs w:val="0"/>
                      <w:color w:val="auto"/>
                      <w:spacing w:val="-10"/>
                      <w:szCs w:val="21"/>
                    </w:rPr>
                  </w:pPr>
                  <w:r>
                    <w:rPr>
                      <w:rFonts w:hint="eastAsia"/>
                      <w:b/>
                      <w:bCs w:val="0"/>
                      <w:color w:val="auto"/>
                      <w:spacing w:val="-10"/>
                      <w:szCs w:val="21"/>
                    </w:rPr>
                    <w:t>0.3（kg/m</w:t>
                  </w:r>
                  <w:r>
                    <w:rPr>
                      <w:rFonts w:hint="eastAsia"/>
                      <w:b/>
                      <w:bCs w:val="0"/>
                      <w:color w:val="auto"/>
                      <w:spacing w:val="-10"/>
                      <w:szCs w:val="21"/>
                      <w:vertAlign w:val="superscript"/>
                    </w:rPr>
                    <w:t>2</w:t>
                  </w:r>
                  <w:r>
                    <w:rPr>
                      <w:rFonts w:hint="eastAsia"/>
                      <w:b/>
                      <w:bCs w:val="0"/>
                      <w:color w:val="auto"/>
                      <w:spacing w:val="-10"/>
                      <w:szCs w:val="21"/>
                    </w:rPr>
                    <w:t>）</w:t>
                  </w:r>
                </w:p>
              </w:tc>
              <w:tc>
                <w:tcPr>
                  <w:tcW w:w="835" w:type="pct"/>
                  <w:noWrap w:val="0"/>
                  <w:vAlign w:val="center"/>
                </w:tcPr>
                <w:p w14:paraId="24A57DDA">
                  <w:pPr>
                    <w:jc w:val="center"/>
                    <w:rPr>
                      <w:b/>
                      <w:bCs w:val="0"/>
                      <w:color w:val="auto"/>
                      <w:spacing w:val="-10"/>
                      <w:szCs w:val="21"/>
                    </w:rPr>
                  </w:pPr>
                  <w:r>
                    <w:rPr>
                      <w:rFonts w:hint="eastAsia"/>
                      <w:b/>
                      <w:bCs w:val="0"/>
                      <w:color w:val="auto"/>
                      <w:spacing w:val="-10"/>
                      <w:szCs w:val="21"/>
                    </w:rPr>
                    <w:t>0.4（kg/m</w:t>
                  </w:r>
                  <w:r>
                    <w:rPr>
                      <w:rFonts w:hint="eastAsia"/>
                      <w:b/>
                      <w:bCs w:val="0"/>
                      <w:color w:val="auto"/>
                      <w:spacing w:val="-10"/>
                      <w:szCs w:val="21"/>
                      <w:vertAlign w:val="superscript"/>
                    </w:rPr>
                    <w:t>2</w:t>
                  </w:r>
                  <w:r>
                    <w:rPr>
                      <w:rFonts w:hint="eastAsia"/>
                      <w:b/>
                      <w:bCs w:val="0"/>
                      <w:color w:val="auto"/>
                      <w:spacing w:val="-10"/>
                      <w:szCs w:val="21"/>
                    </w:rPr>
                    <w:t>）</w:t>
                  </w:r>
                </w:p>
              </w:tc>
              <w:tc>
                <w:tcPr>
                  <w:tcW w:w="835" w:type="pct"/>
                  <w:noWrap w:val="0"/>
                  <w:vAlign w:val="center"/>
                </w:tcPr>
                <w:p w14:paraId="64EB217F">
                  <w:pPr>
                    <w:jc w:val="center"/>
                    <w:rPr>
                      <w:b/>
                      <w:bCs w:val="0"/>
                      <w:color w:val="auto"/>
                      <w:spacing w:val="-10"/>
                      <w:szCs w:val="21"/>
                    </w:rPr>
                  </w:pPr>
                  <w:r>
                    <w:rPr>
                      <w:rFonts w:hint="eastAsia"/>
                      <w:b/>
                      <w:bCs w:val="0"/>
                      <w:color w:val="auto"/>
                      <w:spacing w:val="-10"/>
                      <w:szCs w:val="21"/>
                    </w:rPr>
                    <w:t>0.5（kg/m</w:t>
                  </w:r>
                  <w:r>
                    <w:rPr>
                      <w:rFonts w:hint="eastAsia"/>
                      <w:b/>
                      <w:bCs w:val="0"/>
                      <w:color w:val="auto"/>
                      <w:spacing w:val="-10"/>
                      <w:szCs w:val="21"/>
                      <w:vertAlign w:val="superscript"/>
                    </w:rPr>
                    <w:t>2</w:t>
                  </w:r>
                  <w:r>
                    <w:rPr>
                      <w:rFonts w:hint="eastAsia"/>
                      <w:b/>
                      <w:bCs w:val="0"/>
                      <w:color w:val="auto"/>
                      <w:spacing w:val="-10"/>
                      <w:szCs w:val="21"/>
                    </w:rPr>
                    <w:t>）</w:t>
                  </w:r>
                </w:p>
              </w:tc>
            </w:tr>
            <w:tr w14:paraId="3F504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 w:type="pct"/>
                  <w:noWrap w:val="0"/>
                  <w:vAlign w:val="center"/>
                </w:tcPr>
                <w:p w14:paraId="03D6A12D">
                  <w:pPr>
                    <w:jc w:val="center"/>
                    <w:rPr>
                      <w:rFonts w:hint="eastAsia"/>
                      <w:bCs/>
                      <w:color w:val="auto"/>
                      <w:spacing w:val="-10"/>
                      <w:szCs w:val="21"/>
                    </w:rPr>
                  </w:pPr>
                  <w:r>
                    <w:rPr>
                      <w:rFonts w:hint="eastAsia"/>
                      <w:bCs/>
                      <w:color w:val="auto"/>
                      <w:spacing w:val="-10"/>
                      <w:szCs w:val="21"/>
                    </w:rPr>
                    <w:t>空车</w:t>
                  </w:r>
                </w:p>
              </w:tc>
              <w:tc>
                <w:tcPr>
                  <w:tcW w:w="741" w:type="pct"/>
                  <w:noWrap w:val="0"/>
                  <w:vAlign w:val="center"/>
                </w:tcPr>
                <w:p w14:paraId="4EA0303F">
                  <w:pPr>
                    <w:jc w:val="center"/>
                    <w:rPr>
                      <w:bCs/>
                      <w:color w:val="auto"/>
                      <w:spacing w:val="-10"/>
                      <w:szCs w:val="21"/>
                    </w:rPr>
                  </w:pPr>
                  <w:r>
                    <w:rPr>
                      <w:rFonts w:hint="eastAsia"/>
                      <w:bCs/>
                      <w:color w:val="auto"/>
                      <w:spacing w:val="-10"/>
                      <w:szCs w:val="21"/>
                    </w:rPr>
                    <w:t>0.102</w:t>
                  </w:r>
                </w:p>
              </w:tc>
              <w:tc>
                <w:tcPr>
                  <w:tcW w:w="832" w:type="pct"/>
                  <w:noWrap w:val="0"/>
                  <w:vAlign w:val="center"/>
                </w:tcPr>
                <w:p w14:paraId="164C871D">
                  <w:pPr>
                    <w:jc w:val="center"/>
                    <w:rPr>
                      <w:bCs/>
                      <w:color w:val="auto"/>
                      <w:spacing w:val="-10"/>
                      <w:szCs w:val="21"/>
                    </w:rPr>
                  </w:pPr>
                  <w:r>
                    <w:rPr>
                      <w:rFonts w:hint="eastAsia"/>
                      <w:bCs/>
                      <w:color w:val="auto"/>
                      <w:spacing w:val="-10"/>
                      <w:szCs w:val="21"/>
                    </w:rPr>
                    <w:t>0.171</w:t>
                  </w:r>
                </w:p>
              </w:tc>
              <w:tc>
                <w:tcPr>
                  <w:tcW w:w="832" w:type="pct"/>
                  <w:noWrap w:val="0"/>
                  <w:vAlign w:val="center"/>
                </w:tcPr>
                <w:p w14:paraId="497F9E55">
                  <w:pPr>
                    <w:jc w:val="center"/>
                    <w:rPr>
                      <w:bCs/>
                      <w:color w:val="auto"/>
                      <w:spacing w:val="-10"/>
                      <w:szCs w:val="21"/>
                    </w:rPr>
                  </w:pPr>
                  <w:r>
                    <w:rPr>
                      <w:rFonts w:hint="eastAsia"/>
                      <w:bCs/>
                      <w:color w:val="auto"/>
                      <w:spacing w:val="-10"/>
                      <w:szCs w:val="21"/>
                    </w:rPr>
                    <w:t>0.232</w:t>
                  </w:r>
                </w:p>
              </w:tc>
              <w:tc>
                <w:tcPr>
                  <w:tcW w:w="835" w:type="pct"/>
                  <w:noWrap w:val="0"/>
                  <w:vAlign w:val="center"/>
                </w:tcPr>
                <w:p w14:paraId="0E01146D">
                  <w:pPr>
                    <w:jc w:val="center"/>
                    <w:rPr>
                      <w:bCs/>
                      <w:color w:val="auto"/>
                      <w:spacing w:val="-10"/>
                      <w:szCs w:val="21"/>
                    </w:rPr>
                  </w:pPr>
                  <w:r>
                    <w:rPr>
                      <w:rFonts w:hint="eastAsia"/>
                      <w:bCs/>
                      <w:color w:val="auto"/>
                      <w:spacing w:val="-10"/>
                      <w:szCs w:val="21"/>
                    </w:rPr>
                    <w:t>0.289</w:t>
                  </w:r>
                </w:p>
              </w:tc>
              <w:tc>
                <w:tcPr>
                  <w:tcW w:w="835" w:type="pct"/>
                  <w:noWrap w:val="0"/>
                  <w:vAlign w:val="center"/>
                </w:tcPr>
                <w:p w14:paraId="5F6F0577">
                  <w:pPr>
                    <w:jc w:val="center"/>
                    <w:rPr>
                      <w:bCs/>
                      <w:color w:val="auto"/>
                      <w:spacing w:val="-10"/>
                      <w:szCs w:val="21"/>
                    </w:rPr>
                  </w:pPr>
                  <w:r>
                    <w:rPr>
                      <w:rFonts w:hint="eastAsia"/>
                      <w:bCs/>
                      <w:color w:val="auto"/>
                      <w:spacing w:val="-10"/>
                      <w:szCs w:val="21"/>
                    </w:rPr>
                    <w:t>0.341</w:t>
                  </w:r>
                </w:p>
              </w:tc>
            </w:tr>
            <w:tr w14:paraId="7F904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 w:type="pct"/>
                  <w:noWrap w:val="0"/>
                  <w:vAlign w:val="center"/>
                </w:tcPr>
                <w:p w14:paraId="3EB5C693">
                  <w:pPr>
                    <w:jc w:val="center"/>
                    <w:rPr>
                      <w:rFonts w:hint="eastAsia"/>
                      <w:bCs/>
                      <w:color w:val="auto"/>
                      <w:spacing w:val="-10"/>
                      <w:szCs w:val="21"/>
                    </w:rPr>
                  </w:pPr>
                  <w:r>
                    <w:rPr>
                      <w:rFonts w:hint="eastAsia"/>
                      <w:bCs/>
                      <w:color w:val="auto"/>
                      <w:spacing w:val="-10"/>
                      <w:szCs w:val="21"/>
                    </w:rPr>
                    <w:t>重车</w:t>
                  </w:r>
                </w:p>
              </w:tc>
              <w:tc>
                <w:tcPr>
                  <w:tcW w:w="741" w:type="pct"/>
                  <w:noWrap w:val="0"/>
                  <w:vAlign w:val="center"/>
                </w:tcPr>
                <w:p w14:paraId="62E03301">
                  <w:pPr>
                    <w:jc w:val="center"/>
                    <w:rPr>
                      <w:bCs/>
                      <w:color w:val="auto"/>
                      <w:spacing w:val="-10"/>
                      <w:szCs w:val="21"/>
                    </w:rPr>
                  </w:pPr>
                  <w:r>
                    <w:rPr>
                      <w:rFonts w:hint="eastAsia"/>
                      <w:bCs/>
                      <w:color w:val="auto"/>
                      <w:spacing w:val="-10"/>
                      <w:szCs w:val="21"/>
                    </w:rPr>
                    <w:t>0.332</w:t>
                  </w:r>
                </w:p>
              </w:tc>
              <w:tc>
                <w:tcPr>
                  <w:tcW w:w="832" w:type="pct"/>
                  <w:noWrap w:val="0"/>
                  <w:vAlign w:val="center"/>
                </w:tcPr>
                <w:p w14:paraId="391D7916">
                  <w:pPr>
                    <w:jc w:val="center"/>
                    <w:rPr>
                      <w:bCs/>
                      <w:color w:val="auto"/>
                      <w:spacing w:val="-10"/>
                      <w:szCs w:val="21"/>
                    </w:rPr>
                  </w:pPr>
                  <w:r>
                    <w:rPr>
                      <w:rFonts w:hint="eastAsia"/>
                      <w:bCs/>
                      <w:color w:val="auto"/>
                      <w:spacing w:val="-10"/>
                      <w:szCs w:val="21"/>
                    </w:rPr>
                    <w:t>0.558</w:t>
                  </w:r>
                </w:p>
              </w:tc>
              <w:tc>
                <w:tcPr>
                  <w:tcW w:w="832" w:type="pct"/>
                  <w:noWrap w:val="0"/>
                  <w:vAlign w:val="center"/>
                </w:tcPr>
                <w:p w14:paraId="5BE84626">
                  <w:pPr>
                    <w:jc w:val="center"/>
                    <w:rPr>
                      <w:bCs/>
                      <w:color w:val="auto"/>
                      <w:spacing w:val="-10"/>
                      <w:szCs w:val="21"/>
                    </w:rPr>
                  </w:pPr>
                  <w:r>
                    <w:rPr>
                      <w:rFonts w:hint="eastAsia"/>
                      <w:bCs/>
                      <w:color w:val="auto"/>
                      <w:spacing w:val="-10"/>
                      <w:szCs w:val="21"/>
                    </w:rPr>
                    <w:t>0.756</w:t>
                  </w:r>
                </w:p>
              </w:tc>
              <w:tc>
                <w:tcPr>
                  <w:tcW w:w="835" w:type="pct"/>
                  <w:noWrap w:val="0"/>
                  <w:vAlign w:val="center"/>
                </w:tcPr>
                <w:p w14:paraId="0B5D7728">
                  <w:pPr>
                    <w:jc w:val="center"/>
                    <w:rPr>
                      <w:bCs/>
                      <w:color w:val="auto"/>
                      <w:spacing w:val="-10"/>
                      <w:szCs w:val="21"/>
                    </w:rPr>
                  </w:pPr>
                  <w:r>
                    <w:rPr>
                      <w:rFonts w:hint="eastAsia"/>
                      <w:bCs/>
                      <w:color w:val="auto"/>
                      <w:spacing w:val="-10"/>
                      <w:szCs w:val="21"/>
                    </w:rPr>
                    <w:t>0.938</w:t>
                  </w:r>
                </w:p>
              </w:tc>
              <w:tc>
                <w:tcPr>
                  <w:tcW w:w="835" w:type="pct"/>
                  <w:noWrap w:val="0"/>
                  <w:vAlign w:val="center"/>
                </w:tcPr>
                <w:p w14:paraId="6974054E">
                  <w:pPr>
                    <w:jc w:val="center"/>
                    <w:rPr>
                      <w:bCs/>
                      <w:color w:val="auto"/>
                      <w:spacing w:val="-10"/>
                      <w:szCs w:val="21"/>
                    </w:rPr>
                  </w:pPr>
                  <w:r>
                    <w:rPr>
                      <w:rFonts w:hint="eastAsia"/>
                      <w:bCs/>
                      <w:color w:val="auto"/>
                      <w:spacing w:val="-10"/>
                      <w:szCs w:val="21"/>
                    </w:rPr>
                    <w:t>1.109</w:t>
                  </w:r>
                </w:p>
              </w:tc>
            </w:tr>
            <w:tr w14:paraId="30987B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 w:type="pct"/>
                  <w:noWrap w:val="0"/>
                  <w:vAlign w:val="center"/>
                </w:tcPr>
                <w:p w14:paraId="527ECD1B">
                  <w:pPr>
                    <w:jc w:val="center"/>
                    <w:rPr>
                      <w:bCs/>
                      <w:color w:val="auto"/>
                      <w:spacing w:val="-10"/>
                      <w:szCs w:val="21"/>
                    </w:rPr>
                  </w:pPr>
                  <w:r>
                    <w:rPr>
                      <w:rFonts w:hint="eastAsia"/>
                      <w:bCs/>
                      <w:color w:val="auto"/>
                      <w:spacing w:val="-10"/>
                      <w:szCs w:val="21"/>
                    </w:rPr>
                    <w:t>合计</w:t>
                  </w:r>
                </w:p>
              </w:tc>
              <w:tc>
                <w:tcPr>
                  <w:tcW w:w="741" w:type="pct"/>
                  <w:noWrap w:val="0"/>
                  <w:vAlign w:val="center"/>
                </w:tcPr>
                <w:p w14:paraId="6BA0BE48">
                  <w:pPr>
                    <w:jc w:val="center"/>
                    <w:rPr>
                      <w:bCs/>
                      <w:color w:val="auto"/>
                      <w:spacing w:val="-10"/>
                      <w:szCs w:val="21"/>
                    </w:rPr>
                  </w:pPr>
                  <w:r>
                    <w:rPr>
                      <w:rFonts w:hint="eastAsia"/>
                      <w:bCs/>
                      <w:color w:val="auto"/>
                      <w:spacing w:val="-10"/>
                      <w:szCs w:val="21"/>
                    </w:rPr>
                    <w:t>0.434</w:t>
                  </w:r>
                </w:p>
              </w:tc>
              <w:tc>
                <w:tcPr>
                  <w:tcW w:w="832" w:type="pct"/>
                  <w:noWrap w:val="0"/>
                  <w:vAlign w:val="center"/>
                </w:tcPr>
                <w:p w14:paraId="62796C75">
                  <w:pPr>
                    <w:jc w:val="center"/>
                    <w:rPr>
                      <w:bCs/>
                      <w:color w:val="auto"/>
                      <w:spacing w:val="-10"/>
                      <w:szCs w:val="21"/>
                    </w:rPr>
                  </w:pPr>
                  <w:r>
                    <w:rPr>
                      <w:rFonts w:hint="eastAsia"/>
                      <w:bCs/>
                      <w:color w:val="auto"/>
                      <w:spacing w:val="-10"/>
                      <w:szCs w:val="21"/>
                    </w:rPr>
                    <w:t>0.729</w:t>
                  </w:r>
                </w:p>
              </w:tc>
              <w:tc>
                <w:tcPr>
                  <w:tcW w:w="832" w:type="pct"/>
                  <w:noWrap w:val="0"/>
                  <w:vAlign w:val="center"/>
                </w:tcPr>
                <w:p w14:paraId="60D00C0C">
                  <w:pPr>
                    <w:jc w:val="center"/>
                    <w:rPr>
                      <w:bCs/>
                      <w:color w:val="auto"/>
                      <w:spacing w:val="-10"/>
                      <w:szCs w:val="21"/>
                    </w:rPr>
                  </w:pPr>
                  <w:r>
                    <w:rPr>
                      <w:rFonts w:hint="eastAsia"/>
                      <w:bCs/>
                      <w:color w:val="auto"/>
                      <w:spacing w:val="-10"/>
                      <w:szCs w:val="21"/>
                    </w:rPr>
                    <w:t>0.988</w:t>
                  </w:r>
                </w:p>
              </w:tc>
              <w:tc>
                <w:tcPr>
                  <w:tcW w:w="835" w:type="pct"/>
                  <w:noWrap w:val="0"/>
                  <w:vAlign w:val="center"/>
                </w:tcPr>
                <w:p w14:paraId="5E1FDDF5">
                  <w:pPr>
                    <w:jc w:val="center"/>
                    <w:rPr>
                      <w:bCs/>
                      <w:color w:val="auto"/>
                      <w:spacing w:val="-10"/>
                      <w:szCs w:val="21"/>
                    </w:rPr>
                  </w:pPr>
                  <w:r>
                    <w:rPr>
                      <w:rFonts w:hint="eastAsia"/>
                      <w:bCs/>
                      <w:color w:val="auto"/>
                      <w:spacing w:val="-10"/>
                      <w:szCs w:val="21"/>
                    </w:rPr>
                    <w:t>1.227</w:t>
                  </w:r>
                </w:p>
              </w:tc>
              <w:tc>
                <w:tcPr>
                  <w:tcW w:w="835" w:type="pct"/>
                  <w:noWrap w:val="0"/>
                  <w:vAlign w:val="center"/>
                </w:tcPr>
                <w:p w14:paraId="13E3EF06">
                  <w:pPr>
                    <w:jc w:val="center"/>
                    <w:rPr>
                      <w:bCs/>
                      <w:color w:val="auto"/>
                      <w:spacing w:val="-10"/>
                      <w:szCs w:val="21"/>
                    </w:rPr>
                  </w:pPr>
                  <w:r>
                    <w:rPr>
                      <w:rFonts w:hint="eastAsia"/>
                      <w:bCs/>
                      <w:color w:val="auto"/>
                      <w:spacing w:val="-10"/>
                      <w:szCs w:val="21"/>
                    </w:rPr>
                    <w:t>1.450</w:t>
                  </w:r>
                </w:p>
              </w:tc>
            </w:tr>
          </w:tbl>
          <w:p w14:paraId="5D5C3C89">
            <w:pPr>
              <w:spacing w:line="360" w:lineRule="auto"/>
              <w:ind w:firstLine="440" w:firstLineChars="200"/>
              <w:rPr>
                <w:rFonts w:hint="eastAsia"/>
                <w:bCs/>
                <w:color w:val="auto"/>
                <w:spacing w:val="-10"/>
                <w:sz w:val="24"/>
              </w:rPr>
            </w:pPr>
            <w:r>
              <w:rPr>
                <w:rFonts w:hint="eastAsia"/>
                <w:bCs/>
                <w:color w:val="auto"/>
                <w:spacing w:val="-10"/>
                <w:sz w:val="24"/>
              </w:rPr>
              <w:t>根据项目实际情况，车辆路况扬尘取0.</w:t>
            </w:r>
            <w:r>
              <w:rPr>
                <w:rFonts w:hint="eastAsia"/>
                <w:bCs/>
                <w:color w:val="auto"/>
                <w:spacing w:val="-10"/>
                <w:sz w:val="24"/>
                <w:lang w:val="en-US" w:eastAsia="zh-CN"/>
              </w:rPr>
              <w:t>3</w:t>
            </w:r>
            <w:r>
              <w:rPr>
                <w:rFonts w:hint="eastAsia"/>
                <w:bCs/>
                <w:color w:val="auto"/>
                <w:spacing w:val="-10"/>
                <w:sz w:val="24"/>
              </w:rPr>
              <w:t>kg/m</w:t>
            </w:r>
            <w:r>
              <w:rPr>
                <w:rFonts w:hint="eastAsia"/>
                <w:bCs/>
                <w:color w:val="auto"/>
                <w:spacing w:val="-10"/>
                <w:sz w:val="24"/>
                <w:vertAlign w:val="superscript"/>
              </w:rPr>
              <w:t>2</w:t>
            </w:r>
            <w:r>
              <w:rPr>
                <w:rFonts w:hint="eastAsia"/>
                <w:bCs/>
                <w:color w:val="auto"/>
                <w:spacing w:val="-10"/>
                <w:sz w:val="24"/>
              </w:rPr>
              <w:t>，经计算，项目汽车动力起尘量合计</w:t>
            </w:r>
            <w:r>
              <w:rPr>
                <w:rFonts w:hint="eastAsia"/>
                <w:bCs/>
                <w:color w:val="auto"/>
                <w:spacing w:val="-10"/>
                <w:sz w:val="24"/>
                <w:lang w:val="en-US" w:eastAsia="zh-CN"/>
              </w:rPr>
              <w:t>3.95</w:t>
            </w:r>
            <w:r>
              <w:rPr>
                <w:rFonts w:hint="eastAsia"/>
                <w:bCs/>
                <w:color w:val="auto"/>
                <w:spacing w:val="-10"/>
                <w:sz w:val="24"/>
              </w:rPr>
              <w:t>kg/d，</w:t>
            </w:r>
            <w:r>
              <w:rPr>
                <w:rFonts w:hint="eastAsia"/>
                <w:bCs/>
                <w:color w:val="auto"/>
                <w:spacing w:val="-10"/>
                <w:sz w:val="24"/>
                <w:lang w:val="en-US" w:eastAsia="zh-CN"/>
              </w:rPr>
              <w:t>1.30</w:t>
            </w:r>
            <w:r>
              <w:rPr>
                <w:rFonts w:hint="eastAsia"/>
                <w:bCs/>
                <w:color w:val="auto"/>
                <w:spacing w:val="-10"/>
                <w:sz w:val="24"/>
              </w:rPr>
              <w:t>t/a。原料运输过程限制车速，对厂区道路地面定期洒水、清扫，可减少道路扬尘。经采取</w:t>
            </w:r>
            <w:r>
              <w:rPr>
                <w:rFonts w:hint="eastAsia"/>
                <w:bCs/>
                <w:color w:val="auto"/>
                <w:spacing w:val="-10"/>
                <w:sz w:val="24"/>
                <w:lang w:val="en-US" w:eastAsia="zh-CN"/>
              </w:rPr>
              <w:t>洒水</w:t>
            </w:r>
            <w:r>
              <w:rPr>
                <w:rFonts w:hint="eastAsia"/>
                <w:bCs/>
                <w:color w:val="auto"/>
                <w:spacing w:val="-10"/>
                <w:sz w:val="24"/>
              </w:rPr>
              <w:t>降尘措施后，</w:t>
            </w:r>
            <w:r>
              <w:rPr>
                <w:rFonts w:hint="eastAsia"/>
                <w:color w:val="auto"/>
                <w:sz w:val="24"/>
                <w:lang w:val="en-US" w:eastAsia="zh-CN"/>
              </w:rPr>
              <w:t>根据《固体废物堆存颗粒物产排污核算系数手册》</w:t>
            </w:r>
            <w:r>
              <w:rPr>
                <w:rFonts w:hint="eastAsia"/>
                <w:bCs/>
                <w:color w:val="auto"/>
                <w:spacing w:val="-10"/>
                <w:sz w:val="24"/>
              </w:rPr>
              <w:t>可使扬尘减少</w:t>
            </w:r>
            <w:r>
              <w:rPr>
                <w:rFonts w:hint="eastAsia"/>
                <w:bCs/>
                <w:color w:val="auto"/>
                <w:spacing w:val="-10"/>
                <w:sz w:val="24"/>
                <w:lang w:val="en-US" w:eastAsia="zh-CN"/>
              </w:rPr>
              <w:t>74</w:t>
            </w:r>
            <w:r>
              <w:rPr>
                <w:rFonts w:hint="eastAsia"/>
                <w:bCs/>
                <w:color w:val="auto"/>
                <w:spacing w:val="-10"/>
                <w:sz w:val="24"/>
              </w:rPr>
              <w:t>%，则项目汽车扬尘排放量约</w:t>
            </w:r>
            <w:r>
              <w:rPr>
                <w:rFonts w:hint="eastAsia"/>
                <w:bCs/>
                <w:color w:val="auto"/>
                <w:spacing w:val="-10"/>
                <w:sz w:val="24"/>
                <w:lang w:val="en-US" w:eastAsia="zh-CN"/>
              </w:rPr>
              <w:t>0.34</w:t>
            </w:r>
            <w:r>
              <w:rPr>
                <w:rFonts w:hint="eastAsia"/>
                <w:bCs/>
                <w:color w:val="auto"/>
                <w:spacing w:val="-10"/>
                <w:sz w:val="24"/>
              </w:rPr>
              <w:t>t/a。</w:t>
            </w:r>
          </w:p>
          <w:p w14:paraId="188C1E52">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val="en-US" w:eastAsia="zh-CN"/>
              </w:rPr>
              <w:t>2.废气治理措施</w:t>
            </w:r>
          </w:p>
          <w:p w14:paraId="0E4BFEA1">
            <w:pPr>
              <w:pStyle w:val="12"/>
              <w:spacing w:after="0" w:line="360" w:lineRule="auto"/>
              <w:ind w:left="0" w:leftChars="0" w:right="0" w:rightChars="0" w:firstLine="440" w:firstLineChars="200"/>
              <w:rPr>
                <w:rFonts w:hint="eastAsia" w:eastAsia="宋体"/>
                <w:bCs/>
                <w:color w:val="auto"/>
                <w:spacing w:val="-10"/>
                <w:sz w:val="24"/>
                <w:lang w:eastAsia="zh-CN"/>
              </w:rPr>
            </w:pPr>
            <w:r>
              <w:rPr>
                <w:rFonts w:hint="eastAsia"/>
                <w:bCs/>
                <w:color w:val="auto"/>
                <w:spacing w:val="-10"/>
                <w:sz w:val="24"/>
                <w:lang w:eastAsia="zh-CN"/>
              </w:rPr>
              <w:t>（</w:t>
            </w:r>
            <w:r>
              <w:rPr>
                <w:rFonts w:hint="eastAsia"/>
                <w:bCs/>
                <w:color w:val="auto"/>
                <w:spacing w:val="-10"/>
                <w:sz w:val="24"/>
                <w:lang w:val="en-US" w:eastAsia="zh-CN"/>
              </w:rPr>
              <w:t>1</w:t>
            </w:r>
            <w:r>
              <w:rPr>
                <w:rFonts w:hint="eastAsia"/>
                <w:bCs/>
                <w:color w:val="auto"/>
                <w:spacing w:val="-10"/>
                <w:sz w:val="24"/>
                <w:lang w:eastAsia="zh-CN"/>
              </w:rPr>
              <w:t>）</w:t>
            </w:r>
            <w:r>
              <w:rPr>
                <w:rFonts w:hint="eastAsia"/>
                <w:bCs/>
                <w:color w:val="auto"/>
                <w:spacing w:val="-10"/>
                <w:sz w:val="24"/>
              </w:rPr>
              <w:t>对搅拌站和料场进行封闭，</w:t>
            </w:r>
            <w:r>
              <w:rPr>
                <w:rFonts w:hint="eastAsia"/>
                <w:bCs/>
                <w:color w:val="auto"/>
                <w:spacing w:val="-10"/>
                <w:sz w:val="24"/>
                <w:lang w:val="en-US" w:eastAsia="zh-CN"/>
              </w:rPr>
              <w:t>料仓</w:t>
            </w:r>
            <w:r>
              <w:rPr>
                <w:rFonts w:hint="eastAsia"/>
                <w:bCs/>
                <w:color w:val="auto"/>
                <w:spacing w:val="-10"/>
                <w:sz w:val="24"/>
              </w:rPr>
              <w:t>周围设置喷淋装置，</w:t>
            </w:r>
            <w:r>
              <w:rPr>
                <w:rFonts w:hint="eastAsia"/>
                <w:bCs/>
                <w:color w:val="auto"/>
                <w:spacing w:val="-10"/>
                <w:sz w:val="24"/>
                <w:lang w:val="en-US" w:eastAsia="zh-CN"/>
              </w:rPr>
              <w:t>料仓</w:t>
            </w:r>
            <w:r>
              <w:rPr>
                <w:rFonts w:hint="eastAsia"/>
                <w:bCs/>
                <w:color w:val="auto"/>
                <w:spacing w:val="-10"/>
                <w:sz w:val="24"/>
              </w:rPr>
              <w:t>和搅拌站密闭后能有效控制扬尘</w:t>
            </w:r>
            <w:r>
              <w:rPr>
                <w:rFonts w:hint="eastAsia"/>
                <w:bCs/>
                <w:color w:val="auto"/>
                <w:spacing w:val="-10"/>
                <w:sz w:val="24"/>
                <w:lang w:eastAsia="zh-CN"/>
              </w:rPr>
              <w:t>。</w:t>
            </w:r>
          </w:p>
          <w:p w14:paraId="63CD18D6">
            <w:pPr>
              <w:pStyle w:val="12"/>
              <w:spacing w:after="0" w:line="360" w:lineRule="auto"/>
              <w:ind w:left="0" w:leftChars="0" w:right="0" w:rightChars="0" w:firstLine="440" w:firstLineChars="200"/>
              <w:rPr>
                <w:rFonts w:hint="eastAsia" w:eastAsia="宋体"/>
                <w:bCs/>
                <w:color w:val="auto"/>
                <w:spacing w:val="-10"/>
                <w:sz w:val="24"/>
                <w:lang w:eastAsia="zh-CN"/>
              </w:rPr>
            </w:pPr>
            <w:r>
              <w:rPr>
                <w:rFonts w:hint="eastAsia"/>
                <w:bCs/>
                <w:color w:val="auto"/>
                <w:spacing w:val="-10"/>
                <w:sz w:val="24"/>
                <w:lang w:eastAsia="zh-CN"/>
              </w:rPr>
              <w:t>（</w:t>
            </w:r>
            <w:r>
              <w:rPr>
                <w:rFonts w:hint="eastAsia"/>
                <w:bCs/>
                <w:color w:val="auto"/>
                <w:spacing w:val="-10"/>
                <w:sz w:val="24"/>
                <w:lang w:val="en-US" w:eastAsia="zh-CN"/>
              </w:rPr>
              <w:t>2</w:t>
            </w:r>
            <w:r>
              <w:rPr>
                <w:rFonts w:hint="eastAsia"/>
                <w:bCs/>
                <w:color w:val="auto"/>
                <w:spacing w:val="-10"/>
                <w:sz w:val="24"/>
                <w:lang w:eastAsia="zh-CN"/>
              </w:rPr>
              <w:t>）</w:t>
            </w:r>
            <w:r>
              <w:rPr>
                <w:rFonts w:hint="eastAsia"/>
                <w:bCs/>
                <w:color w:val="auto"/>
                <w:spacing w:val="-10"/>
                <w:sz w:val="24"/>
              </w:rPr>
              <w:t>筒仓配备专用整套上粉设备，每个罐设独立除尘器处理粉尘废气，可减少无组织废气的产生</w:t>
            </w:r>
            <w:r>
              <w:rPr>
                <w:rFonts w:hint="eastAsia"/>
                <w:bCs/>
                <w:color w:val="auto"/>
                <w:spacing w:val="-10"/>
                <w:sz w:val="24"/>
                <w:lang w:eastAsia="zh-CN"/>
              </w:rPr>
              <w:t>。</w:t>
            </w:r>
          </w:p>
          <w:p w14:paraId="3D5B7A0B">
            <w:pPr>
              <w:pStyle w:val="12"/>
              <w:spacing w:after="0" w:line="360" w:lineRule="auto"/>
              <w:ind w:left="0" w:leftChars="0" w:right="0" w:rightChars="0" w:firstLine="440" w:firstLineChars="200"/>
              <w:rPr>
                <w:rFonts w:hint="eastAsia" w:eastAsia="宋体"/>
                <w:bCs/>
                <w:color w:val="auto"/>
                <w:spacing w:val="-10"/>
                <w:sz w:val="24"/>
                <w:lang w:eastAsia="zh-CN"/>
              </w:rPr>
            </w:pPr>
            <w:r>
              <w:rPr>
                <w:rFonts w:hint="eastAsia"/>
                <w:bCs/>
                <w:color w:val="auto"/>
                <w:spacing w:val="-10"/>
                <w:sz w:val="24"/>
                <w:lang w:eastAsia="zh-CN"/>
              </w:rPr>
              <w:t>（</w:t>
            </w:r>
            <w:r>
              <w:rPr>
                <w:rFonts w:hint="eastAsia"/>
                <w:bCs/>
                <w:color w:val="auto"/>
                <w:spacing w:val="-10"/>
                <w:sz w:val="24"/>
                <w:lang w:val="en-US" w:eastAsia="zh-CN"/>
              </w:rPr>
              <w:t>3</w:t>
            </w:r>
            <w:r>
              <w:rPr>
                <w:rFonts w:hint="eastAsia"/>
                <w:bCs/>
                <w:color w:val="auto"/>
                <w:spacing w:val="-10"/>
                <w:sz w:val="24"/>
                <w:lang w:eastAsia="zh-CN"/>
              </w:rPr>
              <w:t>）</w:t>
            </w:r>
            <w:r>
              <w:rPr>
                <w:rFonts w:hint="eastAsia"/>
                <w:bCs/>
                <w:color w:val="auto"/>
                <w:spacing w:val="-10"/>
                <w:sz w:val="24"/>
              </w:rPr>
              <w:t>传输带全密闭，可有效减少风力扬尘</w:t>
            </w:r>
            <w:r>
              <w:rPr>
                <w:rFonts w:hint="eastAsia"/>
                <w:bCs/>
                <w:color w:val="auto"/>
                <w:spacing w:val="-10"/>
                <w:sz w:val="24"/>
                <w:lang w:eastAsia="zh-CN"/>
              </w:rPr>
              <w:t>。</w:t>
            </w:r>
          </w:p>
          <w:p w14:paraId="5759D9AE">
            <w:pPr>
              <w:pStyle w:val="12"/>
              <w:spacing w:after="0" w:line="360" w:lineRule="auto"/>
              <w:ind w:left="0" w:leftChars="0" w:right="0" w:rightChars="0" w:firstLine="440" w:firstLineChars="200"/>
              <w:rPr>
                <w:rFonts w:hint="eastAsia" w:eastAsia="宋体"/>
                <w:bCs/>
                <w:color w:val="auto"/>
                <w:spacing w:val="-10"/>
                <w:sz w:val="24"/>
                <w:lang w:eastAsia="zh-CN"/>
              </w:rPr>
            </w:pPr>
            <w:r>
              <w:rPr>
                <w:rFonts w:hint="eastAsia"/>
                <w:bCs/>
                <w:color w:val="auto"/>
                <w:spacing w:val="-10"/>
                <w:sz w:val="24"/>
                <w:lang w:eastAsia="zh-CN"/>
              </w:rPr>
              <w:t>（</w:t>
            </w:r>
            <w:r>
              <w:rPr>
                <w:rFonts w:hint="eastAsia"/>
                <w:bCs/>
                <w:color w:val="auto"/>
                <w:spacing w:val="-10"/>
                <w:sz w:val="24"/>
                <w:lang w:val="en-US" w:eastAsia="zh-CN"/>
              </w:rPr>
              <w:t>4</w:t>
            </w:r>
            <w:r>
              <w:rPr>
                <w:rFonts w:hint="eastAsia"/>
                <w:bCs/>
                <w:color w:val="auto"/>
                <w:spacing w:val="-10"/>
                <w:sz w:val="24"/>
                <w:lang w:eastAsia="zh-CN"/>
              </w:rPr>
              <w:t>）</w:t>
            </w:r>
            <w:r>
              <w:rPr>
                <w:rFonts w:hint="eastAsia"/>
                <w:bCs/>
                <w:color w:val="auto"/>
                <w:spacing w:val="-10"/>
                <w:sz w:val="24"/>
              </w:rPr>
              <w:t>厂区地面硬化，减少土壤裸露在外，定期清扫路面、洒水，保证地面湿度</w:t>
            </w:r>
            <w:r>
              <w:rPr>
                <w:rFonts w:hint="eastAsia"/>
                <w:bCs/>
                <w:color w:val="auto"/>
                <w:spacing w:val="-10"/>
                <w:sz w:val="24"/>
                <w:lang w:eastAsia="zh-CN"/>
              </w:rPr>
              <w:t>。</w:t>
            </w:r>
          </w:p>
          <w:p w14:paraId="1B514329">
            <w:pPr>
              <w:pStyle w:val="12"/>
              <w:spacing w:after="0" w:line="360" w:lineRule="auto"/>
              <w:ind w:left="0" w:leftChars="0" w:right="0" w:rightChars="0" w:firstLine="440" w:firstLineChars="200"/>
              <w:rPr>
                <w:rFonts w:hint="eastAsia" w:eastAsia="宋体"/>
                <w:bCs/>
                <w:color w:val="auto"/>
                <w:spacing w:val="-10"/>
                <w:sz w:val="24"/>
                <w:lang w:eastAsia="zh-CN"/>
              </w:rPr>
            </w:pPr>
            <w:r>
              <w:rPr>
                <w:rFonts w:hint="eastAsia"/>
                <w:bCs/>
                <w:color w:val="auto"/>
                <w:spacing w:val="-10"/>
                <w:sz w:val="24"/>
                <w:lang w:eastAsia="zh-CN"/>
              </w:rPr>
              <w:t>（</w:t>
            </w:r>
            <w:r>
              <w:rPr>
                <w:rFonts w:hint="eastAsia"/>
                <w:bCs/>
                <w:color w:val="auto"/>
                <w:spacing w:val="-10"/>
                <w:sz w:val="24"/>
                <w:lang w:val="en-US" w:eastAsia="zh-CN"/>
              </w:rPr>
              <w:t>5）在</w:t>
            </w:r>
            <w:r>
              <w:rPr>
                <w:rFonts w:hint="eastAsia"/>
                <w:bCs/>
                <w:color w:val="auto"/>
                <w:spacing w:val="-10"/>
                <w:sz w:val="24"/>
              </w:rPr>
              <w:t>厂区内控制车辆行驶速度</w:t>
            </w:r>
            <w:r>
              <w:rPr>
                <w:rFonts w:hint="eastAsia"/>
                <w:bCs/>
                <w:color w:val="auto"/>
                <w:spacing w:val="-10"/>
                <w:sz w:val="24"/>
                <w:lang w:eastAsia="zh-CN"/>
              </w:rPr>
              <w:t>。</w:t>
            </w:r>
          </w:p>
          <w:p w14:paraId="5DA76377">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val="en-US" w:eastAsia="zh-CN"/>
              </w:rPr>
              <w:t>3.废气治理措施可行性分析</w:t>
            </w:r>
          </w:p>
          <w:p w14:paraId="31465056">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bCs/>
                <w:color w:val="auto"/>
                <w:spacing w:val="-10"/>
                <w:sz w:val="24"/>
                <w:szCs w:val="24"/>
              </w:rPr>
            </w:pPr>
            <w:r>
              <w:rPr>
                <w:rFonts w:hint="eastAsia"/>
                <w:bCs/>
                <w:color w:val="auto"/>
                <w:spacing w:val="-10"/>
                <w:sz w:val="24"/>
              </w:rPr>
              <w:t>袋式除尘器设备在正常工作时，含尘气体由进风口进入灰斗，由于气体体积的急速膨胀，一部分较粗的尘粒受惯性或自然沉降等原因落入灰斗，其余大部分尘粒随气流上升进入袋室，经滤袋过滤后，尘粒被滞留在滤袋的外侧，净化后的气体由滤袋内部进入上箱体，再由阀板孔、排风口排入大气，从而达到除尘的目的。随着过滤的不断进行，除尘器阻力也随之上升，当阻力达到一定值时，清灰控制器发出清灰命令，首先将提升板关闭，切断过滤气流；然后清灰控制器向脉冲电磁阀发出信号，随着脉冲阀把用作清灰的高压逆向气流送入袋内，滤袋迅速鼓胀，并产生强烈抖动，导致滤袋外侧的粉尘抖落，达到清灰的目的。由于设备分为若干个箱区，所以上述过程是逐箱进行的，一个箱区在清灰时，其余箱区仍在正常工作，保证了设备的连续正常运转。之所以能处理高浓度粉尘，关键在于这种强清灰所需清灰时间极短（喷吹一次只需0.1~0.2s）。根据《排放源统计调查产排污核算方法和系数手册》中3021水泥制品制造（含3022砼结构构件制造、3029其他水泥类似制品制造）行业系数手册，袋式除尘器处理效率可达到99.7%。</w:t>
            </w:r>
          </w:p>
          <w:p w14:paraId="3D0EF26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水泥、粉煤灰分别由专用罐车运输进厂，通过罐车自带的管道以负压吸入料斗，再以压缩空气（正压）通过管道吸入散装粉料仓，整个输送过程在密闭的管道中完成，在散装水泥及粉煤灰落入圆筒仓内时，其筒仓内的空气将从离地呼吸孔口排出并带出部分粉尘，各粉料仓安装除尘器，粉尘经仓顶除尘器处理后从仓顶排放。搅拌设备位于密闭彩钢结构的搅拌楼中，</w:t>
            </w:r>
            <w:r>
              <w:rPr>
                <w:rFonts w:hint="eastAsia" w:ascii="Times New Roman" w:hAnsi="Times New Roman" w:eastAsia="宋体" w:cs="Times New Roman"/>
                <w:color w:val="auto"/>
                <w:sz w:val="24"/>
                <w:lang w:val="en-US" w:eastAsia="zh-CN"/>
              </w:rPr>
              <w:t>采用湿法搅拌</w:t>
            </w:r>
            <w:r>
              <w:rPr>
                <w:rFonts w:hint="default" w:ascii="Times New Roman" w:hAnsi="Times New Roman" w:eastAsia="宋体" w:cs="Times New Roman"/>
                <w:color w:val="auto"/>
                <w:sz w:val="24"/>
              </w:rPr>
              <w:t>。</w:t>
            </w:r>
          </w:p>
          <w:p w14:paraId="643894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pacing w:val="-10"/>
                <w:sz w:val="24"/>
                <w:szCs w:val="24"/>
              </w:rPr>
            </w:pPr>
            <w:r>
              <w:rPr>
                <w:rFonts w:hint="eastAsia" w:ascii="宋体" w:hAnsi="宋体" w:cs="宋体"/>
                <w:color w:val="auto"/>
                <w:kern w:val="0"/>
                <w:sz w:val="24"/>
                <w:lang w:val="en-US" w:eastAsia="zh-CN" w:bidi="ar"/>
              </w:rPr>
              <w:t>项目砂石料放置在具有完整围挡及屋顶结构的建筑物内，传输带全封闭，项目区采取洒水降尘等措施。</w:t>
            </w:r>
          </w:p>
          <w:p w14:paraId="7B1F80DB">
            <w:pPr>
              <w:keepNext w:val="0"/>
              <w:keepLines w:val="0"/>
              <w:pageBreakBefore w:val="0"/>
              <w:widowControl w:val="0"/>
              <w:kinsoku/>
              <w:wordWrap/>
              <w:overflowPunct/>
              <w:topLinePunct w:val="0"/>
              <w:autoSpaceDE w:val="0"/>
              <w:autoSpaceDN w:val="0"/>
              <w:bidi w:val="0"/>
              <w:adjustRightInd w:val="0"/>
              <w:snapToGrid w:val="0"/>
              <w:spacing w:line="360" w:lineRule="auto"/>
              <w:ind w:firstLine="440" w:firstLineChars="200"/>
              <w:textAlignment w:val="auto"/>
              <w:rPr>
                <w:rFonts w:hint="default" w:ascii="Times New Roman" w:hAnsi="Times New Roman" w:eastAsia="宋体" w:cs="Times New Roman"/>
                <w:color w:val="auto"/>
                <w:sz w:val="24"/>
              </w:rPr>
            </w:pPr>
            <w:r>
              <w:rPr>
                <w:rFonts w:hint="eastAsia"/>
                <w:bCs/>
                <w:color w:val="auto"/>
                <w:spacing w:val="-10"/>
                <w:sz w:val="24"/>
              </w:rPr>
              <w:t>本项目</w:t>
            </w:r>
            <w:r>
              <w:rPr>
                <w:rFonts w:hint="eastAsia"/>
                <w:bCs/>
                <w:color w:val="auto"/>
                <w:spacing w:val="-10"/>
                <w:sz w:val="24"/>
                <w:lang w:val="en-US" w:eastAsia="zh-CN"/>
              </w:rPr>
              <w:t>颗粒物</w:t>
            </w:r>
            <w:r>
              <w:rPr>
                <w:rFonts w:hint="eastAsia"/>
                <w:bCs/>
                <w:color w:val="auto"/>
                <w:spacing w:val="-10"/>
                <w:sz w:val="24"/>
              </w:rPr>
              <w:t>是满足《水泥工业</w:t>
            </w:r>
            <w:r>
              <w:rPr>
                <w:rFonts w:hint="eastAsia"/>
                <w:bCs/>
                <w:color w:val="auto"/>
                <w:spacing w:val="-10"/>
                <w:sz w:val="24"/>
                <w:lang w:val="en-US" w:eastAsia="zh-CN"/>
              </w:rPr>
              <w:t>大气污染物排放标准</w:t>
            </w:r>
            <w:r>
              <w:rPr>
                <w:rFonts w:hint="eastAsia"/>
                <w:bCs/>
                <w:color w:val="auto"/>
                <w:spacing w:val="-10"/>
                <w:sz w:val="24"/>
              </w:rPr>
              <w:t>》（</w:t>
            </w:r>
            <w:r>
              <w:rPr>
                <w:rFonts w:hint="eastAsia"/>
                <w:bCs/>
                <w:color w:val="auto"/>
                <w:spacing w:val="-10"/>
                <w:sz w:val="24"/>
                <w:lang w:val="en-US" w:eastAsia="zh-CN"/>
              </w:rPr>
              <w:t>GB4915-2013</w:t>
            </w:r>
            <w:r>
              <w:rPr>
                <w:rFonts w:hint="eastAsia"/>
                <w:bCs/>
                <w:color w:val="auto"/>
                <w:spacing w:val="-10"/>
                <w:sz w:val="24"/>
              </w:rPr>
              <w:t>）</w:t>
            </w:r>
            <w:r>
              <w:rPr>
                <w:rFonts w:hint="eastAsia"/>
                <w:bCs/>
                <w:color w:val="auto"/>
                <w:spacing w:val="-10"/>
                <w:sz w:val="24"/>
                <w:lang w:val="en-US" w:eastAsia="zh-CN"/>
              </w:rPr>
              <w:t>及修改单表3颗粒物</w:t>
            </w:r>
            <w:r>
              <w:rPr>
                <w:rFonts w:hint="eastAsia"/>
                <w:bCs/>
                <w:color w:val="auto"/>
                <w:spacing w:val="-10"/>
                <w:sz w:val="24"/>
              </w:rPr>
              <w:t>无组织排放控制要求的。</w:t>
            </w:r>
          </w:p>
          <w:p w14:paraId="6567C5C9">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val="en-US" w:eastAsia="zh-CN"/>
              </w:rPr>
              <w:t>4.大气污染物产排情况</w:t>
            </w:r>
          </w:p>
          <w:p w14:paraId="3C7557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bCs/>
                <w:color w:val="auto"/>
                <w:spacing w:val="-10"/>
                <w:sz w:val="24"/>
                <w:szCs w:val="24"/>
              </w:rPr>
            </w:pPr>
            <w:r>
              <w:rPr>
                <w:rFonts w:hint="eastAsia"/>
                <w:color w:val="auto"/>
                <w:sz w:val="24"/>
                <w:szCs w:val="24"/>
              </w:rPr>
              <w:t>本项目大气污染物产排情况见表4</w:t>
            </w:r>
            <w:r>
              <w:rPr>
                <w:rFonts w:hint="eastAsia"/>
                <w:color w:val="auto"/>
                <w:sz w:val="24"/>
                <w:szCs w:val="24"/>
                <w:lang w:val="en-US" w:eastAsia="zh-CN"/>
              </w:rPr>
              <w:t>-2</w:t>
            </w:r>
            <w:r>
              <w:rPr>
                <w:rFonts w:hint="eastAsia"/>
                <w:color w:val="auto"/>
                <w:sz w:val="24"/>
                <w:szCs w:val="24"/>
              </w:rPr>
              <w:t>。</w:t>
            </w:r>
          </w:p>
          <w:p w14:paraId="4A5FCE1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097FD268">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3A74E22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338CCFDC">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2972F49A">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0B6A9416">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1385A5E5">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27A719EA">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p w14:paraId="25ED96BD">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ascii="宋体" w:hAnsi="宋体" w:cs="宋体"/>
                <w:bCs/>
                <w:color w:val="auto"/>
                <w:spacing w:val="-10"/>
                <w:sz w:val="24"/>
                <w:szCs w:val="24"/>
              </w:rPr>
            </w:pPr>
          </w:p>
        </w:tc>
      </w:tr>
    </w:tbl>
    <w:p w14:paraId="6CAFC77B">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00225E0">
      <w:pPr>
        <w:pStyle w:val="12"/>
        <w:spacing w:after="0"/>
        <w:ind w:left="0" w:leftChars="0" w:right="0" w:rightChars="0"/>
        <w:jc w:val="center"/>
        <w:rPr>
          <w:rFonts w:hint="eastAsia"/>
          <w:b/>
          <w:bCs/>
          <w:color w:val="auto"/>
        </w:rPr>
      </w:pPr>
      <w:r>
        <w:rPr>
          <w:rFonts w:hint="eastAsia"/>
          <w:b/>
          <w:bCs/>
          <w:color w:val="auto"/>
        </w:rPr>
        <w:t>表4-</w:t>
      </w:r>
      <w:r>
        <w:rPr>
          <w:rFonts w:hint="eastAsia"/>
          <w:b/>
          <w:bCs/>
          <w:color w:val="auto"/>
          <w:lang w:val="en-US" w:eastAsia="zh-CN"/>
        </w:rPr>
        <w:t>2</w:t>
      </w:r>
      <w:r>
        <w:rPr>
          <w:rFonts w:hint="eastAsia"/>
          <w:b/>
          <w:bCs/>
          <w:color w:val="auto"/>
        </w:rPr>
        <w:t xml:space="preserve">  项目大气污染物产排情况一览表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975"/>
        <w:gridCol w:w="1271"/>
        <w:gridCol w:w="1135"/>
        <w:gridCol w:w="828"/>
        <w:gridCol w:w="1172"/>
        <w:gridCol w:w="1291"/>
        <w:gridCol w:w="889"/>
        <w:gridCol w:w="992"/>
        <w:gridCol w:w="1153"/>
        <w:gridCol w:w="1238"/>
        <w:gridCol w:w="1127"/>
      </w:tblGrid>
      <w:tr w14:paraId="20A33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36" w:type="pct"/>
            <w:vMerge w:val="restart"/>
            <w:noWrap w:val="0"/>
            <w:vAlign w:val="center"/>
          </w:tcPr>
          <w:p w14:paraId="172E0158">
            <w:pPr>
              <w:pStyle w:val="12"/>
              <w:spacing w:after="0"/>
              <w:ind w:left="0" w:leftChars="0" w:right="0" w:rightChars="0"/>
              <w:jc w:val="center"/>
              <w:rPr>
                <w:b/>
                <w:bCs/>
                <w:color w:val="auto"/>
                <w:szCs w:val="21"/>
              </w:rPr>
            </w:pPr>
            <w:r>
              <w:rPr>
                <w:rFonts w:hint="eastAsia"/>
                <w:b/>
                <w:bCs/>
                <w:color w:val="auto"/>
                <w:szCs w:val="21"/>
              </w:rPr>
              <w:t>产排污环节</w:t>
            </w:r>
          </w:p>
        </w:tc>
        <w:tc>
          <w:tcPr>
            <w:tcW w:w="369" w:type="pct"/>
            <w:vMerge w:val="restart"/>
            <w:noWrap w:val="0"/>
            <w:vAlign w:val="center"/>
          </w:tcPr>
          <w:p w14:paraId="166ADC32">
            <w:pPr>
              <w:pStyle w:val="12"/>
              <w:spacing w:after="0"/>
              <w:ind w:left="0" w:leftChars="0" w:right="0" w:rightChars="0"/>
              <w:jc w:val="center"/>
              <w:rPr>
                <w:b/>
                <w:bCs/>
                <w:color w:val="auto"/>
                <w:szCs w:val="21"/>
              </w:rPr>
            </w:pPr>
            <w:r>
              <w:rPr>
                <w:rFonts w:hint="eastAsia"/>
                <w:b/>
                <w:bCs/>
                <w:color w:val="auto"/>
                <w:szCs w:val="21"/>
              </w:rPr>
              <w:t>污染物种类</w:t>
            </w:r>
          </w:p>
        </w:tc>
        <w:tc>
          <w:tcPr>
            <w:tcW w:w="909" w:type="pct"/>
            <w:gridSpan w:val="2"/>
            <w:noWrap w:val="0"/>
            <w:vAlign w:val="center"/>
          </w:tcPr>
          <w:p w14:paraId="1A157048">
            <w:pPr>
              <w:pStyle w:val="12"/>
              <w:spacing w:after="0"/>
              <w:ind w:left="0" w:leftChars="0" w:right="0" w:rightChars="0"/>
              <w:jc w:val="center"/>
              <w:rPr>
                <w:b/>
                <w:bCs/>
                <w:color w:val="auto"/>
                <w:szCs w:val="21"/>
              </w:rPr>
            </w:pPr>
            <w:r>
              <w:rPr>
                <w:rFonts w:hint="eastAsia"/>
                <w:b/>
                <w:bCs/>
                <w:color w:val="auto"/>
                <w:szCs w:val="21"/>
              </w:rPr>
              <w:t>污染物产生情况</w:t>
            </w:r>
          </w:p>
        </w:tc>
        <w:tc>
          <w:tcPr>
            <w:tcW w:w="313" w:type="pct"/>
            <w:vMerge w:val="restart"/>
            <w:noWrap w:val="0"/>
            <w:vAlign w:val="center"/>
          </w:tcPr>
          <w:p w14:paraId="51BB76D0">
            <w:pPr>
              <w:pStyle w:val="12"/>
              <w:spacing w:after="0"/>
              <w:ind w:left="0" w:leftChars="0" w:right="0" w:rightChars="0"/>
              <w:jc w:val="center"/>
              <w:rPr>
                <w:b/>
                <w:bCs/>
                <w:color w:val="auto"/>
                <w:szCs w:val="21"/>
              </w:rPr>
            </w:pPr>
            <w:r>
              <w:rPr>
                <w:rFonts w:hint="eastAsia"/>
                <w:b/>
                <w:bCs/>
                <w:color w:val="auto"/>
                <w:szCs w:val="21"/>
              </w:rPr>
              <w:t>排放方式</w:t>
            </w:r>
          </w:p>
        </w:tc>
        <w:tc>
          <w:tcPr>
            <w:tcW w:w="2078" w:type="pct"/>
            <w:gridSpan w:val="5"/>
            <w:noWrap w:val="0"/>
            <w:vAlign w:val="center"/>
          </w:tcPr>
          <w:p w14:paraId="19E860EA">
            <w:pPr>
              <w:pStyle w:val="12"/>
              <w:spacing w:after="0"/>
              <w:ind w:left="0" w:leftChars="0" w:right="0" w:rightChars="0"/>
              <w:jc w:val="center"/>
              <w:rPr>
                <w:b/>
                <w:bCs/>
                <w:color w:val="auto"/>
                <w:szCs w:val="21"/>
              </w:rPr>
            </w:pPr>
            <w:r>
              <w:rPr>
                <w:rFonts w:hint="eastAsia"/>
                <w:b/>
                <w:bCs/>
                <w:color w:val="auto"/>
                <w:szCs w:val="21"/>
              </w:rPr>
              <w:t>治理设施情况</w:t>
            </w:r>
          </w:p>
        </w:tc>
        <w:tc>
          <w:tcPr>
            <w:tcW w:w="892" w:type="pct"/>
            <w:gridSpan w:val="2"/>
            <w:noWrap w:val="0"/>
            <w:vAlign w:val="center"/>
          </w:tcPr>
          <w:p w14:paraId="235A8BAB">
            <w:pPr>
              <w:pStyle w:val="12"/>
              <w:spacing w:after="0"/>
              <w:ind w:left="0" w:leftChars="0" w:right="0" w:rightChars="0"/>
              <w:jc w:val="center"/>
              <w:rPr>
                <w:b/>
                <w:bCs/>
                <w:color w:val="auto"/>
                <w:szCs w:val="21"/>
              </w:rPr>
            </w:pPr>
            <w:r>
              <w:rPr>
                <w:rFonts w:hint="eastAsia"/>
                <w:b/>
                <w:bCs/>
                <w:color w:val="auto"/>
                <w:szCs w:val="21"/>
              </w:rPr>
              <w:t>污染物排放情况</w:t>
            </w:r>
          </w:p>
        </w:tc>
      </w:tr>
      <w:tr w14:paraId="0AA80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vMerge w:val="continue"/>
            <w:noWrap w:val="0"/>
            <w:vAlign w:val="center"/>
          </w:tcPr>
          <w:p w14:paraId="01684A4D">
            <w:pPr>
              <w:pStyle w:val="12"/>
              <w:spacing w:after="0"/>
              <w:ind w:left="0" w:leftChars="0" w:right="0" w:rightChars="0"/>
              <w:jc w:val="center"/>
              <w:rPr>
                <w:rFonts w:hint="eastAsia"/>
                <w:color w:val="auto"/>
                <w:szCs w:val="21"/>
              </w:rPr>
            </w:pPr>
          </w:p>
        </w:tc>
        <w:tc>
          <w:tcPr>
            <w:tcW w:w="369" w:type="pct"/>
            <w:vMerge w:val="continue"/>
            <w:noWrap w:val="0"/>
            <w:vAlign w:val="center"/>
          </w:tcPr>
          <w:p w14:paraId="4F6C30DB">
            <w:pPr>
              <w:pStyle w:val="12"/>
              <w:spacing w:after="0"/>
              <w:ind w:left="0" w:leftChars="0" w:right="0" w:rightChars="0"/>
              <w:jc w:val="center"/>
              <w:rPr>
                <w:rFonts w:hint="eastAsia"/>
                <w:color w:val="auto"/>
                <w:szCs w:val="21"/>
              </w:rPr>
            </w:pPr>
          </w:p>
        </w:tc>
        <w:tc>
          <w:tcPr>
            <w:tcW w:w="479" w:type="pct"/>
            <w:noWrap w:val="0"/>
            <w:vAlign w:val="center"/>
          </w:tcPr>
          <w:p w14:paraId="78BFAFC4">
            <w:pPr>
              <w:pStyle w:val="12"/>
              <w:spacing w:after="0"/>
              <w:ind w:left="0" w:leftChars="0" w:right="0" w:rightChars="0"/>
              <w:jc w:val="center"/>
              <w:rPr>
                <w:b/>
                <w:bCs/>
                <w:color w:val="auto"/>
                <w:szCs w:val="21"/>
              </w:rPr>
            </w:pPr>
            <w:r>
              <w:rPr>
                <w:rFonts w:hint="eastAsia"/>
                <w:b/>
                <w:bCs/>
                <w:color w:val="auto"/>
                <w:szCs w:val="21"/>
              </w:rPr>
              <w:t>产生浓度mg/m</w:t>
            </w:r>
            <w:r>
              <w:rPr>
                <w:rFonts w:hint="eastAsia"/>
                <w:b/>
                <w:bCs/>
                <w:color w:val="auto"/>
                <w:szCs w:val="21"/>
                <w:vertAlign w:val="superscript"/>
              </w:rPr>
              <w:t>3</w:t>
            </w:r>
          </w:p>
        </w:tc>
        <w:tc>
          <w:tcPr>
            <w:tcW w:w="429" w:type="pct"/>
            <w:noWrap w:val="0"/>
            <w:vAlign w:val="center"/>
          </w:tcPr>
          <w:p w14:paraId="3D4FED66">
            <w:pPr>
              <w:pStyle w:val="12"/>
              <w:spacing w:after="0"/>
              <w:ind w:left="0" w:leftChars="0" w:right="0" w:rightChars="0"/>
              <w:jc w:val="center"/>
              <w:rPr>
                <w:b/>
                <w:bCs/>
                <w:color w:val="auto"/>
                <w:szCs w:val="21"/>
              </w:rPr>
            </w:pPr>
            <w:r>
              <w:rPr>
                <w:rFonts w:hint="eastAsia"/>
                <w:b/>
                <w:bCs/>
                <w:color w:val="auto"/>
                <w:szCs w:val="21"/>
              </w:rPr>
              <w:t>产生量t/a</w:t>
            </w:r>
          </w:p>
        </w:tc>
        <w:tc>
          <w:tcPr>
            <w:tcW w:w="313" w:type="pct"/>
            <w:vMerge w:val="continue"/>
            <w:noWrap w:val="0"/>
            <w:vAlign w:val="center"/>
          </w:tcPr>
          <w:p w14:paraId="624BA32F">
            <w:pPr>
              <w:pStyle w:val="12"/>
              <w:spacing w:after="0"/>
              <w:ind w:left="0" w:leftChars="0" w:right="0" w:rightChars="0"/>
              <w:jc w:val="center"/>
              <w:rPr>
                <w:rFonts w:hint="eastAsia"/>
                <w:b/>
                <w:bCs/>
                <w:color w:val="auto"/>
                <w:szCs w:val="21"/>
              </w:rPr>
            </w:pPr>
          </w:p>
        </w:tc>
        <w:tc>
          <w:tcPr>
            <w:tcW w:w="443" w:type="pct"/>
            <w:noWrap w:val="0"/>
            <w:vAlign w:val="center"/>
          </w:tcPr>
          <w:p w14:paraId="302D29E5">
            <w:pPr>
              <w:pStyle w:val="12"/>
              <w:spacing w:after="0"/>
              <w:ind w:left="0" w:leftChars="0" w:right="0" w:rightChars="0"/>
              <w:jc w:val="center"/>
              <w:rPr>
                <w:b/>
                <w:bCs/>
                <w:color w:val="auto"/>
                <w:szCs w:val="21"/>
              </w:rPr>
            </w:pPr>
            <w:r>
              <w:rPr>
                <w:rFonts w:hint="eastAsia"/>
                <w:b/>
                <w:bCs/>
                <w:color w:val="auto"/>
                <w:szCs w:val="21"/>
              </w:rPr>
              <w:t>治理设施</w:t>
            </w:r>
          </w:p>
        </w:tc>
        <w:tc>
          <w:tcPr>
            <w:tcW w:w="488" w:type="pct"/>
            <w:noWrap w:val="0"/>
            <w:vAlign w:val="center"/>
          </w:tcPr>
          <w:p w14:paraId="2A2117C5">
            <w:pPr>
              <w:pStyle w:val="12"/>
              <w:spacing w:after="0"/>
              <w:ind w:left="0" w:leftChars="0" w:right="0" w:rightChars="0"/>
              <w:jc w:val="center"/>
              <w:rPr>
                <w:b/>
                <w:bCs/>
                <w:color w:val="auto"/>
                <w:szCs w:val="21"/>
              </w:rPr>
            </w:pPr>
            <w:r>
              <w:rPr>
                <w:rFonts w:hint="eastAsia"/>
                <w:b/>
                <w:bCs/>
                <w:color w:val="auto"/>
                <w:szCs w:val="21"/>
              </w:rPr>
              <w:t>处理能力m</w:t>
            </w:r>
            <w:r>
              <w:rPr>
                <w:rFonts w:hint="eastAsia"/>
                <w:b/>
                <w:bCs/>
                <w:color w:val="auto"/>
                <w:szCs w:val="21"/>
                <w:vertAlign w:val="superscript"/>
              </w:rPr>
              <w:t>3</w:t>
            </w:r>
            <w:r>
              <w:rPr>
                <w:rFonts w:hint="eastAsia"/>
                <w:b/>
                <w:bCs/>
                <w:color w:val="auto"/>
                <w:szCs w:val="21"/>
              </w:rPr>
              <w:t>/h</w:t>
            </w:r>
          </w:p>
        </w:tc>
        <w:tc>
          <w:tcPr>
            <w:tcW w:w="336" w:type="pct"/>
            <w:noWrap w:val="0"/>
            <w:vAlign w:val="center"/>
          </w:tcPr>
          <w:p w14:paraId="17038230">
            <w:pPr>
              <w:pStyle w:val="12"/>
              <w:spacing w:after="0"/>
              <w:ind w:left="0" w:leftChars="0" w:right="0" w:rightChars="0"/>
              <w:jc w:val="center"/>
              <w:rPr>
                <w:b/>
                <w:bCs/>
                <w:color w:val="auto"/>
                <w:szCs w:val="21"/>
              </w:rPr>
            </w:pPr>
            <w:r>
              <w:rPr>
                <w:rFonts w:hint="eastAsia"/>
                <w:b/>
                <w:bCs/>
                <w:color w:val="auto"/>
                <w:szCs w:val="21"/>
              </w:rPr>
              <w:t>收集效率</w:t>
            </w:r>
          </w:p>
        </w:tc>
        <w:tc>
          <w:tcPr>
            <w:tcW w:w="375" w:type="pct"/>
            <w:noWrap w:val="0"/>
            <w:vAlign w:val="center"/>
          </w:tcPr>
          <w:p w14:paraId="106D0D37">
            <w:pPr>
              <w:pStyle w:val="12"/>
              <w:spacing w:after="0"/>
              <w:ind w:left="0" w:leftChars="0" w:right="0" w:rightChars="0"/>
              <w:jc w:val="center"/>
              <w:rPr>
                <w:b/>
                <w:bCs/>
                <w:color w:val="auto"/>
                <w:szCs w:val="21"/>
              </w:rPr>
            </w:pPr>
            <w:r>
              <w:rPr>
                <w:rFonts w:hint="eastAsia"/>
                <w:b/>
                <w:bCs/>
                <w:color w:val="auto"/>
                <w:szCs w:val="21"/>
              </w:rPr>
              <w:t>处理效率</w:t>
            </w:r>
          </w:p>
        </w:tc>
        <w:tc>
          <w:tcPr>
            <w:tcW w:w="435" w:type="pct"/>
            <w:noWrap w:val="0"/>
            <w:vAlign w:val="center"/>
          </w:tcPr>
          <w:p w14:paraId="5BDA6BE6">
            <w:pPr>
              <w:pStyle w:val="12"/>
              <w:spacing w:after="0"/>
              <w:ind w:left="0" w:leftChars="0" w:right="0" w:rightChars="0"/>
              <w:jc w:val="center"/>
              <w:rPr>
                <w:b/>
                <w:bCs/>
                <w:color w:val="auto"/>
                <w:szCs w:val="21"/>
              </w:rPr>
            </w:pPr>
            <w:r>
              <w:rPr>
                <w:rFonts w:hint="eastAsia"/>
                <w:b/>
                <w:bCs/>
                <w:color w:val="auto"/>
                <w:szCs w:val="21"/>
              </w:rPr>
              <w:t>是否为可行技术</w:t>
            </w:r>
          </w:p>
        </w:tc>
        <w:tc>
          <w:tcPr>
            <w:tcW w:w="468" w:type="pct"/>
            <w:noWrap w:val="0"/>
            <w:vAlign w:val="center"/>
          </w:tcPr>
          <w:p w14:paraId="565D24B9">
            <w:pPr>
              <w:pStyle w:val="12"/>
              <w:spacing w:after="0"/>
              <w:ind w:left="0" w:leftChars="0" w:right="0" w:rightChars="0"/>
              <w:jc w:val="center"/>
              <w:rPr>
                <w:rFonts w:hint="eastAsia"/>
                <w:b/>
                <w:bCs/>
                <w:color w:val="auto"/>
                <w:szCs w:val="21"/>
              </w:rPr>
            </w:pPr>
            <w:r>
              <w:rPr>
                <w:rFonts w:hint="eastAsia"/>
                <w:b/>
                <w:bCs/>
                <w:color w:val="auto"/>
                <w:szCs w:val="21"/>
              </w:rPr>
              <w:t>排放浓度mg/m</w:t>
            </w:r>
            <w:r>
              <w:rPr>
                <w:rFonts w:hint="eastAsia"/>
                <w:b/>
                <w:bCs/>
                <w:color w:val="auto"/>
                <w:szCs w:val="21"/>
                <w:vertAlign w:val="superscript"/>
              </w:rPr>
              <w:t>3</w:t>
            </w:r>
          </w:p>
        </w:tc>
        <w:tc>
          <w:tcPr>
            <w:tcW w:w="423" w:type="pct"/>
            <w:noWrap w:val="0"/>
            <w:vAlign w:val="center"/>
          </w:tcPr>
          <w:p w14:paraId="2111CDD9">
            <w:pPr>
              <w:pStyle w:val="12"/>
              <w:spacing w:after="0"/>
              <w:ind w:left="0" w:leftChars="0" w:right="0" w:rightChars="0"/>
              <w:jc w:val="center"/>
              <w:rPr>
                <w:rFonts w:hint="eastAsia"/>
                <w:b/>
                <w:bCs/>
                <w:color w:val="auto"/>
                <w:szCs w:val="21"/>
              </w:rPr>
            </w:pPr>
            <w:r>
              <w:rPr>
                <w:rFonts w:hint="eastAsia"/>
                <w:b/>
                <w:bCs/>
                <w:color w:val="auto"/>
                <w:szCs w:val="21"/>
              </w:rPr>
              <w:t>排放量t/a</w:t>
            </w:r>
          </w:p>
        </w:tc>
      </w:tr>
      <w:tr w14:paraId="31E29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2"/>
            <w:noWrap w:val="0"/>
            <w:vAlign w:val="center"/>
          </w:tcPr>
          <w:p w14:paraId="0763691C">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1号综合站场</w:t>
            </w:r>
          </w:p>
        </w:tc>
      </w:tr>
      <w:tr w14:paraId="425C8A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36" w:type="pct"/>
            <w:noWrap w:val="0"/>
            <w:vAlign w:val="center"/>
          </w:tcPr>
          <w:p w14:paraId="2AA7727E">
            <w:pPr>
              <w:pStyle w:val="12"/>
              <w:spacing w:after="0"/>
              <w:ind w:left="0" w:leftChars="0" w:right="0" w:rightChars="0"/>
              <w:jc w:val="center"/>
              <w:rPr>
                <w:color w:val="auto"/>
                <w:szCs w:val="21"/>
              </w:rPr>
            </w:pPr>
            <w:r>
              <w:rPr>
                <w:rFonts w:hint="eastAsia"/>
                <w:color w:val="auto"/>
                <w:szCs w:val="21"/>
              </w:rPr>
              <w:t>砂石卸料</w:t>
            </w:r>
          </w:p>
        </w:tc>
        <w:tc>
          <w:tcPr>
            <w:tcW w:w="369" w:type="pct"/>
            <w:vMerge w:val="restart"/>
            <w:noWrap w:val="0"/>
            <w:vAlign w:val="center"/>
          </w:tcPr>
          <w:p w14:paraId="29E21A87">
            <w:pPr>
              <w:pStyle w:val="12"/>
              <w:spacing w:after="0"/>
              <w:ind w:left="0" w:leftChars="0" w:right="0" w:rightChars="0"/>
              <w:jc w:val="center"/>
              <w:rPr>
                <w:color w:val="auto"/>
                <w:szCs w:val="21"/>
              </w:rPr>
            </w:pPr>
            <w:r>
              <w:rPr>
                <w:rFonts w:hint="eastAsia"/>
                <w:color w:val="auto"/>
                <w:szCs w:val="21"/>
              </w:rPr>
              <w:t>颗粒物</w:t>
            </w:r>
          </w:p>
        </w:tc>
        <w:tc>
          <w:tcPr>
            <w:tcW w:w="479" w:type="pct"/>
            <w:noWrap w:val="0"/>
            <w:vAlign w:val="center"/>
          </w:tcPr>
          <w:p w14:paraId="3B4C470B">
            <w:pPr>
              <w:pStyle w:val="12"/>
              <w:spacing w:after="0"/>
              <w:ind w:left="0" w:leftChars="0" w:right="0" w:rightChars="0"/>
              <w:jc w:val="center"/>
              <w:rPr>
                <w:color w:val="auto"/>
                <w:szCs w:val="21"/>
              </w:rPr>
            </w:pPr>
            <w:r>
              <w:rPr>
                <w:rFonts w:hint="eastAsia"/>
                <w:color w:val="auto"/>
                <w:szCs w:val="21"/>
              </w:rPr>
              <w:t>/</w:t>
            </w:r>
          </w:p>
        </w:tc>
        <w:tc>
          <w:tcPr>
            <w:tcW w:w="429" w:type="pct"/>
            <w:noWrap w:val="0"/>
            <w:vAlign w:val="center"/>
          </w:tcPr>
          <w:p w14:paraId="3F13E389">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w:t>
            </w:r>
            <w:r>
              <w:rPr>
                <w:rFonts w:hint="eastAsia"/>
                <w:color w:val="auto"/>
                <w:szCs w:val="21"/>
                <w:lang w:val="en-US" w:eastAsia="zh-CN"/>
              </w:rPr>
              <w:t>0</w:t>
            </w:r>
            <w:r>
              <w:rPr>
                <w:rFonts w:hint="eastAsia" w:eastAsia="宋体"/>
                <w:color w:val="auto"/>
                <w:szCs w:val="21"/>
                <w:lang w:val="en-US" w:eastAsia="zh-CN"/>
              </w:rPr>
              <w:t>355</w:t>
            </w:r>
          </w:p>
        </w:tc>
        <w:tc>
          <w:tcPr>
            <w:tcW w:w="313" w:type="pct"/>
            <w:vMerge w:val="restart"/>
            <w:noWrap w:val="0"/>
            <w:vAlign w:val="center"/>
          </w:tcPr>
          <w:p w14:paraId="624E8966">
            <w:pPr>
              <w:pStyle w:val="12"/>
              <w:spacing w:after="0"/>
              <w:ind w:left="0" w:leftChars="0" w:right="0" w:rightChars="0"/>
              <w:jc w:val="center"/>
              <w:rPr>
                <w:rFonts w:hint="eastAsia"/>
                <w:color w:val="auto"/>
                <w:szCs w:val="21"/>
              </w:rPr>
            </w:pPr>
            <w:r>
              <w:rPr>
                <w:rFonts w:hint="eastAsia"/>
                <w:color w:val="auto"/>
                <w:szCs w:val="21"/>
              </w:rPr>
              <w:t>无组织</w:t>
            </w:r>
          </w:p>
        </w:tc>
        <w:tc>
          <w:tcPr>
            <w:tcW w:w="443" w:type="pct"/>
            <w:noWrap w:val="0"/>
            <w:vAlign w:val="center"/>
          </w:tcPr>
          <w:p w14:paraId="0A26EBD4">
            <w:pPr>
              <w:pStyle w:val="12"/>
              <w:spacing w:after="0"/>
              <w:ind w:left="0" w:leftChars="0" w:right="0" w:rightChars="0"/>
              <w:jc w:val="center"/>
              <w:rPr>
                <w:color w:val="auto"/>
                <w:szCs w:val="21"/>
              </w:rPr>
            </w:pPr>
            <w:r>
              <w:rPr>
                <w:rFonts w:hint="eastAsia"/>
                <w:color w:val="auto"/>
                <w:szCs w:val="21"/>
              </w:rPr>
              <w:t>密闭、洒水</w:t>
            </w:r>
          </w:p>
        </w:tc>
        <w:tc>
          <w:tcPr>
            <w:tcW w:w="488" w:type="pct"/>
            <w:noWrap w:val="0"/>
            <w:vAlign w:val="center"/>
          </w:tcPr>
          <w:p w14:paraId="44D60F1C">
            <w:pPr>
              <w:jc w:val="center"/>
              <w:rPr>
                <w:color w:val="auto"/>
              </w:rPr>
            </w:pPr>
            <w:r>
              <w:rPr>
                <w:rFonts w:hint="eastAsia"/>
                <w:color w:val="auto"/>
              </w:rPr>
              <w:t>/</w:t>
            </w:r>
          </w:p>
        </w:tc>
        <w:tc>
          <w:tcPr>
            <w:tcW w:w="336" w:type="pct"/>
            <w:noWrap w:val="0"/>
            <w:vAlign w:val="center"/>
          </w:tcPr>
          <w:p w14:paraId="7FEA0519">
            <w:pPr>
              <w:pStyle w:val="12"/>
              <w:spacing w:after="0"/>
              <w:ind w:left="0" w:leftChars="0" w:right="0" w:rightChars="0"/>
              <w:jc w:val="center"/>
              <w:rPr>
                <w:color w:val="auto"/>
                <w:szCs w:val="21"/>
              </w:rPr>
            </w:pPr>
            <w:r>
              <w:rPr>
                <w:rFonts w:hint="eastAsia"/>
                <w:color w:val="auto"/>
                <w:szCs w:val="21"/>
              </w:rPr>
              <w:t>/</w:t>
            </w:r>
          </w:p>
        </w:tc>
        <w:tc>
          <w:tcPr>
            <w:tcW w:w="375" w:type="pct"/>
            <w:noWrap w:val="0"/>
            <w:vAlign w:val="center"/>
          </w:tcPr>
          <w:p w14:paraId="61991809">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99</w:t>
            </w:r>
          </w:p>
        </w:tc>
        <w:tc>
          <w:tcPr>
            <w:tcW w:w="435" w:type="pct"/>
            <w:noWrap w:val="0"/>
            <w:vAlign w:val="center"/>
          </w:tcPr>
          <w:p w14:paraId="075018FA">
            <w:pPr>
              <w:pStyle w:val="12"/>
              <w:spacing w:after="0"/>
              <w:ind w:left="0" w:leftChars="0" w:right="0" w:rightChars="0"/>
              <w:jc w:val="center"/>
              <w:rPr>
                <w:color w:val="auto"/>
                <w:szCs w:val="21"/>
              </w:rPr>
            </w:pPr>
            <w:r>
              <w:rPr>
                <w:rFonts w:hint="eastAsia"/>
                <w:color w:val="auto"/>
                <w:szCs w:val="21"/>
              </w:rPr>
              <w:t>是</w:t>
            </w:r>
          </w:p>
        </w:tc>
        <w:tc>
          <w:tcPr>
            <w:tcW w:w="468" w:type="pct"/>
            <w:noWrap w:val="0"/>
            <w:vAlign w:val="center"/>
          </w:tcPr>
          <w:p w14:paraId="5E9143D7">
            <w:pPr>
              <w:pStyle w:val="12"/>
              <w:spacing w:after="0"/>
              <w:ind w:left="0" w:leftChars="0" w:right="0" w:rightChars="0"/>
              <w:jc w:val="center"/>
              <w:rPr>
                <w:color w:val="auto"/>
                <w:szCs w:val="21"/>
              </w:rPr>
            </w:pPr>
            <w:r>
              <w:rPr>
                <w:rFonts w:hint="eastAsia"/>
                <w:color w:val="auto"/>
                <w:szCs w:val="21"/>
              </w:rPr>
              <w:t>/</w:t>
            </w:r>
          </w:p>
        </w:tc>
        <w:tc>
          <w:tcPr>
            <w:tcW w:w="423" w:type="pct"/>
            <w:noWrap w:val="0"/>
            <w:vAlign w:val="center"/>
          </w:tcPr>
          <w:p w14:paraId="706EBCD0">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0.0003</w:t>
            </w:r>
            <w:r>
              <w:rPr>
                <w:rFonts w:hint="eastAsia"/>
                <w:color w:val="auto"/>
                <w:szCs w:val="21"/>
                <w:lang w:val="en-US" w:eastAsia="zh-CN"/>
              </w:rPr>
              <w:t>6</w:t>
            </w:r>
          </w:p>
        </w:tc>
      </w:tr>
      <w:tr w14:paraId="1EBE9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36" w:type="pct"/>
            <w:noWrap w:val="0"/>
            <w:vAlign w:val="center"/>
          </w:tcPr>
          <w:p w14:paraId="01A7354E">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水泥筒仓</w:t>
            </w:r>
          </w:p>
        </w:tc>
        <w:tc>
          <w:tcPr>
            <w:tcW w:w="369" w:type="pct"/>
            <w:vMerge w:val="continue"/>
            <w:noWrap w:val="0"/>
            <w:vAlign w:val="center"/>
          </w:tcPr>
          <w:p w14:paraId="746C6403">
            <w:pPr>
              <w:pStyle w:val="12"/>
              <w:spacing w:after="0"/>
              <w:ind w:left="0" w:leftChars="0" w:right="0" w:rightChars="0"/>
              <w:jc w:val="center"/>
              <w:rPr>
                <w:rFonts w:hint="eastAsia"/>
                <w:color w:val="auto"/>
                <w:szCs w:val="21"/>
              </w:rPr>
            </w:pPr>
          </w:p>
        </w:tc>
        <w:tc>
          <w:tcPr>
            <w:tcW w:w="479" w:type="pct"/>
            <w:noWrap w:val="0"/>
            <w:vAlign w:val="center"/>
          </w:tcPr>
          <w:p w14:paraId="43FA5786">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9" w:type="pct"/>
            <w:noWrap w:val="0"/>
            <w:vAlign w:val="center"/>
          </w:tcPr>
          <w:p w14:paraId="45D96776">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2.1</w:t>
            </w:r>
          </w:p>
        </w:tc>
        <w:tc>
          <w:tcPr>
            <w:tcW w:w="313" w:type="pct"/>
            <w:vMerge w:val="continue"/>
            <w:noWrap w:val="0"/>
            <w:vAlign w:val="center"/>
          </w:tcPr>
          <w:p w14:paraId="26C38361">
            <w:pPr>
              <w:pStyle w:val="12"/>
              <w:spacing w:after="0"/>
              <w:ind w:left="0" w:leftChars="0" w:right="0" w:rightChars="0"/>
              <w:jc w:val="center"/>
              <w:rPr>
                <w:rFonts w:hint="eastAsia"/>
                <w:color w:val="auto"/>
                <w:szCs w:val="21"/>
              </w:rPr>
            </w:pPr>
          </w:p>
        </w:tc>
        <w:tc>
          <w:tcPr>
            <w:tcW w:w="443" w:type="pct"/>
            <w:noWrap w:val="0"/>
            <w:vAlign w:val="center"/>
          </w:tcPr>
          <w:p w14:paraId="6FB932CC">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仓顶除尘器</w:t>
            </w:r>
          </w:p>
        </w:tc>
        <w:tc>
          <w:tcPr>
            <w:tcW w:w="488" w:type="pct"/>
            <w:noWrap w:val="0"/>
            <w:vAlign w:val="center"/>
          </w:tcPr>
          <w:p w14:paraId="478888DD">
            <w:pPr>
              <w:jc w:val="center"/>
              <w:rPr>
                <w:rFonts w:hint="default" w:eastAsia="宋体"/>
                <w:color w:val="auto"/>
                <w:lang w:val="en-US" w:eastAsia="zh-CN"/>
              </w:rPr>
            </w:pPr>
            <w:r>
              <w:rPr>
                <w:rFonts w:hint="eastAsia"/>
                <w:color w:val="auto"/>
                <w:lang w:val="en-US" w:eastAsia="zh-CN"/>
              </w:rPr>
              <w:t>/</w:t>
            </w:r>
          </w:p>
        </w:tc>
        <w:tc>
          <w:tcPr>
            <w:tcW w:w="336" w:type="pct"/>
            <w:noWrap w:val="0"/>
            <w:vAlign w:val="center"/>
          </w:tcPr>
          <w:p w14:paraId="0E9C4BAE">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375" w:type="pct"/>
            <w:noWrap w:val="0"/>
            <w:vAlign w:val="center"/>
          </w:tcPr>
          <w:p w14:paraId="0C2C4496">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99.7</w:t>
            </w:r>
          </w:p>
        </w:tc>
        <w:tc>
          <w:tcPr>
            <w:tcW w:w="435" w:type="pct"/>
            <w:noWrap w:val="0"/>
            <w:vAlign w:val="center"/>
          </w:tcPr>
          <w:p w14:paraId="0F4CC29F">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是</w:t>
            </w:r>
          </w:p>
        </w:tc>
        <w:tc>
          <w:tcPr>
            <w:tcW w:w="468" w:type="pct"/>
            <w:noWrap w:val="0"/>
            <w:vAlign w:val="center"/>
          </w:tcPr>
          <w:p w14:paraId="3D942158">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3" w:type="pct"/>
            <w:noWrap w:val="0"/>
            <w:vAlign w:val="center"/>
          </w:tcPr>
          <w:p w14:paraId="4FA84869">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0.0065</w:t>
            </w:r>
          </w:p>
        </w:tc>
      </w:tr>
      <w:tr w14:paraId="43AA8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36" w:type="pct"/>
            <w:noWrap w:val="0"/>
            <w:vAlign w:val="center"/>
          </w:tcPr>
          <w:p w14:paraId="3F525712">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粉煤灰筒仓</w:t>
            </w:r>
          </w:p>
        </w:tc>
        <w:tc>
          <w:tcPr>
            <w:tcW w:w="369" w:type="pct"/>
            <w:vMerge w:val="continue"/>
            <w:noWrap w:val="0"/>
            <w:vAlign w:val="center"/>
          </w:tcPr>
          <w:p w14:paraId="25608F9C">
            <w:pPr>
              <w:pStyle w:val="12"/>
              <w:spacing w:after="0"/>
              <w:ind w:left="0" w:leftChars="0" w:right="0" w:rightChars="0"/>
              <w:jc w:val="center"/>
              <w:rPr>
                <w:rFonts w:hint="eastAsia"/>
                <w:color w:val="auto"/>
                <w:szCs w:val="21"/>
              </w:rPr>
            </w:pPr>
          </w:p>
        </w:tc>
        <w:tc>
          <w:tcPr>
            <w:tcW w:w="479" w:type="pct"/>
            <w:noWrap w:val="0"/>
            <w:vAlign w:val="center"/>
          </w:tcPr>
          <w:p w14:paraId="655C2E84">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9" w:type="pct"/>
            <w:noWrap w:val="0"/>
            <w:vAlign w:val="center"/>
          </w:tcPr>
          <w:p w14:paraId="3069B139">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0.17</w:t>
            </w:r>
          </w:p>
        </w:tc>
        <w:tc>
          <w:tcPr>
            <w:tcW w:w="313" w:type="pct"/>
            <w:vMerge w:val="continue"/>
            <w:noWrap w:val="0"/>
            <w:vAlign w:val="center"/>
          </w:tcPr>
          <w:p w14:paraId="3CC56790">
            <w:pPr>
              <w:pStyle w:val="12"/>
              <w:spacing w:after="0"/>
              <w:ind w:left="0" w:leftChars="0" w:right="0" w:rightChars="0"/>
              <w:jc w:val="center"/>
              <w:rPr>
                <w:rFonts w:hint="eastAsia"/>
                <w:color w:val="auto"/>
                <w:szCs w:val="21"/>
              </w:rPr>
            </w:pPr>
          </w:p>
        </w:tc>
        <w:tc>
          <w:tcPr>
            <w:tcW w:w="443" w:type="pct"/>
            <w:noWrap w:val="0"/>
            <w:vAlign w:val="center"/>
          </w:tcPr>
          <w:p w14:paraId="4603B5AF">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仓顶除尘器</w:t>
            </w:r>
          </w:p>
        </w:tc>
        <w:tc>
          <w:tcPr>
            <w:tcW w:w="488" w:type="pct"/>
            <w:noWrap w:val="0"/>
            <w:vAlign w:val="center"/>
          </w:tcPr>
          <w:p w14:paraId="5FC3F86A">
            <w:pPr>
              <w:jc w:val="center"/>
              <w:rPr>
                <w:rFonts w:hint="default"/>
                <w:color w:val="auto"/>
                <w:lang w:val="en-US" w:eastAsia="zh-CN"/>
              </w:rPr>
            </w:pPr>
            <w:r>
              <w:rPr>
                <w:rFonts w:hint="eastAsia"/>
                <w:color w:val="auto"/>
                <w:lang w:val="en-US" w:eastAsia="zh-CN"/>
              </w:rPr>
              <w:t>/</w:t>
            </w:r>
          </w:p>
        </w:tc>
        <w:tc>
          <w:tcPr>
            <w:tcW w:w="336" w:type="pct"/>
            <w:noWrap w:val="0"/>
            <w:vAlign w:val="center"/>
          </w:tcPr>
          <w:p w14:paraId="78D3A7DE">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375" w:type="pct"/>
            <w:noWrap w:val="0"/>
            <w:vAlign w:val="center"/>
          </w:tcPr>
          <w:p w14:paraId="27901AD7">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99.7</w:t>
            </w:r>
          </w:p>
        </w:tc>
        <w:tc>
          <w:tcPr>
            <w:tcW w:w="435" w:type="pct"/>
            <w:noWrap w:val="0"/>
            <w:vAlign w:val="center"/>
          </w:tcPr>
          <w:p w14:paraId="467B862C">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是</w:t>
            </w:r>
          </w:p>
        </w:tc>
        <w:tc>
          <w:tcPr>
            <w:tcW w:w="468" w:type="pct"/>
            <w:noWrap w:val="0"/>
            <w:vAlign w:val="center"/>
          </w:tcPr>
          <w:p w14:paraId="3F0BA84D">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w:t>
            </w:r>
          </w:p>
        </w:tc>
        <w:tc>
          <w:tcPr>
            <w:tcW w:w="423" w:type="pct"/>
            <w:noWrap w:val="0"/>
            <w:vAlign w:val="center"/>
          </w:tcPr>
          <w:p w14:paraId="2CE70097">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0.0005</w:t>
            </w:r>
          </w:p>
        </w:tc>
      </w:tr>
      <w:tr w14:paraId="0CF3A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36" w:type="pct"/>
            <w:noWrap w:val="0"/>
            <w:vAlign w:val="center"/>
          </w:tcPr>
          <w:p w14:paraId="4DF066D2">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搅拌</w:t>
            </w:r>
          </w:p>
        </w:tc>
        <w:tc>
          <w:tcPr>
            <w:tcW w:w="369" w:type="pct"/>
            <w:vMerge w:val="continue"/>
            <w:noWrap w:val="0"/>
            <w:vAlign w:val="center"/>
          </w:tcPr>
          <w:p w14:paraId="1760766F">
            <w:pPr>
              <w:pStyle w:val="12"/>
              <w:spacing w:after="0"/>
              <w:ind w:left="0" w:leftChars="0" w:right="0" w:rightChars="0"/>
              <w:jc w:val="center"/>
              <w:rPr>
                <w:rFonts w:hint="eastAsia"/>
                <w:color w:val="auto"/>
                <w:szCs w:val="21"/>
              </w:rPr>
            </w:pPr>
          </w:p>
        </w:tc>
        <w:tc>
          <w:tcPr>
            <w:tcW w:w="479" w:type="pct"/>
            <w:noWrap w:val="0"/>
            <w:vAlign w:val="center"/>
          </w:tcPr>
          <w:p w14:paraId="39473FEE">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9" w:type="pct"/>
            <w:noWrap w:val="0"/>
            <w:vAlign w:val="center"/>
          </w:tcPr>
          <w:p w14:paraId="21CFA37A">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16.11</w:t>
            </w:r>
          </w:p>
        </w:tc>
        <w:tc>
          <w:tcPr>
            <w:tcW w:w="313" w:type="pct"/>
            <w:vMerge w:val="continue"/>
            <w:noWrap w:val="0"/>
            <w:vAlign w:val="center"/>
          </w:tcPr>
          <w:p w14:paraId="235BD662">
            <w:pPr>
              <w:pStyle w:val="12"/>
              <w:spacing w:after="0"/>
              <w:ind w:left="0" w:leftChars="0" w:right="0" w:rightChars="0"/>
              <w:jc w:val="center"/>
              <w:rPr>
                <w:rFonts w:hint="eastAsia"/>
                <w:color w:val="auto"/>
                <w:szCs w:val="21"/>
              </w:rPr>
            </w:pPr>
          </w:p>
        </w:tc>
        <w:tc>
          <w:tcPr>
            <w:tcW w:w="443" w:type="pct"/>
            <w:noWrap w:val="0"/>
            <w:vAlign w:val="center"/>
          </w:tcPr>
          <w:p w14:paraId="7E113BE3">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密闭搅拌楼、湿法搅拌</w:t>
            </w:r>
          </w:p>
        </w:tc>
        <w:tc>
          <w:tcPr>
            <w:tcW w:w="488" w:type="pct"/>
            <w:noWrap w:val="0"/>
            <w:vAlign w:val="center"/>
          </w:tcPr>
          <w:p w14:paraId="4DE9B691">
            <w:pPr>
              <w:jc w:val="center"/>
              <w:rPr>
                <w:rFonts w:hint="default"/>
                <w:color w:val="auto"/>
                <w:lang w:val="en-US" w:eastAsia="zh-CN"/>
              </w:rPr>
            </w:pPr>
            <w:r>
              <w:rPr>
                <w:rFonts w:hint="eastAsia"/>
                <w:color w:val="auto"/>
                <w:lang w:val="en-US" w:eastAsia="zh-CN"/>
              </w:rPr>
              <w:t>/</w:t>
            </w:r>
          </w:p>
        </w:tc>
        <w:tc>
          <w:tcPr>
            <w:tcW w:w="336" w:type="pct"/>
            <w:noWrap w:val="0"/>
            <w:vAlign w:val="center"/>
          </w:tcPr>
          <w:p w14:paraId="6772FFE4">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375" w:type="pct"/>
            <w:noWrap w:val="0"/>
            <w:vAlign w:val="center"/>
          </w:tcPr>
          <w:p w14:paraId="661CA26C">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80</w:t>
            </w:r>
          </w:p>
        </w:tc>
        <w:tc>
          <w:tcPr>
            <w:tcW w:w="435" w:type="pct"/>
            <w:noWrap w:val="0"/>
            <w:vAlign w:val="center"/>
          </w:tcPr>
          <w:p w14:paraId="7BEF7975">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是</w:t>
            </w:r>
          </w:p>
        </w:tc>
        <w:tc>
          <w:tcPr>
            <w:tcW w:w="468" w:type="pct"/>
            <w:noWrap w:val="0"/>
            <w:vAlign w:val="center"/>
          </w:tcPr>
          <w:p w14:paraId="44E183EA">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3" w:type="pct"/>
            <w:noWrap w:val="0"/>
            <w:vAlign w:val="center"/>
          </w:tcPr>
          <w:p w14:paraId="434D8DA6">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3.22</w:t>
            </w:r>
          </w:p>
        </w:tc>
      </w:tr>
      <w:tr w14:paraId="63EE2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1E70EC49">
            <w:pPr>
              <w:pStyle w:val="12"/>
              <w:spacing w:after="0"/>
              <w:ind w:left="0" w:leftChars="0" w:right="0" w:rightChars="0"/>
              <w:jc w:val="center"/>
              <w:rPr>
                <w:color w:val="auto"/>
                <w:szCs w:val="21"/>
              </w:rPr>
            </w:pPr>
            <w:r>
              <w:rPr>
                <w:rFonts w:hint="eastAsia"/>
                <w:color w:val="auto"/>
                <w:szCs w:val="21"/>
              </w:rPr>
              <w:t>运输车辆</w:t>
            </w:r>
          </w:p>
        </w:tc>
        <w:tc>
          <w:tcPr>
            <w:tcW w:w="369" w:type="pct"/>
            <w:vMerge w:val="continue"/>
            <w:noWrap w:val="0"/>
            <w:vAlign w:val="center"/>
          </w:tcPr>
          <w:p w14:paraId="0CD60991">
            <w:pPr>
              <w:pStyle w:val="12"/>
              <w:spacing w:after="0"/>
              <w:ind w:left="0" w:leftChars="0" w:right="0" w:rightChars="0"/>
              <w:jc w:val="center"/>
              <w:rPr>
                <w:rFonts w:hint="eastAsia"/>
                <w:color w:val="auto"/>
                <w:szCs w:val="21"/>
              </w:rPr>
            </w:pPr>
          </w:p>
        </w:tc>
        <w:tc>
          <w:tcPr>
            <w:tcW w:w="479" w:type="pct"/>
            <w:noWrap w:val="0"/>
            <w:vAlign w:val="center"/>
          </w:tcPr>
          <w:p w14:paraId="4673B414">
            <w:pPr>
              <w:pStyle w:val="12"/>
              <w:spacing w:after="0"/>
              <w:ind w:left="0" w:leftChars="0" w:right="0" w:rightChars="0"/>
              <w:jc w:val="center"/>
              <w:rPr>
                <w:color w:val="auto"/>
                <w:szCs w:val="21"/>
              </w:rPr>
            </w:pPr>
            <w:r>
              <w:rPr>
                <w:rFonts w:hint="eastAsia"/>
                <w:color w:val="auto"/>
                <w:szCs w:val="21"/>
              </w:rPr>
              <w:t>/</w:t>
            </w:r>
          </w:p>
        </w:tc>
        <w:tc>
          <w:tcPr>
            <w:tcW w:w="429" w:type="pct"/>
            <w:noWrap w:val="0"/>
            <w:vAlign w:val="center"/>
          </w:tcPr>
          <w:p w14:paraId="0B225E5E">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0.65</w:t>
            </w:r>
          </w:p>
        </w:tc>
        <w:tc>
          <w:tcPr>
            <w:tcW w:w="313" w:type="pct"/>
            <w:vMerge w:val="continue"/>
            <w:noWrap w:val="0"/>
            <w:vAlign w:val="center"/>
          </w:tcPr>
          <w:p w14:paraId="36D39A85">
            <w:pPr>
              <w:pStyle w:val="12"/>
              <w:spacing w:after="0"/>
              <w:ind w:left="0" w:leftChars="0" w:right="0" w:rightChars="0"/>
              <w:jc w:val="center"/>
              <w:rPr>
                <w:rFonts w:hint="eastAsia"/>
                <w:color w:val="auto"/>
                <w:szCs w:val="21"/>
              </w:rPr>
            </w:pPr>
          </w:p>
        </w:tc>
        <w:tc>
          <w:tcPr>
            <w:tcW w:w="443" w:type="pct"/>
            <w:noWrap w:val="0"/>
            <w:vAlign w:val="center"/>
          </w:tcPr>
          <w:p w14:paraId="4E28AF71">
            <w:pPr>
              <w:pStyle w:val="12"/>
              <w:spacing w:after="0"/>
              <w:ind w:left="0" w:leftChars="0" w:right="0" w:rightChars="0"/>
              <w:jc w:val="center"/>
              <w:rPr>
                <w:color w:val="auto"/>
                <w:szCs w:val="21"/>
              </w:rPr>
            </w:pPr>
            <w:r>
              <w:rPr>
                <w:rFonts w:hint="eastAsia"/>
                <w:color w:val="auto"/>
                <w:szCs w:val="21"/>
              </w:rPr>
              <w:t>洒水</w:t>
            </w:r>
          </w:p>
        </w:tc>
        <w:tc>
          <w:tcPr>
            <w:tcW w:w="488" w:type="pct"/>
            <w:noWrap w:val="0"/>
            <w:vAlign w:val="center"/>
          </w:tcPr>
          <w:p w14:paraId="0B26315A">
            <w:pPr>
              <w:pStyle w:val="12"/>
              <w:spacing w:after="0"/>
              <w:ind w:left="0" w:leftChars="0" w:right="0" w:rightChars="0"/>
              <w:jc w:val="center"/>
              <w:rPr>
                <w:color w:val="auto"/>
                <w:szCs w:val="21"/>
              </w:rPr>
            </w:pPr>
            <w:r>
              <w:rPr>
                <w:rFonts w:hint="eastAsia"/>
                <w:color w:val="auto"/>
                <w:szCs w:val="21"/>
              </w:rPr>
              <w:t>/</w:t>
            </w:r>
          </w:p>
        </w:tc>
        <w:tc>
          <w:tcPr>
            <w:tcW w:w="336" w:type="pct"/>
            <w:noWrap w:val="0"/>
            <w:vAlign w:val="center"/>
          </w:tcPr>
          <w:p w14:paraId="5674A153">
            <w:pPr>
              <w:pStyle w:val="12"/>
              <w:spacing w:after="0"/>
              <w:ind w:left="0" w:leftChars="0" w:right="0" w:rightChars="0"/>
              <w:jc w:val="center"/>
              <w:rPr>
                <w:color w:val="auto"/>
                <w:szCs w:val="21"/>
              </w:rPr>
            </w:pPr>
            <w:r>
              <w:rPr>
                <w:rFonts w:hint="eastAsia"/>
                <w:color w:val="auto"/>
                <w:szCs w:val="21"/>
              </w:rPr>
              <w:t>/</w:t>
            </w:r>
          </w:p>
        </w:tc>
        <w:tc>
          <w:tcPr>
            <w:tcW w:w="375" w:type="pct"/>
            <w:noWrap w:val="0"/>
            <w:vAlign w:val="center"/>
          </w:tcPr>
          <w:p w14:paraId="2043422C">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74</w:t>
            </w:r>
          </w:p>
        </w:tc>
        <w:tc>
          <w:tcPr>
            <w:tcW w:w="435" w:type="pct"/>
            <w:noWrap w:val="0"/>
            <w:vAlign w:val="center"/>
          </w:tcPr>
          <w:p w14:paraId="46202947">
            <w:pPr>
              <w:pStyle w:val="12"/>
              <w:spacing w:after="0"/>
              <w:ind w:left="0" w:leftChars="0" w:right="0" w:rightChars="0"/>
              <w:jc w:val="center"/>
              <w:rPr>
                <w:color w:val="auto"/>
                <w:szCs w:val="21"/>
              </w:rPr>
            </w:pPr>
            <w:r>
              <w:rPr>
                <w:rFonts w:hint="eastAsia"/>
                <w:color w:val="auto"/>
                <w:szCs w:val="21"/>
              </w:rPr>
              <w:t>是</w:t>
            </w:r>
          </w:p>
        </w:tc>
        <w:tc>
          <w:tcPr>
            <w:tcW w:w="468" w:type="pct"/>
            <w:noWrap w:val="0"/>
            <w:vAlign w:val="center"/>
          </w:tcPr>
          <w:p w14:paraId="04F97DE1">
            <w:pPr>
              <w:pStyle w:val="12"/>
              <w:spacing w:after="0"/>
              <w:ind w:left="0" w:leftChars="0" w:right="0" w:rightChars="0"/>
              <w:jc w:val="center"/>
              <w:rPr>
                <w:color w:val="auto"/>
                <w:szCs w:val="21"/>
              </w:rPr>
            </w:pPr>
            <w:r>
              <w:rPr>
                <w:rFonts w:hint="eastAsia"/>
                <w:color w:val="auto"/>
                <w:szCs w:val="21"/>
              </w:rPr>
              <w:t>/</w:t>
            </w:r>
          </w:p>
        </w:tc>
        <w:tc>
          <w:tcPr>
            <w:tcW w:w="423" w:type="pct"/>
            <w:noWrap w:val="0"/>
            <w:vAlign w:val="center"/>
          </w:tcPr>
          <w:p w14:paraId="158B8F7B">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0.17</w:t>
            </w:r>
          </w:p>
        </w:tc>
      </w:tr>
      <w:tr w14:paraId="1E1AA5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2"/>
            <w:noWrap w:val="0"/>
            <w:vAlign w:val="center"/>
          </w:tcPr>
          <w:p w14:paraId="0AF43F1E">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3号综合站场</w:t>
            </w:r>
          </w:p>
        </w:tc>
      </w:tr>
      <w:tr w14:paraId="4D7FF9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50AF45C1">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砂石卸料</w:t>
            </w:r>
          </w:p>
        </w:tc>
        <w:tc>
          <w:tcPr>
            <w:tcW w:w="369" w:type="pct"/>
            <w:vMerge w:val="restart"/>
            <w:noWrap w:val="0"/>
            <w:vAlign w:val="center"/>
          </w:tcPr>
          <w:p w14:paraId="6D41FBA4">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颗粒物</w:t>
            </w:r>
          </w:p>
        </w:tc>
        <w:tc>
          <w:tcPr>
            <w:tcW w:w="479" w:type="pct"/>
            <w:noWrap w:val="0"/>
            <w:vAlign w:val="center"/>
          </w:tcPr>
          <w:p w14:paraId="21CDC97E">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w:t>
            </w:r>
          </w:p>
        </w:tc>
        <w:tc>
          <w:tcPr>
            <w:tcW w:w="429" w:type="pct"/>
            <w:noWrap w:val="0"/>
            <w:vAlign w:val="center"/>
          </w:tcPr>
          <w:p w14:paraId="082010F3">
            <w:pPr>
              <w:pStyle w:val="12"/>
              <w:spacing w:after="0"/>
              <w:ind w:left="0" w:leftChars="0" w:right="0" w:rightChars="0"/>
              <w:jc w:val="center"/>
              <w:rPr>
                <w:rFonts w:hint="default" w:eastAsia="宋体"/>
                <w:color w:val="auto"/>
                <w:kern w:val="2"/>
                <w:sz w:val="21"/>
                <w:szCs w:val="21"/>
                <w:lang w:val="en-US" w:eastAsia="zh-CN" w:bidi="ar-SA"/>
              </w:rPr>
            </w:pPr>
            <w:r>
              <w:rPr>
                <w:rFonts w:hint="eastAsia" w:eastAsia="宋体"/>
                <w:color w:val="auto"/>
                <w:szCs w:val="21"/>
                <w:lang w:val="en-US" w:eastAsia="zh-CN"/>
              </w:rPr>
              <w:t>0.</w:t>
            </w:r>
            <w:r>
              <w:rPr>
                <w:rFonts w:hint="eastAsia"/>
                <w:color w:val="auto"/>
                <w:szCs w:val="21"/>
                <w:lang w:val="en-US" w:eastAsia="zh-CN"/>
              </w:rPr>
              <w:t>0</w:t>
            </w:r>
            <w:r>
              <w:rPr>
                <w:rFonts w:hint="eastAsia" w:eastAsia="宋体"/>
                <w:color w:val="auto"/>
                <w:szCs w:val="21"/>
                <w:lang w:val="en-US" w:eastAsia="zh-CN"/>
              </w:rPr>
              <w:t>355</w:t>
            </w:r>
          </w:p>
        </w:tc>
        <w:tc>
          <w:tcPr>
            <w:tcW w:w="313" w:type="pct"/>
            <w:vMerge w:val="restart"/>
            <w:noWrap w:val="0"/>
            <w:vAlign w:val="center"/>
          </w:tcPr>
          <w:p w14:paraId="6DD1544F">
            <w:pPr>
              <w:pStyle w:val="12"/>
              <w:spacing w:after="0"/>
              <w:ind w:left="0" w:leftChars="0" w:right="0" w:rightChars="0"/>
              <w:jc w:val="center"/>
              <w:rPr>
                <w:rFonts w:hint="eastAsia"/>
                <w:color w:val="auto"/>
                <w:szCs w:val="21"/>
              </w:rPr>
            </w:pPr>
            <w:r>
              <w:rPr>
                <w:rFonts w:hint="eastAsia"/>
                <w:color w:val="auto"/>
                <w:szCs w:val="21"/>
              </w:rPr>
              <w:t>无组织</w:t>
            </w:r>
          </w:p>
        </w:tc>
        <w:tc>
          <w:tcPr>
            <w:tcW w:w="443" w:type="pct"/>
            <w:noWrap w:val="0"/>
            <w:vAlign w:val="center"/>
          </w:tcPr>
          <w:p w14:paraId="44177036">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密闭、洒水</w:t>
            </w:r>
          </w:p>
        </w:tc>
        <w:tc>
          <w:tcPr>
            <w:tcW w:w="488" w:type="pct"/>
            <w:noWrap w:val="0"/>
            <w:vAlign w:val="center"/>
          </w:tcPr>
          <w:p w14:paraId="4EF3F74B">
            <w:pPr>
              <w:jc w:val="center"/>
              <w:rPr>
                <w:rFonts w:hint="eastAsia"/>
                <w:color w:val="auto"/>
                <w:kern w:val="2"/>
                <w:sz w:val="21"/>
                <w:szCs w:val="24"/>
                <w:lang w:val="en-US" w:eastAsia="zh-CN" w:bidi="ar-SA"/>
              </w:rPr>
            </w:pPr>
            <w:r>
              <w:rPr>
                <w:rFonts w:hint="eastAsia"/>
                <w:color w:val="auto"/>
              </w:rPr>
              <w:t>/</w:t>
            </w:r>
          </w:p>
        </w:tc>
        <w:tc>
          <w:tcPr>
            <w:tcW w:w="336" w:type="pct"/>
            <w:noWrap w:val="0"/>
            <w:vAlign w:val="center"/>
          </w:tcPr>
          <w:p w14:paraId="5A1F0C13">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w:t>
            </w:r>
          </w:p>
        </w:tc>
        <w:tc>
          <w:tcPr>
            <w:tcW w:w="375" w:type="pct"/>
            <w:noWrap w:val="0"/>
            <w:vAlign w:val="center"/>
          </w:tcPr>
          <w:p w14:paraId="6092707F">
            <w:pPr>
              <w:pStyle w:val="12"/>
              <w:spacing w:after="0"/>
              <w:ind w:left="0" w:leftChars="0" w:right="0" w:rightChars="0"/>
              <w:jc w:val="center"/>
              <w:rPr>
                <w:rFonts w:hint="default" w:eastAsia="宋体"/>
                <w:color w:val="auto"/>
                <w:kern w:val="2"/>
                <w:sz w:val="21"/>
                <w:szCs w:val="21"/>
                <w:lang w:val="en-US" w:eastAsia="zh-CN" w:bidi="ar-SA"/>
              </w:rPr>
            </w:pPr>
            <w:r>
              <w:rPr>
                <w:rFonts w:hint="eastAsia"/>
                <w:color w:val="auto"/>
                <w:szCs w:val="21"/>
                <w:lang w:val="en-US" w:eastAsia="zh-CN"/>
              </w:rPr>
              <w:t>99</w:t>
            </w:r>
          </w:p>
        </w:tc>
        <w:tc>
          <w:tcPr>
            <w:tcW w:w="435" w:type="pct"/>
            <w:noWrap w:val="0"/>
            <w:vAlign w:val="center"/>
          </w:tcPr>
          <w:p w14:paraId="720867D3">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是</w:t>
            </w:r>
          </w:p>
        </w:tc>
        <w:tc>
          <w:tcPr>
            <w:tcW w:w="468" w:type="pct"/>
            <w:noWrap w:val="0"/>
            <w:vAlign w:val="center"/>
          </w:tcPr>
          <w:p w14:paraId="43BA2CAF">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3" w:type="pct"/>
            <w:noWrap w:val="0"/>
            <w:vAlign w:val="center"/>
          </w:tcPr>
          <w:p w14:paraId="546DE382">
            <w:pPr>
              <w:pStyle w:val="12"/>
              <w:spacing w:after="0"/>
              <w:ind w:left="0" w:leftChars="0" w:right="0" w:rightChars="0"/>
              <w:jc w:val="center"/>
              <w:rPr>
                <w:rFonts w:hint="default"/>
                <w:color w:val="auto"/>
                <w:szCs w:val="21"/>
                <w:lang w:val="en-US" w:eastAsia="zh-CN"/>
              </w:rPr>
            </w:pPr>
            <w:r>
              <w:rPr>
                <w:rFonts w:hint="eastAsia" w:eastAsia="宋体"/>
                <w:color w:val="auto"/>
                <w:szCs w:val="21"/>
                <w:lang w:val="en-US" w:eastAsia="zh-CN"/>
              </w:rPr>
              <w:t>0.0003</w:t>
            </w:r>
            <w:r>
              <w:rPr>
                <w:rFonts w:hint="eastAsia"/>
                <w:color w:val="auto"/>
                <w:szCs w:val="21"/>
                <w:lang w:val="en-US" w:eastAsia="zh-CN"/>
              </w:rPr>
              <w:t>6</w:t>
            </w:r>
          </w:p>
        </w:tc>
      </w:tr>
      <w:tr w14:paraId="24A3E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5DDAAC48">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水泥筒仓</w:t>
            </w:r>
          </w:p>
        </w:tc>
        <w:tc>
          <w:tcPr>
            <w:tcW w:w="369" w:type="pct"/>
            <w:vMerge w:val="continue"/>
            <w:noWrap w:val="0"/>
            <w:vAlign w:val="center"/>
          </w:tcPr>
          <w:p w14:paraId="4BC05DF5">
            <w:pPr>
              <w:pStyle w:val="12"/>
              <w:spacing w:after="0"/>
              <w:ind w:left="0" w:leftChars="0" w:right="0" w:rightChars="0"/>
              <w:jc w:val="center"/>
              <w:rPr>
                <w:rFonts w:hint="eastAsia"/>
                <w:color w:val="auto"/>
                <w:szCs w:val="21"/>
              </w:rPr>
            </w:pPr>
          </w:p>
        </w:tc>
        <w:tc>
          <w:tcPr>
            <w:tcW w:w="479" w:type="pct"/>
            <w:noWrap w:val="0"/>
            <w:vAlign w:val="center"/>
          </w:tcPr>
          <w:p w14:paraId="5920F903">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w:t>
            </w:r>
          </w:p>
        </w:tc>
        <w:tc>
          <w:tcPr>
            <w:tcW w:w="429" w:type="pct"/>
            <w:noWrap w:val="0"/>
            <w:vAlign w:val="center"/>
          </w:tcPr>
          <w:p w14:paraId="7993B437">
            <w:pPr>
              <w:pStyle w:val="12"/>
              <w:spacing w:after="0"/>
              <w:ind w:left="0" w:leftChars="0" w:right="0" w:rightChars="0"/>
              <w:jc w:val="center"/>
              <w:rPr>
                <w:rFonts w:hint="default" w:eastAsia="宋体"/>
                <w:color w:val="auto"/>
                <w:kern w:val="2"/>
                <w:sz w:val="21"/>
                <w:szCs w:val="21"/>
                <w:lang w:val="en-US" w:eastAsia="zh-CN" w:bidi="ar-SA"/>
              </w:rPr>
            </w:pPr>
            <w:r>
              <w:rPr>
                <w:rFonts w:hint="eastAsia" w:eastAsia="宋体"/>
                <w:color w:val="auto"/>
                <w:szCs w:val="21"/>
                <w:lang w:val="en-US" w:eastAsia="zh-CN"/>
              </w:rPr>
              <w:t>2.1</w:t>
            </w:r>
          </w:p>
        </w:tc>
        <w:tc>
          <w:tcPr>
            <w:tcW w:w="313" w:type="pct"/>
            <w:vMerge w:val="continue"/>
            <w:noWrap w:val="0"/>
            <w:vAlign w:val="center"/>
          </w:tcPr>
          <w:p w14:paraId="5F3A2A73">
            <w:pPr>
              <w:pStyle w:val="12"/>
              <w:spacing w:after="0"/>
              <w:ind w:left="0" w:leftChars="0" w:right="0" w:rightChars="0"/>
              <w:jc w:val="center"/>
              <w:rPr>
                <w:rFonts w:hint="eastAsia"/>
                <w:color w:val="auto"/>
                <w:szCs w:val="21"/>
              </w:rPr>
            </w:pPr>
          </w:p>
        </w:tc>
        <w:tc>
          <w:tcPr>
            <w:tcW w:w="443" w:type="pct"/>
            <w:noWrap w:val="0"/>
            <w:vAlign w:val="center"/>
          </w:tcPr>
          <w:p w14:paraId="32C5EA10">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仓顶除尘器</w:t>
            </w:r>
          </w:p>
        </w:tc>
        <w:tc>
          <w:tcPr>
            <w:tcW w:w="488" w:type="pct"/>
            <w:noWrap w:val="0"/>
            <w:vAlign w:val="center"/>
          </w:tcPr>
          <w:p w14:paraId="0989DA64">
            <w:pPr>
              <w:jc w:val="center"/>
              <w:rPr>
                <w:rFonts w:hint="eastAsia" w:eastAsia="宋体"/>
                <w:color w:val="auto"/>
                <w:kern w:val="2"/>
                <w:sz w:val="21"/>
                <w:szCs w:val="24"/>
                <w:lang w:val="en-US" w:eastAsia="zh-CN" w:bidi="ar-SA"/>
              </w:rPr>
            </w:pPr>
            <w:r>
              <w:rPr>
                <w:rFonts w:hint="eastAsia"/>
                <w:color w:val="auto"/>
                <w:lang w:val="en-US" w:eastAsia="zh-CN"/>
              </w:rPr>
              <w:t>/</w:t>
            </w:r>
          </w:p>
        </w:tc>
        <w:tc>
          <w:tcPr>
            <w:tcW w:w="336" w:type="pct"/>
            <w:noWrap w:val="0"/>
            <w:vAlign w:val="center"/>
          </w:tcPr>
          <w:p w14:paraId="56C1B058">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w:t>
            </w:r>
          </w:p>
        </w:tc>
        <w:tc>
          <w:tcPr>
            <w:tcW w:w="375" w:type="pct"/>
            <w:noWrap w:val="0"/>
            <w:vAlign w:val="center"/>
          </w:tcPr>
          <w:p w14:paraId="3FA6184A">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99.7</w:t>
            </w:r>
          </w:p>
        </w:tc>
        <w:tc>
          <w:tcPr>
            <w:tcW w:w="435" w:type="pct"/>
            <w:noWrap w:val="0"/>
            <w:vAlign w:val="center"/>
          </w:tcPr>
          <w:p w14:paraId="4F91111C">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是</w:t>
            </w:r>
          </w:p>
        </w:tc>
        <w:tc>
          <w:tcPr>
            <w:tcW w:w="468" w:type="pct"/>
            <w:noWrap w:val="0"/>
            <w:vAlign w:val="center"/>
          </w:tcPr>
          <w:p w14:paraId="37800699">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3" w:type="pct"/>
            <w:noWrap w:val="0"/>
            <w:vAlign w:val="center"/>
          </w:tcPr>
          <w:p w14:paraId="780A0D7D">
            <w:pPr>
              <w:pStyle w:val="12"/>
              <w:spacing w:after="0"/>
              <w:ind w:left="0" w:leftChars="0" w:right="0" w:rightChars="0"/>
              <w:jc w:val="center"/>
              <w:rPr>
                <w:rFonts w:hint="default"/>
                <w:color w:val="auto"/>
                <w:szCs w:val="21"/>
                <w:lang w:val="en-US" w:eastAsia="zh-CN"/>
              </w:rPr>
            </w:pPr>
            <w:r>
              <w:rPr>
                <w:rFonts w:hint="eastAsia" w:eastAsia="宋体"/>
                <w:color w:val="auto"/>
                <w:szCs w:val="21"/>
                <w:lang w:val="en-US" w:eastAsia="zh-CN"/>
              </w:rPr>
              <w:t>0.0065</w:t>
            </w:r>
          </w:p>
        </w:tc>
      </w:tr>
      <w:tr w14:paraId="38B61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75644EEC">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粉煤灰筒仓</w:t>
            </w:r>
          </w:p>
        </w:tc>
        <w:tc>
          <w:tcPr>
            <w:tcW w:w="369" w:type="pct"/>
            <w:vMerge w:val="continue"/>
            <w:noWrap w:val="0"/>
            <w:vAlign w:val="center"/>
          </w:tcPr>
          <w:p w14:paraId="1348C9FF">
            <w:pPr>
              <w:pStyle w:val="12"/>
              <w:spacing w:after="0"/>
              <w:ind w:left="0" w:leftChars="0" w:right="0" w:rightChars="0"/>
              <w:jc w:val="center"/>
              <w:rPr>
                <w:rFonts w:hint="eastAsia"/>
                <w:color w:val="auto"/>
                <w:szCs w:val="21"/>
              </w:rPr>
            </w:pPr>
          </w:p>
        </w:tc>
        <w:tc>
          <w:tcPr>
            <w:tcW w:w="479" w:type="pct"/>
            <w:noWrap w:val="0"/>
            <w:vAlign w:val="center"/>
          </w:tcPr>
          <w:p w14:paraId="66E4C914">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9" w:type="pct"/>
            <w:noWrap w:val="0"/>
            <w:vAlign w:val="center"/>
          </w:tcPr>
          <w:p w14:paraId="2DBD4E55">
            <w:pPr>
              <w:pStyle w:val="12"/>
              <w:spacing w:after="0"/>
              <w:ind w:left="0" w:leftChars="0" w:right="0" w:rightChars="0"/>
              <w:jc w:val="center"/>
              <w:rPr>
                <w:rFonts w:hint="default" w:eastAsia="宋体"/>
                <w:color w:val="auto"/>
                <w:kern w:val="2"/>
                <w:sz w:val="21"/>
                <w:szCs w:val="21"/>
                <w:lang w:val="en-US" w:eastAsia="zh-CN" w:bidi="ar-SA"/>
              </w:rPr>
            </w:pPr>
            <w:r>
              <w:rPr>
                <w:rFonts w:hint="eastAsia" w:eastAsia="宋体"/>
                <w:color w:val="auto"/>
                <w:szCs w:val="21"/>
                <w:lang w:val="en-US" w:eastAsia="zh-CN"/>
              </w:rPr>
              <w:t>0.17</w:t>
            </w:r>
          </w:p>
        </w:tc>
        <w:tc>
          <w:tcPr>
            <w:tcW w:w="313" w:type="pct"/>
            <w:vMerge w:val="continue"/>
            <w:noWrap w:val="0"/>
            <w:vAlign w:val="center"/>
          </w:tcPr>
          <w:p w14:paraId="08682CEF">
            <w:pPr>
              <w:pStyle w:val="12"/>
              <w:spacing w:after="0"/>
              <w:ind w:left="0" w:leftChars="0" w:right="0" w:rightChars="0"/>
              <w:jc w:val="center"/>
              <w:rPr>
                <w:rFonts w:hint="eastAsia"/>
                <w:color w:val="auto"/>
                <w:szCs w:val="21"/>
              </w:rPr>
            </w:pPr>
          </w:p>
        </w:tc>
        <w:tc>
          <w:tcPr>
            <w:tcW w:w="443" w:type="pct"/>
            <w:noWrap w:val="0"/>
            <w:vAlign w:val="center"/>
          </w:tcPr>
          <w:p w14:paraId="32830169">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仓顶除尘器</w:t>
            </w:r>
          </w:p>
        </w:tc>
        <w:tc>
          <w:tcPr>
            <w:tcW w:w="488" w:type="pct"/>
            <w:noWrap w:val="0"/>
            <w:vAlign w:val="center"/>
          </w:tcPr>
          <w:p w14:paraId="280EC134">
            <w:pPr>
              <w:jc w:val="center"/>
              <w:rPr>
                <w:rFonts w:hint="default"/>
                <w:color w:val="auto"/>
                <w:lang w:val="en-US" w:eastAsia="zh-CN"/>
              </w:rPr>
            </w:pPr>
            <w:r>
              <w:rPr>
                <w:rFonts w:hint="eastAsia"/>
                <w:color w:val="auto"/>
                <w:lang w:val="en-US" w:eastAsia="zh-CN"/>
              </w:rPr>
              <w:t>/</w:t>
            </w:r>
          </w:p>
        </w:tc>
        <w:tc>
          <w:tcPr>
            <w:tcW w:w="336" w:type="pct"/>
            <w:noWrap w:val="0"/>
            <w:vAlign w:val="center"/>
          </w:tcPr>
          <w:p w14:paraId="16B1D6F7">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375" w:type="pct"/>
            <w:noWrap w:val="0"/>
            <w:vAlign w:val="center"/>
          </w:tcPr>
          <w:p w14:paraId="309551D3">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99.7</w:t>
            </w:r>
          </w:p>
        </w:tc>
        <w:tc>
          <w:tcPr>
            <w:tcW w:w="435" w:type="pct"/>
            <w:noWrap w:val="0"/>
            <w:vAlign w:val="center"/>
          </w:tcPr>
          <w:p w14:paraId="39D67E52">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是</w:t>
            </w:r>
          </w:p>
        </w:tc>
        <w:tc>
          <w:tcPr>
            <w:tcW w:w="468" w:type="pct"/>
            <w:noWrap w:val="0"/>
            <w:vAlign w:val="center"/>
          </w:tcPr>
          <w:p w14:paraId="0B628867">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3" w:type="pct"/>
            <w:noWrap w:val="0"/>
            <w:vAlign w:val="center"/>
          </w:tcPr>
          <w:p w14:paraId="4C4AE88F">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0.0005</w:t>
            </w:r>
          </w:p>
        </w:tc>
      </w:tr>
      <w:tr w14:paraId="08BE7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41651F3E">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搅拌</w:t>
            </w:r>
          </w:p>
        </w:tc>
        <w:tc>
          <w:tcPr>
            <w:tcW w:w="369" w:type="pct"/>
            <w:vMerge w:val="continue"/>
            <w:noWrap w:val="0"/>
            <w:vAlign w:val="center"/>
          </w:tcPr>
          <w:p w14:paraId="44462705">
            <w:pPr>
              <w:pStyle w:val="12"/>
              <w:spacing w:after="0"/>
              <w:ind w:left="0" w:leftChars="0" w:right="0" w:rightChars="0"/>
              <w:jc w:val="center"/>
              <w:rPr>
                <w:rFonts w:hint="eastAsia"/>
                <w:color w:val="auto"/>
                <w:szCs w:val="21"/>
              </w:rPr>
            </w:pPr>
          </w:p>
        </w:tc>
        <w:tc>
          <w:tcPr>
            <w:tcW w:w="479" w:type="pct"/>
            <w:noWrap w:val="0"/>
            <w:vAlign w:val="center"/>
          </w:tcPr>
          <w:p w14:paraId="668300DC">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w:t>
            </w:r>
          </w:p>
        </w:tc>
        <w:tc>
          <w:tcPr>
            <w:tcW w:w="429" w:type="pct"/>
            <w:noWrap w:val="0"/>
            <w:vAlign w:val="center"/>
          </w:tcPr>
          <w:p w14:paraId="10FD46A3">
            <w:pPr>
              <w:pStyle w:val="12"/>
              <w:spacing w:after="0"/>
              <w:ind w:left="0" w:leftChars="0" w:right="0" w:rightChars="0"/>
              <w:jc w:val="center"/>
              <w:rPr>
                <w:rFonts w:hint="default"/>
                <w:color w:val="auto"/>
                <w:kern w:val="2"/>
                <w:sz w:val="21"/>
                <w:szCs w:val="21"/>
                <w:lang w:val="en-US" w:eastAsia="zh-CN" w:bidi="ar-SA"/>
              </w:rPr>
            </w:pPr>
            <w:r>
              <w:rPr>
                <w:rFonts w:hint="eastAsia"/>
                <w:color w:val="auto"/>
                <w:szCs w:val="21"/>
                <w:lang w:val="en-US" w:eastAsia="zh-CN"/>
              </w:rPr>
              <w:t>16.11</w:t>
            </w:r>
          </w:p>
        </w:tc>
        <w:tc>
          <w:tcPr>
            <w:tcW w:w="313" w:type="pct"/>
            <w:vMerge w:val="continue"/>
            <w:noWrap w:val="0"/>
            <w:vAlign w:val="center"/>
          </w:tcPr>
          <w:p w14:paraId="52872715">
            <w:pPr>
              <w:pStyle w:val="12"/>
              <w:spacing w:after="0"/>
              <w:ind w:left="0" w:leftChars="0" w:right="0" w:rightChars="0"/>
              <w:jc w:val="center"/>
              <w:rPr>
                <w:rFonts w:hint="eastAsia"/>
                <w:color w:val="auto"/>
                <w:szCs w:val="21"/>
              </w:rPr>
            </w:pPr>
          </w:p>
        </w:tc>
        <w:tc>
          <w:tcPr>
            <w:tcW w:w="443" w:type="pct"/>
            <w:noWrap w:val="0"/>
            <w:vAlign w:val="center"/>
          </w:tcPr>
          <w:p w14:paraId="1C80C6A6">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密闭搅拌楼、湿法搅拌</w:t>
            </w:r>
          </w:p>
        </w:tc>
        <w:tc>
          <w:tcPr>
            <w:tcW w:w="488" w:type="pct"/>
            <w:noWrap w:val="0"/>
            <w:vAlign w:val="center"/>
          </w:tcPr>
          <w:p w14:paraId="29DACE0B">
            <w:pPr>
              <w:jc w:val="center"/>
              <w:rPr>
                <w:rFonts w:hint="eastAsia"/>
                <w:color w:val="auto"/>
                <w:kern w:val="2"/>
                <w:sz w:val="21"/>
                <w:szCs w:val="24"/>
                <w:lang w:val="en-US" w:eastAsia="zh-CN" w:bidi="ar-SA"/>
              </w:rPr>
            </w:pPr>
            <w:r>
              <w:rPr>
                <w:rFonts w:hint="eastAsia"/>
                <w:color w:val="auto"/>
                <w:lang w:val="en-US" w:eastAsia="zh-CN"/>
              </w:rPr>
              <w:t>/</w:t>
            </w:r>
          </w:p>
        </w:tc>
        <w:tc>
          <w:tcPr>
            <w:tcW w:w="336" w:type="pct"/>
            <w:noWrap w:val="0"/>
            <w:vAlign w:val="center"/>
          </w:tcPr>
          <w:p w14:paraId="640B1C44">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w:t>
            </w:r>
          </w:p>
        </w:tc>
        <w:tc>
          <w:tcPr>
            <w:tcW w:w="375" w:type="pct"/>
            <w:noWrap w:val="0"/>
            <w:vAlign w:val="center"/>
          </w:tcPr>
          <w:p w14:paraId="71C71AEF">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80</w:t>
            </w:r>
          </w:p>
        </w:tc>
        <w:tc>
          <w:tcPr>
            <w:tcW w:w="435" w:type="pct"/>
            <w:noWrap w:val="0"/>
            <w:vAlign w:val="center"/>
          </w:tcPr>
          <w:p w14:paraId="3AF95923">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lang w:val="en-US" w:eastAsia="zh-CN"/>
              </w:rPr>
              <w:t>是</w:t>
            </w:r>
          </w:p>
        </w:tc>
        <w:tc>
          <w:tcPr>
            <w:tcW w:w="468" w:type="pct"/>
            <w:noWrap w:val="0"/>
            <w:vAlign w:val="center"/>
          </w:tcPr>
          <w:p w14:paraId="582F62CC">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3" w:type="pct"/>
            <w:noWrap w:val="0"/>
            <w:vAlign w:val="center"/>
          </w:tcPr>
          <w:p w14:paraId="45D2E1CC">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3.22</w:t>
            </w:r>
          </w:p>
        </w:tc>
      </w:tr>
      <w:tr w14:paraId="2E676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6" w:type="pct"/>
            <w:noWrap w:val="0"/>
            <w:vAlign w:val="center"/>
          </w:tcPr>
          <w:p w14:paraId="00EEDC6E">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运输车辆</w:t>
            </w:r>
          </w:p>
        </w:tc>
        <w:tc>
          <w:tcPr>
            <w:tcW w:w="369" w:type="pct"/>
            <w:vMerge w:val="continue"/>
            <w:noWrap w:val="0"/>
            <w:vAlign w:val="center"/>
          </w:tcPr>
          <w:p w14:paraId="0EACE37C">
            <w:pPr>
              <w:pStyle w:val="12"/>
              <w:spacing w:after="0"/>
              <w:ind w:left="0" w:leftChars="0" w:right="0" w:rightChars="0"/>
              <w:jc w:val="center"/>
              <w:rPr>
                <w:rFonts w:hint="eastAsia"/>
                <w:color w:val="auto"/>
                <w:szCs w:val="21"/>
              </w:rPr>
            </w:pPr>
          </w:p>
        </w:tc>
        <w:tc>
          <w:tcPr>
            <w:tcW w:w="479" w:type="pct"/>
            <w:noWrap w:val="0"/>
            <w:vAlign w:val="center"/>
          </w:tcPr>
          <w:p w14:paraId="27118497">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w:t>
            </w:r>
          </w:p>
        </w:tc>
        <w:tc>
          <w:tcPr>
            <w:tcW w:w="429" w:type="pct"/>
            <w:noWrap w:val="0"/>
            <w:vAlign w:val="center"/>
          </w:tcPr>
          <w:p w14:paraId="4DD420E3">
            <w:pPr>
              <w:pStyle w:val="12"/>
              <w:spacing w:after="0"/>
              <w:ind w:left="0" w:leftChars="0" w:right="0" w:rightChars="0"/>
              <w:jc w:val="center"/>
              <w:rPr>
                <w:rFonts w:hint="default" w:eastAsia="宋体"/>
                <w:color w:val="auto"/>
                <w:kern w:val="2"/>
                <w:sz w:val="21"/>
                <w:szCs w:val="21"/>
                <w:lang w:val="en-US" w:eastAsia="zh-CN" w:bidi="ar-SA"/>
              </w:rPr>
            </w:pPr>
            <w:r>
              <w:rPr>
                <w:rFonts w:hint="eastAsia" w:eastAsia="宋体"/>
                <w:color w:val="auto"/>
                <w:szCs w:val="21"/>
                <w:lang w:val="en-US" w:eastAsia="zh-CN"/>
              </w:rPr>
              <w:t>0.65</w:t>
            </w:r>
          </w:p>
        </w:tc>
        <w:tc>
          <w:tcPr>
            <w:tcW w:w="313" w:type="pct"/>
            <w:vMerge w:val="continue"/>
            <w:noWrap w:val="0"/>
            <w:vAlign w:val="center"/>
          </w:tcPr>
          <w:p w14:paraId="0E008DB6">
            <w:pPr>
              <w:pStyle w:val="12"/>
              <w:spacing w:after="0"/>
              <w:ind w:left="0" w:leftChars="0" w:right="0" w:rightChars="0"/>
              <w:jc w:val="center"/>
              <w:rPr>
                <w:rFonts w:hint="eastAsia"/>
                <w:color w:val="auto"/>
                <w:szCs w:val="21"/>
              </w:rPr>
            </w:pPr>
          </w:p>
        </w:tc>
        <w:tc>
          <w:tcPr>
            <w:tcW w:w="443" w:type="pct"/>
            <w:noWrap w:val="0"/>
            <w:vAlign w:val="center"/>
          </w:tcPr>
          <w:p w14:paraId="6A02A29E">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洒水</w:t>
            </w:r>
          </w:p>
        </w:tc>
        <w:tc>
          <w:tcPr>
            <w:tcW w:w="488" w:type="pct"/>
            <w:noWrap w:val="0"/>
            <w:vAlign w:val="center"/>
          </w:tcPr>
          <w:p w14:paraId="681E307C">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w:t>
            </w:r>
          </w:p>
        </w:tc>
        <w:tc>
          <w:tcPr>
            <w:tcW w:w="336" w:type="pct"/>
            <w:noWrap w:val="0"/>
            <w:vAlign w:val="center"/>
          </w:tcPr>
          <w:p w14:paraId="75FF4BFD">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w:t>
            </w:r>
          </w:p>
        </w:tc>
        <w:tc>
          <w:tcPr>
            <w:tcW w:w="375" w:type="pct"/>
            <w:noWrap w:val="0"/>
            <w:vAlign w:val="center"/>
          </w:tcPr>
          <w:p w14:paraId="16365503">
            <w:pPr>
              <w:pStyle w:val="12"/>
              <w:spacing w:after="0"/>
              <w:ind w:left="0" w:leftChars="0" w:right="0" w:rightChars="0"/>
              <w:jc w:val="center"/>
              <w:rPr>
                <w:rFonts w:hint="eastAsia" w:eastAsia="宋体"/>
                <w:color w:val="auto"/>
                <w:kern w:val="2"/>
                <w:sz w:val="21"/>
                <w:szCs w:val="21"/>
                <w:lang w:val="en-US" w:eastAsia="zh-CN" w:bidi="ar-SA"/>
              </w:rPr>
            </w:pPr>
            <w:r>
              <w:rPr>
                <w:rFonts w:hint="eastAsia"/>
                <w:color w:val="auto"/>
                <w:szCs w:val="21"/>
                <w:lang w:val="en-US" w:eastAsia="zh-CN"/>
              </w:rPr>
              <w:t>74</w:t>
            </w:r>
          </w:p>
        </w:tc>
        <w:tc>
          <w:tcPr>
            <w:tcW w:w="435" w:type="pct"/>
            <w:noWrap w:val="0"/>
            <w:vAlign w:val="center"/>
          </w:tcPr>
          <w:p w14:paraId="042366C8">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是</w:t>
            </w:r>
          </w:p>
        </w:tc>
        <w:tc>
          <w:tcPr>
            <w:tcW w:w="468" w:type="pct"/>
            <w:noWrap w:val="0"/>
            <w:vAlign w:val="center"/>
          </w:tcPr>
          <w:p w14:paraId="493C2784">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23" w:type="pct"/>
            <w:noWrap w:val="0"/>
            <w:vAlign w:val="center"/>
          </w:tcPr>
          <w:p w14:paraId="633E09B4">
            <w:pPr>
              <w:pStyle w:val="12"/>
              <w:spacing w:after="0"/>
              <w:ind w:left="0" w:leftChars="0" w:right="0" w:rightChars="0"/>
              <w:jc w:val="center"/>
              <w:rPr>
                <w:rFonts w:hint="default"/>
                <w:color w:val="auto"/>
                <w:szCs w:val="21"/>
                <w:lang w:val="en-US" w:eastAsia="zh-CN"/>
              </w:rPr>
            </w:pPr>
            <w:r>
              <w:rPr>
                <w:rFonts w:hint="eastAsia" w:eastAsia="宋体"/>
                <w:color w:val="auto"/>
                <w:szCs w:val="21"/>
                <w:lang w:val="en-US" w:eastAsia="zh-CN"/>
              </w:rPr>
              <w:t>0.17</w:t>
            </w:r>
          </w:p>
        </w:tc>
      </w:tr>
      <w:tr w14:paraId="786CE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86" w:type="pct"/>
            <w:gridSpan w:val="3"/>
            <w:noWrap w:val="0"/>
            <w:vAlign w:val="center"/>
          </w:tcPr>
          <w:p w14:paraId="2EB5E2E2">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合计</w:t>
            </w:r>
          </w:p>
        </w:tc>
        <w:tc>
          <w:tcPr>
            <w:tcW w:w="429" w:type="pct"/>
            <w:noWrap w:val="0"/>
            <w:vAlign w:val="center"/>
          </w:tcPr>
          <w:p w14:paraId="057F13A2">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38.131</w:t>
            </w:r>
          </w:p>
        </w:tc>
        <w:tc>
          <w:tcPr>
            <w:tcW w:w="313" w:type="pct"/>
            <w:noWrap w:val="0"/>
            <w:vAlign w:val="center"/>
          </w:tcPr>
          <w:p w14:paraId="18DDF87A">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43" w:type="pct"/>
            <w:noWrap w:val="0"/>
            <w:vAlign w:val="center"/>
          </w:tcPr>
          <w:p w14:paraId="686EC2D7">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88" w:type="pct"/>
            <w:noWrap w:val="0"/>
            <w:vAlign w:val="center"/>
          </w:tcPr>
          <w:p w14:paraId="1F95CF7C">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336" w:type="pct"/>
            <w:noWrap w:val="0"/>
            <w:vAlign w:val="center"/>
          </w:tcPr>
          <w:p w14:paraId="6DA12F9F">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375" w:type="pct"/>
            <w:noWrap w:val="0"/>
            <w:vAlign w:val="center"/>
          </w:tcPr>
          <w:p w14:paraId="70FDD45E">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35" w:type="pct"/>
            <w:noWrap w:val="0"/>
            <w:vAlign w:val="center"/>
          </w:tcPr>
          <w:p w14:paraId="79A346A0">
            <w:pPr>
              <w:pStyle w:val="12"/>
              <w:spacing w:after="0"/>
              <w:ind w:left="0" w:leftChars="0" w:right="0" w:rightChars="0"/>
              <w:jc w:val="center"/>
              <w:rPr>
                <w:rFonts w:hint="eastAsia" w:eastAsia="宋体"/>
                <w:color w:val="auto"/>
                <w:szCs w:val="21"/>
                <w:lang w:val="en-US" w:eastAsia="zh-CN"/>
              </w:rPr>
            </w:pPr>
            <w:r>
              <w:rPr>
                <w:rFonts w:hint="eastAsia"/>
                <w:color w:val="auto"/>
                <w:szCs w:val="21"/>
                <w:lang w:val="en-US" w:eastAsia="zh-CN"/>
              </w:rPr>
              <w:t>/</w:t>
            </w:r>
          </w:p>
        </w:tc>
        <w:tc>
          <w:tcPr>
            <w:tcW w:w="468" w:type="pct"/>
            <w:noWrap w:val="0"/>
            <w:vAlign w:val="center"/>
          </w:tcPr>
          <w:p w14:paraId="1AE034A8">
            <w:pPr>
              <w:pStyle w:val="12"/>
              <w:spacing w:after="0"/>
              <w:ind w:left="0" w:leftChars="0" w:right="0" w:rightChars="0"/>
              <w:jc w:val="center"/>
              <w:rPr>
                <w:rFonts w:hint="default"/>
                <w:color w:val="auto"/>
                <w:szCs w:val="21"/>
                <w:lang w:val="en-US" w:eastAsia="zh-CN"/>
              </w:rPr>
            </w:pPr>
            <w:r>
              <w:rPr>
                <w:rFonts w:hint="eastAsia"/>
                <w:color w:val="auto"/>
                <w:szCs w:val="21"/>
                <w:lang w:val="en-US" w:eastAsia="zh-CN"/>
              </w:rPr>
              <w:t>/</w:t>
            </w:r>
          </w:p>
        </w:tc>
        <w:tc>
          <w:tcPr>
            <w:tcW w:w="423" w:type="pct"/>
            <w:noWrap w:val="0"/>
            <w:vAlign w:val="center"/>
          </w:tcPr>
          <w:p w14:paraId="10DF893F">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6.79472</w:t>
            </w:r>
          </w:p>
        </w:tc>
      </w:tr>
    </w:tbl>
    <w:p w14:paraId="1E319969">
      <w:pPr>
        <w:adjustRightInd w:val="0"/>
        <w:snapToGrid w:val="0"/>
        <w:spacing w:line="360" w:lineRule="auto"/>
        <w:rPr>
          <w:rFonts w:hint="eastAsia" w:ascii="宋体" w:cs="宋体"/>
          <w:b/>
          <w:color w:val="auto"/>
          <w:kern w:val="0"/>
          <w:sz w:val="28"/>
          <w:szCs w:val="28"/>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213"/>
      </w:tblGrid>
      <w:tr w14:paraId="188F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6" w:hRule="atLeast"/>
        </w:trPr>
        <w:tc>
          <w:tcPr>
            <w:tcW w:w="924" w:type="dxa"/>
            <w:noWrap w:val="0"/>
            <w:vAlign w:val="center"/>
          </w:tcPr>
          <w:p w14:paraId="49F74438">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运营</w:t>
            </w:r>
          </w:p>
          <w:p w14:paraId="1A34C444">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期环</w:t>
            </w:r>
          </w:p>
          <w:p w14:paraId="3563FDB8">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境影</w:t>
            </w:r>
          </w:p>
          <w:p w14:paraId="2D17AE98">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响和</w:t>
            </w:r>
          </w:p>
          <w:p w14:paraId="79932EB2">
            <w:pPr>
              <w:adjustRightInd w:val="0"/>
              <w:snapToGrid w:val="0"/>
              <w:jc w:val="center"/>
              <w:rPr>
                <w:rFonts w:hint="eastAsia" w:ascii="宋体" w:hAnsi="宋体" w:cs="宋体"/>
                <w:bCs/>
                <w:color w:val="auto"/>
                <w:sz w:val="24"/>
                <w:szCs w:val="24"/>
              </w:rPr>
            </w:pPr>
            <w:r>
              <w:rPr>
                <w:rFonts w:hint="eastAsia" w:ascii="宋体" w:hAnsi="宋体" w:cs="宋体"/>
                <w:bCs/>
                <w:color w:val="auto"/>
                <w:sz w:val="24"/>
                <w:szCs w:val="24"/>
              </w:rPr>
              <w:t>保护</w:t>
            </w:r>
          </w:p>
          <w:p w14:paraId="5D7C7D00">
            <w:pPr>
              <w:adjustRightInd w:val="0"/>
              <w:snapToGrid w:val="0"/>
              <w:spacing w:line="360" w:lineRule="auto"/>
              <w:jc w:val="center"/>
              <w:rPr>
                <w:rFonts w:hint="eastAsia" w:ascii="宋体" w:cs="宋体"/>
                <w:b/>
                <w:color w:val="auto"/>
                <w:kern w:val="0"/>
                <w:sz w:val="28"/>
                <w:szCs w:val="28"/>
                <w:vertAlign w:val="baseline"/>
              </w:rPr>
            </w:pPr>
            <w:r>
              <w:rPr>
                <w:rFonts w:hint="eastAsia" w:ascii="宋体" w:hAnsi="宋体" w:cs="宋体"/>
                <w:bCs/>
                <w:color w:val="auto"/>
                <w:sz w:val="24"/>
                <w:szCs w:val="24"/>
              </w:rPr>
              <w:t>措施</w:t>
            </w:r>
          </w:p>
        </w:tc>
        <w:tc>
          <w:tcPr>
            <w:tcW w:w="8137" w:type="dxa"/>
            <w:noWrap w:val="0"/>
            <w:vAlign w:val="top"/>
          </w:tcPr>
          <w:p w14:paraId="1864D6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5.非正常排放情况</w:t>
            </w:r>
          </w:p>
          <w:p w14:paraId="432D9A21">
            <w:pPr>
              <w:pStyle w:val="12"/>
              <w:tabs>
                <w:tab w:val="left" w:pos="567"/>
              </w:tabs>
              <w:spacing w:after="0" w:line="360" w:lineRule="auto"/>
              <w:ind w:left="0" w:leftChars="0" w:right="0" w:rightChars="0" w:firstLine="480" w:firstLineChars="200"/>
              <w:rPr>
                <w:color w:val="auto"/>
                <w:sz w:val="24"/>
              </w:rPr>
            </w:pPr>
            <w:r>
              <w:rPr>
                <w:rFonts w:hint="eastAsia"/>
                <w:color w:val="auto"/>
                <w:sz w:val="24"/>
              </w:rPr>
              <w:t>项目废气非正常工况排放主要是环保处理设备出现故障完全失效，但废气收集系统可以正常运行，废气通过风机直接排放，应立即停产进行维修，避免对周围环境造成污染。废气非正常工况下源强情况见表4-</w:t>
            </w:r>
            <w:r>
              <w:rPr>
                <w:rFonts w:hint="eastAsia"/>
                <w:color w:val="auto"/>
                <w:sz w:val="24"/>
                <w:lang w:val="en-US" w:eastAsia="zh-CN"/>
              </w:rPr>
              <w:t>3</w:t>
            </w:r>
            <w:r>
              <w:rPr>
                <w:rFonts w:hint="eastAsia"/>
                <w:color w:val="auto"/>
                <w:sz w:val="24"/>
              </w:rPr>
              <w:t>。</w:t>
            </w:r>
          </w:p>
          <w:p w14:paraId="264C0062">
            <w:pPr>
              <w:pStyle w:val="12"/>
              <w:spacing w:after="0"/>
              <w:ind w:left="0" w:leftChars="0" w:right="0" w:rightChars="0"/>
              <w:jc w:val="center"/>
              <w:rPr>
                <w:b/>
                <w:bCs/>
                <w:color w:val="auto"/>
                <w:szCs w:val="21"/>
              </w:rPr>
            </w:pPr>
            <w:r>
              <w:rPr>
                <w:rFonts w:hint="eastAsia"/>
                <w:b/>
                <w:bCs/>
                <w:color w:val="auto"/>
                <w:szCs w:val="21"/>
              </w:rPr>
              <w:t>表4-</w:t>
            </w:r>
            <w:r>
              <w:rPr>
                <w:rFonts w:hint="eastAsia"/>
                <w:b/>
                <w:bCs/>
                <w:color w:val="auto"/>
                <w:szCs w:val="21"/>
                <w:lang w:val="en-US" w:eastAsia="zh-CN"/>
              </w:rPr>
              <w:t>3</w:t>
            </w:r>
            <w:r>
              <w:rPr>
                <w:rFonts w:hint="eastAsia"/>
                <w:b/>
                <w:bCs/>
                <w:color w:val="auto"/>
                <w:szCs w:val="21"/>
              </w:rPr>
              <w:t xml:space="preserve">  非正常工况下排气筒源强排放情况一览表</w:t>
            </w:r>
          </w:p>
          <w:tbl>
            <w:tblPr>
              <w:tblStyle w:val="2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143"/>
              <w:gridCol w:w="938"/>
              <w:gridCol w:w="523"/>
              <w:gridCol w:w="1144"/>
              <w:gridCol w:w="967"/>
              <w:gridCol w:w="889"/>
              <w:gridCol w:w="830"/>
              <w:gridCol w:w="1103"/>
            </w:tblGrid>
            <w:tr w14:paraId="0456C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tcBorders>
                    <w:tl2br w:val="nil"/>
                    <w:tr2bl w:val="nil"/>
                  </w:tcBorders>
                  <w:noWrap w:val="0"/>
                  <w:vAlign w:val="center"/>
                </w:tcPr>
                <w:p w14:paraId="25A025E4">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序号</w:t>
                  </w:r>
                </w:p>
              </w:tc>
              <w:tc>
                <w:tcPr>
                  <w:tcW w:w="1151" w:type="dxa"/>
                  <w:tcBorders>
                    <w:tl2br w:val="nil"/>
                    <w:tr2bl w:val="nil"/>
                  </w:tcBorders>
                  <w:noWrap w:val="0"/>
                  <w:vAlign w:val="center"/>
                </w:tcPr>
                <w:p w14:paraId="728D6FBF">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排放口</w:t>
                  </w:r>
                </w:p>
              </w:tc>
              <w:tc>
                <w:tcPr>
                  <w:tcW w:w="941" w:type="dxa"/>
                  <w:tcBorders>
                    <w:tl2br w:val="nil"/>
                    <w:tr2bl w:val="nil"/>
                  </w:tcBorders>
                  <w:noWrap w:val="0"/>
                  <w:vAlign w:val="center"/>
                </w:tcPr>
                <w:p w14:paraId="4B4AFE9A">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非正常排放原因</w:t>
                  </w:r>
                </w:p>
              </w:tc>
              <w:tc>
                <w:tcPr>
                  <w:tcW w:w="524" w:type="dxa"/>
                  <w:tcBorders>
                    <w:tl2br w:val="nil"/>
                    <w:tr2bl w:val="nil"/>
                  </w:tcBorders>
                  <w:noWrap w:val="0"/>
                  <w:vAlign w:val="center"/>
                </w:tcPr>
                <w:p w14:paraId="10EF39C5">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污染源</w:t>
                  </w:r>
                </w:p>
              </w:tc>
              <w:tc>
                <w:tcPr>
                  <w:tcW w:w="1150" w:type="dxa"/>
                  <w:tcBorders>
                    <w:tl2br w:val="nil"/>
                    <w:tr2bl w:val="nil"/>
                  </w:tcBorders>
                  <w:noWrap w:val="0"/>
                  <w:vAlign w:val="center"/>
                </w:tcPr>
                <w:p w14:paraId="19E38FF3">
                  <w:pPr>
                    <w:pStyle w:val="12"/>
                    <w:tabs>
                      <w:tab w:val="left" w:pos="6582"/>
                    </w:tabs>
                    <w:spacing w:after="0"/>
                    <w:ind w:left="0" w:leftChars="0" w:right="0" w:rightChars="0"/>
                    <w:jc w:val="center"/>
                    <w:rPr>
                      <w:rFonts w:hint="default" w:eastAsia="宋体"/>
                      <w:b/>
                      <w:bCs/>
                      <w:color w:val="auto"/>
                      <w:sz w:val="21"/>
                      <w:szCs w:val="21"/>
                      <w:lang w:val="en-US" w:eastAsia="zh-CN"/>
                    </w:rPr>
                  </w:pPr>
                  <w:r>
                    <w:rPr>
                      <w:rFonts w:hint="eastAsia"/>
                      <w:b/>
                      <w:bCs/>
                      <w:color w:val="auto"/>
                      <w:sz w:val="21"/>
                      <w:szCs w:val="21"/>
                    </w:rPr>
                    <w:t>非正常排放</w:t>
                  </w:r>
                  <w:r>
                    <w:rPr>
                      <w:rFonts w:hint="eastAsia"/>
                      <w:b/>
                      <w:bCs/>
                      <w:color w:val="auto"/>
                      <w:sz w:val="21"/>
                      <w:szCs w:val="21"/>
                      <w:lang w:val="en-US" w:eastAsia="zh-CN"/>
                    </w:rPr>
                    <w:t>量kg</w:t>
                  </w:r>
                </w:p>
              </w:tc>
              <w:tc>
                <w:tcPr>
                  <w:tcW w:w="971" w:type="dxa"/>
                  <w:tcBorders>
                    <w:tl2br w:val="nil"/>
                    <w:tr2bl w:val="nil"/>
                  </w:tcBorders>
                  <w:noWrap w:val="0"/>
                  <w:vAlign w:val="center"/>
                </w:tcPr>
                <w:p w14:paraId="4CD9532B">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非正常排放速率kg/h</w:t>
                  </w:r>
                </w:p>
              </w:tc>
              <w:tc>
                <w:tcPr>
                  <w:tcW w:w="894" w:type="dxa"/>
                  <w:tcBorders>
                    <w:tl2br w:val="nil"/>
                    <w:tr2bl w:val="nil"/>
                  </w:tcBorders>
                  <w:noWrap w:val="0"/>
                  <w:vAlign w:val="center"/>
                </w:tcPr>
                <w:p w14:paraId="74C6BD68">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单次持续时间h</w:t>
                  </w:r>
                </w:p>
              </w:tc>
              <w:tc>
                <w:tcPr>
                  <w:tcW w:w="834" w:type="dxa"/>
                  <w:tcBorders>
                    <w:tl2br w:val="nil"/>
                    <w:tr2bl w:val="nil"/>
                  </w:tcBorders>
                  <w:noWrap w:val="0"/>
                  <w:vAlign w:val="center"/>
                </w:tcPr>
                <w:p w14:paraId="08BA6DD9">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年发生频次</w:t>
                  </w:r>
                </w:p>
              </w:tc>
              <w:tc>
                <w:tcPr>
                  <w:tcW w:w="1108" w:type="dxa"/>
                  <w:tcBorders>
                    <w:tl2br w:val="nil"/>
                    <w:tr2bl w:val="nil"/>
                  </w:tcBorders>
                  <w:noWrap w:val="0"/>
                  <w:vAlign w:val="center"/>
                </w:tcPr>
                <w:p w14:paraId="6EDF1318">
                  <w:pPr>
                    <w:pStyle w:val="12"/>
                    <w:tabs>
                      <w:tab w:val="left" w:pos="6582"/>
                    </w:tabs>
                    <w:spacing w:after="0"/>
                    <w:ind w:left="0" w:leftChars="0" w:right="0" w:rightChars="0"/>
                    <w:jc w:val="center"/>
                    <w:rPr>
                      <w:b/>
                      <w:bCs/>
                      <w:color w:val="auto"/>
                      <w:sz w:val="21"/>
                      <w:szCs w:val="21"/>
                    </w:rPr>
                  </w:pPr>
                  <w:r>
                    <w:rPr>
                      <w:rFonts w:hint="eastAsia"/>
                      <w:b/>
                      <w:bCs/>
                      <w:color w:val="auto"/>
                      <w:sz w:val="21"/>
                      <w:szCs w:val="21"/>
                    </w:rPr>
                    <w:t>应对措施</w:t>
                  </w:r>
                </w:p>
              </w:tc>
            </w:tr>
            <w:tr w14:paraId="2C952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461" w:type="dxa"/>
                  <w:tcBorders>
                    <w:tl2br w:val="nil"/>
                    <w:tr2bl w:val="nil"/>
                  </w:tcBorders>
                  <w:noWrap w:val="0"/>
                  <w:vAlign w:val="center"/>
                </w:tcPr>
                <w:p w14:paraId="64C622AD">
                  <w:pPr>
                    <w:pStyle w:val="12"/>
                    <w:tabs>
                      <w:tab w:val="left" w:pos="6582"/>
                    </w:tabs>
                    <w:spacing w:after="0"/>
                    <w:ind w:left="0" w:leftChars="0" w:right="0" w:rightChars="0"/>
                    <w:jc w:val="center"/>
                    <w:rPr>
                      <w:color w:val="auto"/>
                      <w:sz w:val="21"/>
                      <w:szCs w:val="21"/>
                    </w:rPr>
                  </w:pPr>
                  <w:r>
                    <w:rPr>
                      <w:rFonts w:hint="eastAsia"/>
                      <w:color w:val="auto"/>
                      <w:sz w:val="21"/>
                      <w:szCs w:val="21"/>
                    </w:rPr>
                    <w:t>1</w:t>
                  </w:r>
                </w:p>
              </w:tc>
              <w:tc>
                <w:tcPr>
                  <w:tcW w:w="1151" w:type="dxa"/>
                  <w:tcBorders>
                    <w:tl2br w:val="nil"/>
                    <w:tr2bl w:val="nil"/>
                  </w:tcBorders>
                  <w:noWrap w:val="0"/>
                  <w:vAlign w:val="center"/>
                </w:tcPr>
                <w:p w14:paraId="66216B4E">
                  <w:pPr>
                    <w:pStyle w:val="12"/>
                    <w:tabs>
                      <w:tab w:val="left" w:pos="6582"/>
                    </w:tabs>
                    <w:spacing w:after="0"/>
                    <w:ind w:left="0" w:leftChars="0" w:right="0" w:rightChars="0"/>
                    <w:jc w:val="center"/>
                    <w:rPr>
                      <w:rFonts w:hint="eastAsia" w:eastAsia="宋体"/>
                      <w:color w:val="auto"/>
                      <w:sz w:val="21"/>
                      <w:szCs w:val="21"/>
                      <w:lang w:eastAsia="zh-CN"/>
                    </w:rPr>
                  </w:pPr>
                  <w:r>
                    <w:rPr>
                      <w:rFonts w:hint="eastAsia"/>
                      <w:color w:val="auto"/>
                      <w:sz w:val="21"/>
                      <w:szCs w:val="21"/>
                      <w:lang w:val="en-US" w:eastAsia="zh-CN"/>
                    </w:rPr>
                    <w:t>水泥筒仓</w:t>
                  </w:r>
                </w:p>
              </w:tc>
              <w:tc>
                <w:tcPr>
                  <w:tcW w:w="941" w:type="dxa"/>
                  <w:vMerge w:val="restart"/>
                  <w:tcBorders>
                    <w:tl2br w:val="nil"/>
                    <w:tr2bl w:val="nil"/>
                  </w:tcBorders>
                  <w:noWrap w:val="0"/>
                  <w:vAlign w:val="center"/>
                </w:tcPr>
                <w:p w14:paraId="4BBFF18A">
                  <w:pPr>
                    <w:pStyle w:val="12"/>
                    <w:tabs>
                      <w:tab w:val="left" w:pos="6582"/>
                    </w:tabs>
                    <w:spacing w:after="0"/>
                    <w:ind w:left="0" w:leftChars="0" w:right="0" w:rightChars="0"/>
                    <w:jc w:val="center"/>
                    <w:rPr>
                      <w:rFonts w:hint="default" w:eastAsia="宋体"/>
                      <w:color w:val="auto"/>
                      <w:sz w:val="21"/>
                      <w:szCs w:val="21"/>
                      <w:lang w:val="en-US" w:eastAsia="zh-CN"/>
                    </w:rPr>
                  </w:pPr>
                  <w:r>
                    <w:rPr>
                      <w:rFonts w:hint="eastAsia"/>
                      <w:color w:val="auto"/>
                      <w:sz w:val="21"/>
                      <w:szCs w:val="21"/>
                    </w:rPr>
                    <w:t>废气处理设施故障，处理效率为0</w:t>
                  </w:r>
                  <w:r>
                    <w:rPr>
                      <w:rFonts w:hint="eastAsia"/>
                      <w:color w:val="auto"/>
                      <w:sz w:val="21"/>
                      <w:szCs w:val="21"/>
                      <w:lang w:eastAsia="zh-CN"/>
                    </w:rPr>
                    <w:t>，</w:t>
                  </w:r>
                  <w:r>
                    <w:rPr>
                      <w:rFonts w:hint="eastAsia"/>
                      <w:color w:val="auto"/>
                      <w:sz w:val="21"/>
                      <w:szCs w:val="21"/>
                      <w:lang w:val="en-US" w:eastAsia="zh-CN"/>
                    </w:rPr>
                    <w:t>进料时间约2h计</w:t>
                  </w:r>
                </w:p>
              </w:tc>
              <w:tc>
                <w:tcPr>
                  <w:tcW w:w="524" w:type="dxa"/>
                  <w:vMerge w:val="restart"/>
                  <w:tcBorders>
                    <w:tl2br w:val="nil"/>
                    <w:tr2bl w:val="nil"/>
                  </w:tcBorders>
                  <w:noWrap w:val="0"/>
                  <w:vAlign w:val="center"/>
                </w:tcPr>
                <w:p w14:paraId="75BF337A">
                  <w:pPr>
                    <w:pStyle w:val="12"/>
                    <w:tabs>
                      <w:tab w:val="left" w:pos="6582"/>
                    </w:tabs>
                    <w:spacing w:after="0"/>
                    <w:ind w:left="0" w:leftChars="0" w:right="0" w:rightChars="0"/>
                    <w:jc w:val="center"/>
                    <w:rPr>
                      <w:color w:val="auto"/>
                      <w:sz w:val="21"/>
                      <w:szCs w:val="21"/>
                    </w:rPr>
                  </w:pPr>
                  <w:r>
                    <w:rPr>
                      <w:rFonts w:hint="eastAsia"/>
                      <w:color w:val="auto"/>
                      <w:sz w:val="21"/>
                      <w:szCs w:val="21"/>
                    </w:rPr>
                    <w:t>颗粒物</w:t>
                  </w:r>
                </w:p>
              </w:tc>
              <w:tc>
                <w:tcPr>
                  <w:tcW w:w="1150" w:type="dxa"/>
                  <w:tcBorders>
                    <w:tl2br w:val="nil"/>
                    <w:tr2bl w:val="nil"/>
                  </w:tcBorders>
                  <w:noWrap w:val="0"/>
                  <w:vAlign w:val="center"/>
                </w:tcPr>
                <w:p w14:paraId="3FFAFE7D">
                  <w:pPr>
                    <w:pStyle w:val="12"/>
                    <w:tabs>
                      <w:tab w:val="left" w:pos="6582"/>
                    </w:tabs>
                    <w:spacing w:after="0"/>
                    <w:ind w:left="0" w:leftChars="0" w:right="0" w:rightChars="0"/>
                    <w:jc w:val="center"/>
                    <w:rPr>
                      <w:rFonts w:hint="default" w:eastAsia="宋体"/>
                      <w:color w:val="auto"/>
                      <w:sz w:val="21"/>
                      <w:szCs w:val="21"/>
                      <w:lang w:val="en-US" w:eastAsia="zh-CN"/>
                    </w:rPr>
                  </w:pPr>
                  <w:r>
                    <w:rPr>
                      <w:rFonts w:hint="eastAsia"/>
                      <w:color w:val="auto"/>
                      <w:sz w:val="21"/>
                      <w:szCs w:val="21"/>
                      <w:lang w:val="en-US" w:eastAsia="zh-CN"/>
                    </w:rPr>
                    <w:t>3.18</w:t>
                  </w:r>
                </w:p>
              </w:tc>
              <w:tc>
                <w:tcPr>
                  <w:tcW w:w="971" w:type="dxa"/>
                  <w:tcBorders>
                    <w:tl2br w:val="nil"/>
                    <w:tr2bl w:val="nil"/>
                  </w:tcBorders>
                  <w:noWrap w:val="0"/>
                  <w:vAlign w:val="center"/>
                </w:tcPr>
                <w:p w14:paraId="178410A3">
                  <w:pPr>
                    <w:pStyle w:val="12"/>
                    <w:tabs>
                      <w:tab w:val="left" w:pos="6582"/>
                    </w:tabs>
                    <w:spacing w:after="0"/>
                    <w:ind w:left="0" w:leftChars="0" w:right="0" w:rightChars="0"/>
                    <w:jc w:val="center"/>
                    <w:rPr>
                      <w:rFonts w:hint="default" w:eastAsia="宋体"/>
                      <w:color w:val="auto"/>
                      <w:sz w:val="21"/>
                      <w:szCs w:val="21"/>
                      <w:lang w:val="en-US" w:eastAsia="zh-CN"/>
                    </w:rPr>
                  </w:pPr>
                  <w:r>
                    <w:rPr>
                      <w:rFonts w:hint="eastAsia"/>
                      <w:color w:val="auto"/>
                      <w:sz w:val="21"/>
                      <w:szCs w:val="21"/>
                      <w:lang w:val="en-US" w:eastAsia="zh-CN"/>
                    </w:rPr>
                    <w:t>3.18</w:t>
                  </w:r>
                </w:p>
              </w:tc>
              <w:tc>
                <w:tcPr>
                  <w:tcW w:w="894" w:type="dxa"/>
                  <w:tcBorders>
                    <w:tl2br w:val="nil"/>
                    <w:tr2bl w:val="nil"/>
                  </w:tcBorders>
                  <w:noWrap w:val="0"/>
                  <w:vAlign w:val="center"/>
                </w:tcPr>
                <w:p w14:paraId="44174165">
                  <w:pPr>
                    <w:pStyle w:val="12"/>
                    <w:tabs>
                      <w:tab w:val="left" w:pos="6582"/>
                    </w:tabs>
                    <w:spacing w:after="0"/>
                    <w:ind w:left="0" w:leftChars="0" w:right="0" w:rightChars="0"/>
                    <w:jc w:val="center"/>
                    <w:rPr>
                      <w:color w:val="auto"/>
                      <w:sz w:val="21"/>
                      <w:szCs w:val="21"/>
                    </w:rPr>
                  </w:pPr>
                  <w:r>
                    <w:rPr>
                      <w:rFonts w:hint="eastAsia"/>
                      <w:color w:val="auto"/>
                      <w:sz w:val="21"/>
                      <w:szCs w:val="21"/>
                    </w:rPr>
                    <w:t>1</w:t>
                  </w:r>
                </w:p>
              </w:tc>
              <w:tc>
                <w:tcPr>
                  <w:tcW w:w="834" w:type="dxa"/>
                  <w:tcBorders>
                    <w:tl2br w:val="nil"/>
                    <w:tr2bl w:val="nil"/>
                  </w:tcBorders>
                  <w:noWrap w:val="0"/>
                  <w:vAlign w:val="center"/>
                </w:tcPr>
                <w:p w14:paraId="7344BD24">
                  <w:pPr>
                    <w:pStyle w:val="12"/>
                    <w:tabs>
                      <w:tab w:val="left" w:pos="6582"/>
                    </w:tabs>
                    <w:spacing w:after="0"/>
                    <w:ind w:left="0" w:leftChars="0" w:right="0" w:rightChars="0"/>
                    <w:jc w:val="center"/>
                    <w:rPr>
                      <w:color w:val="auto"/>
                      <w:sz w:val="21"/>
                      <w:szCs w:val="21"/>
                    </w:rPr>
                  </w:pPr>
                  <w:r>
                    <w:rPr>
                      <w:rFonts w:hint="eastAsia"/>
                      <w:color w:val="auto"/>
                      <w:sz w:val="21"/>
                      <w:szCs w:val="21"/>
                    </w:rPr>
                    <w:t>1</w:t>
                  </w:r>
                </w:p>
              </w:tc>
              <w:tc>
                <w:tcPr>
                  <w:tcW w:w="1108" w:type="dxa"/>
                  <w:vMerge w:val="restart"/>
                  <w:tcBorders>
                    <w:tl2br w:val="nil"/>
                    <w:tr2bl w:val="nil"/>
                  </w:tcBorders>
                  <w:noWrap w:val="0"/>
                  <w:vAlign w:val="center"/>
                </w:tcPr>
                <w:p w14:paraId="629EE8DC">
                  <w:pPr>
                    <w:pStyle w:val="12"/>
                    <w:tabs>
                      <w:tab w:val="left" w:pos="6582"/>
                    </w:tabs>
                    <w:spacing w:after="0"/>
                    <w:ind w:left="0" w:leftChars="0" w:right="0" w:rightChars="0"/>
                    <w:jc w:val="center"/>
                    <w:rPr>
                      <w:color w:val="auto"/>
                      <w:sz w:val="21"/>
                      <w:szCs w:val="21"/>
                    </w:rPr>
                  </w:pPr>
                  <w:r>
                    <w:rPr>
                      <w:rFonts w:hint="eastAsia"/>
                      <w:color w:val="auto"/>
                      <w:sz w:val="21"/>
                      <w:szCs w:val="21"/>
                    </w:rPr>
                    <w:t>立即停止生产，关闭排放阀，及时进行抢修维护</w:t>
                  </w:r>
                </w:p>
              </w:tc>
            </w:tr>
            <w:tr w14:paraId="6D3ED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dxa"/>
                  <w:tcBorders>
                    <w:tl2br w:val="nil"/>
                    <w:tr2bl w:val="nil"/>
                  </w:tcBorders>
                  <w:noWrap w:val="0"/>
                  <w:vAlign w:val="center"/>
                </w:tcPr>
                <w:p w14:paraId="3AC781AA">
                  <w:pPr>
                    <w:pStyle w:val="12"/>
                    <w:tabs>
                      <w:tab w:val="left" w:pos="6582"/>
                    </w:tabs>
                    <w:spacing w:after="0"/>
                    <w:ind w:left="0" w:leftChars="0" w:right="0" w:rightChars="0"/>
                    <w:jc w:val="center"/>
                    <w:rPr>
                      <w:color w:val="auto"/>
                      <w:sz w:val="21"/>
                      <w:szCs w:val="21"/>
                    </w:rPr>
                  </w:pPr>
                  <w:r>
                    <w:rPr>
                      <w:rFonts w:hint="eastAsia"/>
                      <w:color w:val="auto"/>
                      <w:sz w:val="21"/>
                      <w:szCs w:val="21"/>
                    </w:rPr>
                    <w:t>2</w:t>
                  </w:r>
                </w:p>
              </w:tc>
              <w:tc>
                <w:tcPr>
                  <w:tcW w:w="1151" w:type="dxa"/>
                  <w:tcBorders>
                    <w:tl2br w:val="nil"/>
                    <w:tr2bl w:val="nil"/>
                  </w:tcBorders>
                  <w:noWrap w:val="0"/>
                  <w:vAlign w:val="center"/>
                </w:tcPr>
                <w:p w14:paraId="22688C68">
                  <w:pPr>
                    <w:pStyle w:val="12"/>
                    <w:tabs>
                      <w:tab w:val="left" w:pos="6582"/>
                    </w:tabs>
                    <w:spacing w:after="0"/>
                    <w:ind w:left="0" w:leftChars="0" w:right="0" w:rightChars="0"/>
                    <w:jc w:val="center"/>
                    <w:rPr>
                      <w:rFonts w:hint="default" w:eastAsia="宋体"/>
                      <w:color w:val="auto"/>
                      <w:sz w:val="21"/>
                      <w:szCs w:val="21"/>
                      <w:lang w:val="en-US" w:eastAsia="zh-CN"/>
                    </w:rPr>
                  </w:pPr>
                  <w:r>
                    <w:rPr>
                      <w:rFonts w:hint="eastAsia"/>
                      <w:color w:val="auto"/>
                      <w:sz w:val="21"/>
                      <w:szCs w:val="21"/>
                      <w:lang w:val="en-US" w:eastAsia="zh-CN"/>
                    </w:rPr>
                    <w:t>粉煤灰筒仓</w:t>
                  </w:r>
                </w:p>
              </w:tc>
              <w:tc>
                <w:tcPr>
                  <w:tcW w:w="941" w:type="dxa"/>
                  <w:vMerge w:val="continue"/>
                  <w:tcBorders>
                    <w:tl2br w:val="nil"/>
                    <w:tr2bl w:val="nil"/>
                  </w:tcBorders>
                  <w:noWrap w:val="0"/>
                  <w:vAlign w:val="center"/>
                </w:tcPr>
                <w:p w14:paraId="05943076">
                  <w:pPr>
                    <w:pStyle w:val="12"/>
                    <w:tabs>
                      <w:tab w:val="left" w:pos="6582"/>
                    </w:tabs>
                    <w:spacing w:after="0"/>
                    <w:ind w:left="0" w:leftChars="0" w:right="0" w:rightChars="0"/>
                    <w:jc w:val="center"/>
                    <w:rPr>
                      <w:rFonts w:hint="eastAsia"/>
                      <w:color w:val="auto"/>
                      <w:sz w:val="21"/>
                      <w:szCs w:val="21"/>
                    </w:rPr>
                  </w:pPr>
                </w:p>
              </w:tc>
              <w:tc>
                <w:tcPr>
                  <w:tcW w:w="524" w:type="dxa"/>
                  <w:vMerge w:val="continue"/>
                  <w:tcBorders>
                    <w:tl2br w:val="nil"/>
                    <w:tr2bl w:val="nil"/>
                  </w:tcBorders>
                  <w:noWrap w:val="0"/>
                  <w:vAlign w:val="center"/>
                </w:tcPr>
                <w:p w14:paraId="7343B522">
                  <w:pPr>
                    <w:pStyle w:val="12"/>
                    <w:tabs>
                      <w:tab w:val="left" w:pos="6582"/>
                    </w:tabs>
                    <w:spacing w:after="0"/>
                    <w:ind w:left="0" w:leftChars="0" w:right="0" w:rightChars="0"/>
                    <w:jc w:val="center"/>
                    <w:rPr>
                      <w:rFonts w:hint="eastAsia"/>
                      <w:color w:val="auto"/>
                      <w:sz w:val="21"/>
                      <w:szCs w:val="21"/>
                    </w:rPr>
                  </w:pPr>
                </w:p>
              </w:tc>
              <w:tc>
                <w:tcPr>
                  <w:tcW w:w="1150" w:type="dxa"/>
                  <w:tcBorders>
                    <w:tl2br w:val="nil"/>
                    <w:tr2bl w:val="nil"/>
                  </w:tcBorders>
                  <w:noWrap w:val="0"/>
                  <w:vAlign w:val="center"/>
                </w:tcPr>
                <w:p w14:paraId="37816823">
                  <w:pPr>
                    <w:pStyle w:val="12"/>
                    <w:tabs>
                      <w:tab w:val="left" w:pos="6582"/>
                    </w:tabs>
                    <w:spacing w:after="0"/>
                    <w:ind w:left="0" w:leftChars="0" w:right="0" w:rightChars="0"/>
                    <w:jc w:val="center"/>
                    <w:rPr>
                      <w:rFonts w:hint="default" w:eastAsia="宋体"/>
                      <w:color w:val="auto"/>
                      <w:kern w:val="2"/>
                      <w:sz w:val="21"/>
                      <w:szCs w:val="21"/>
                      <w:lang w:val="en-US" w:eastAsia="zh-CN" w:bidi="ar-SA"/>
                    </w:rPr>
                  </w:pPr>
                  <w:r>
                    <w:rPr>
                      <w:rFonts w:hint="eastAsia"/>
                      <w:color w:val="auto"/>
                      <w:kern w:val="2"/>
                      <w:sz w:val="21"/>
                      <w:szCs w:val="21"/>
                      <w:lang w:val="en-US" w:eastAsia="zh-CN" w:bidi="ar-SA"/>
                    </w:rPr>
                    <w:t>0.26</w:t>
                  </w:r>
                </w:p>
              </w:tc>
              <w:tc>
                <w:tcPr>
                  <w:tcW w:w="971" w:type="dxa"/>
                  <w:tcBorders>
                    <w:tl2br w:val="nil"/>
                    <w:tr2bl w:val="nil"/>
                  </w:tcBorders>
                  <w:noWrap w:val="0"/>
                  <w:vAlign w:val="center"/>
                </w:tcPr>
                <w:p w14:paraId="663BC845">
                  <w:pPr>
                    <w:pStyle w:val="12"/>
                    <w:tabs>
                      <w:tab w:val="left" w:pos="6582"/>
                    </w:tabs>
                    <w:spacing w:after="0"/>
                    <w:ind w:left="0" w:leftChars="0" w:right="0" w:rightChars="0"/>
                    <w:jc w:val="center"/>
                    <w:rPr>
                      <w:rFonts w:hint="default" w:eastAsia="宋体"/>
                      <w:color w:val="auto"/>
                      <w:kern w:val="2"/>
                      <w:sz w:val="21"/>
                      <w:szCs w:val="21"/>
                      <w:lang w:val="en-US" w:eastAsia="zh-CN" w:bidi="ar-SA"/>
                    </w:rPr>
                  </w:pPr>
                  <w:r>
                    <w:rPr>
                      <w:rFonts w:hint="eastAsia"/>
                      <w:color w:val="auto"/>
                      <w:kern w:val="2"/>
                      <w:sz w:val="21"/>
                      <w:szCs w:val="21"/>
                      <w:lang w:val="en-US" w:eastAsia="zh-CN" w:bidi="ar-SA"/>
                    </w:rPr>
                    <w:t>0.26</w:t>
                  </w:r>
                </w:p>
              </w:tc>
              <w:tc>
                <w:tcPr>
                  <w:tcW w:w="894" w:type="dxa"/>
                  <w:tcBorders>
                    <w:tl2br w:val="nil"/>
                    <w:tr2bl w:val="nil"/>
                  </w:tcBorders>
                  <w:noWrap w:val="0"/>
                  <w:vAlign w:val="center"/>
                </w:tcPr>
                <w:p w14:paraId="75C3FE38">
                  <w:pPr>
                    <w:pStyle w:val="12"/>
                    <w:tabs>
                      <w:tab w:val="left" w:pos="6582"/>
                    </w:tabs>
                    <w:spacing w:after="0"/>
                    <w:ind w:left="0" w:leftChars="0" w:right="0" w:rightChars="0"/>
                    <w:jc w:val="center"/>
                    <w:rPr>
                      <w:rFonts w:hint="eastAsia"/>
                      <w:color w:val="auto"/>
                      <w:sz w:val="21"/>
                      <w:szCs w:val="21"/>
                    </w:rPr>
                  </w:pPr>
                  <w:r>
                    <w:rPr>
                      <w:rFonts w:hint="eastAsia"/>
                      <w:color w:val="auto"/>
                      <w:sz w:val="21"/>
                      <w:szCs w:val="21"/>
                    </w:rPr>
                    <w:t>1</w:t>
                  </w:r>
                </w:p>
              </w:tc>
              <w:tc>
                <w:tcPr>
                  <w:tcW w:w="834" w:type="dxa"/>
                  <w:tcBorders>
                    <w:tl2br w:val="nil"/>
                    <w:tr2bl w:val="nil"/>
                  </w:tcBorders>
                  <w:noWrap w:val="0"/>
                  <w:vAlign w:val="center"/>
                </w:tcPr>
                <w:p w14:paraId="71200826">
                  <w:pPr>
                    <w:pStyle w:val="12"/>
                    <w:tabs>
                      <w:tab w:val="left" w:pos="6582"/>
                    </w:tabs>
                    <w:spacing w:after="0"/>
                    <w:ind w:left="0" w:leftChars="0" w:right="0" w:rightChars="0"/>
                    <w:jc w:val="center"/>
                    <w:rPr>
                      <w:rFonts w:hint="eastAsia"/>
                      <w:color w:val="auto"/>
                      <w:sz w:val="21"/>
                      <w:szCs w:val="21"/>
                    </w:rPr>
                  </w:pPr>
                  <w:r>
                    <w:rPr>
                      <w:rFonts w:hint="eastAsia"/>
                      <w:color w:val="auto"/>
                      <w:sz w:val="21"/>
                      <w:szCs w:val="21"/>
                    </w:rPr>
                    <w:t>1</w:t>
                  </w:r>
                </w:p>
              </w:tc>
              <w:tc>
                <w:tcPr>
                  <w:tcW w:w="1108" w:type="dxa"/>
                  <w:vMerge w:val="continue"/>
                  <w:tcBorders>
                    <w:tl2br w:val="nil"/>
                    <w:tr2bl w:val="nil"/>
                  </w:tcBorders>
                  <w:noWrap w:val="0"/>
                  <w:vAlign w:val="center"/>
                </w:tcPr>
                <w:p w14:paraId="0CB00D28">
                  <w:pPr>
                    <w:pStyle w:val="12"/>
                    <w:tabs>
                      <w:tab w:val="left" w:pos="6582"/>
                    </w:tabs>
                    <w:spacing w:after="0"/>
                    <w:ind w:left="0" w:leftChars="0" w:right="0" w:rightChars="0"/>
                    <w:jc w:val="center"/>
                    <w:rPr>
                      <w:rFonts w:hint="eastAsia"/>
                      <w:color w:val="auto"/>
                      <w:sz w:val="21"/>
                      <w:szCs w:val="21"/>
                    </w:rPr>
                  </w:pPr>
                </w:p>
              </w:tc>
            </w:tr>
          </w:tbl>
          <w:p w14:paraId="028488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6.废气监测计划</w:t>
            </w:r>
          </w:p>
          <w:p w14:paraId="2EB80D04">
            <w:pPr>
              <w:pStyle w:val="12"/>
              <w:spacing w:after="0" w:line="360" w:lineRule="auto"/>
              <w:ind w:left="0" w:leftChars="0" w:right="0" w:rightChars="0" w:firstLine="480" w:firstLineChars="200"/>
              <w:rPr>
                <w:color w:val="auto"/>
                <w:sz w:val="24"/>
              </w:rPr>
            </w:pPr>
            <w:r>
              <w:rPr>
                <w:rFonts w:hint="eastAsia"/>
                <w:color w:val="auto"/>
                <w:sz w:val="24"/>
              </w:rPr>
              <w:t>根据《排污单位自行监测技术指南 总则》（HJ819-2017）、《排污单位自行监测技术指南 水泥工业》（HJ848-2017）中的要求规定，项目废气监测计划见表4-</w:t>
            </w:r>
            <w:r>
              <w:rPr>
                <w:rFonts w:hint="eastAsia"/>
                <w:color w:val="auto"/>
                <w:sz w:val="24"/>
                <w:lang w:val="en-US" w:eastAsia="zh-CN"/>
              </w:rPr>
              <w:t>4</w:t>
            </w:r>
            <w:r>
              <w:rPr>
                <w:rFonts w:hint="eastAsia"/>
                <w:color w:val="auto"/>
                <w:sz w:val="24"/>
              </w:rPr>
              <w:t>。</w:t>
            </w:r>
          </w:p>
          <w:p w14:paraId="69F27E92">
            <w:pPr>
              <w:pStyle w:val="12"/>
              <w:spacing w:after="0"/>
              <w:ind w:left="0" w:leftChars="0" w:right="0" w:rightChars="0"/>
              <w:jc w:val="center"/>
              <w:rPr>
                <w:b/>
                <w:bCs/>
                <w:color w:val="auto"/>
                <w:szCs w:val="21"/>
              </w:rPr>
            </w:pPr>
            <w:r>
              <w:rPr>
                <w:rFonts w:hint="eastAsia"/>
                <w:b/>
                <w:bCs/>
                <w:color w:val="auto"/>
                <w:szCs w:val="21"/>
              </w:rPr>
              <w:t>表4-</w:t>
            </w:r>
            <w:r>
              <w:rPr>
                <w:rFonts w:hint="eastAsia"/>
                <w:b/>
                <w:bCs/>
                <w:color w:val="auto"/>
                <w:szCs w:val="21"/>
                <w:lang w:val="en-US" w:eastAsia="zh-CN"/>
              </w:rPr>
              <w:t>4</w:t>
            </w:r>
            <w:r>
              <w:rPr>
                <w:rFonts w:hint="eastAsia"/>
                <w:b/>
                <w:bCs/>
                <w:color w:val="auto"/>
                <w:szCs w:val="21"/>
              </w:rPr>
              <w:t xml:space="preserve">  废气监测计划一览表</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978"/>
              <w:gridCol w:w="763"/>
              <w:gridCol w:w="704"/>
              <w:gridCol w:w="3766"/>
            </w:tblGrid>
            <w:tr w14:paraId="4C127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1" w:type="pct"/>
                  <w:noWrap w:val="0"/>
                  <w:vAlign w:val="center"/>
                </w:tcPr>
                <w:p w14:paraId="261DF09B">
                  <w:pPr>
                    <w:pStyle w:val="12"/>
                    <w:spacing w:after="0"/>
                    <w:ind w:left="0" w:leftChars="0" w:right="0" w:rightChars="0"/>
                    <w:jc w:val="center"/>
                    <w:rPr>
                      <w:b/>
                      <w:bCs/>
                      <w:color w:val="auto"/>
                      <w:szCs w:val="21"/>
                    </w:rPr>
                  </w:pPr>
                  <w:r>
                    <w:rPr>
                      <w:rFonts w:hint="eastAsia"/>
                      <w:b/>
                      <w:bCs/>
                      <w:color w:val="auto"/>
                      <w:szCs w:val="21"/>
                    </w:rPr>
                    <w:t>监测项目</w:t>
                  </w:r>
                </w:p>
              </w:tc>
              <w:tc>
                <w:tcPr>
                  <w:tcW w:w="1236" w:type="pct"/>
                  <w:noWrap w:val="0"/>
                  <w:vAlign w:val="center"/>
                </w:tcPr>
                <w:p w14:paraId="2C98D971">
                  <w:pPr>
                    <w:pStyle w:val="12"/>
                    <w:spacing w:after="0"/>
                    <w:ind w:left="0" w:leftChars="0" w:right="0" w:rightChars="0"/>
                    <w:jc w:val="center"/>
                    <w:rPr>
                      <w:b/>
                      <w:bCs/>
                      <w:color w:val="auto"/>
                      <w:szCs w:val="21"/>
                    </w:rPr>
                  </w:pPr>
                  <w:r>
                    <w:rPr>
                      <w:rFonts w:hint="eastAsia"/>
                      <w:b/>
                      <w:bCs/>
                      <w:color w:val="auto"/>
                      <w:szCs w:val="21"/>
                    </w:rPr>
                    <w:t>监测点位</w:t>
                  </w:r>
                </w:p>
              </w:tc>
              <w:tc>
                <w:tcPr>
                  <w:tcW w:w="477" w:type="pct"/>
                  <w:noWrap w:val="0"/>
                  <w:vAlign w:val="center"/>
                </w:tcPr>
                <w:p w14:paraId="339A4D84">
                  <w:pPr>
                    <w:pStyle w:val="12"/>
                    <w:spacing w:after="0"/>
                    <w:ind w:left="0" w:leftChars="0" w:right="0" w:rightChars="0"/>
                    <w:jc w:val="center"/>
                    <w:rPr>
                      <w:b/>
                      <w:bCs/>
                      <w:color w:val="auto"/>
                      <w:szCs w:val="21"/>
                    </w:rPr>
                  </w:pPr>
                  <w:r>
                    <w:rPr>
                      <w:rFonts w:hint="eastAsia"/>
                      <w:b/>
                      <w:bCs/>
                      <w:color w:val="auto"/>
                      <w:szCs w:val="21"/>
                    </w:rPr>
                    <w:t>监测指标</w:t>
                  </w:r>
                </w:p>
              </w:tc>
              <w:tc>
                <w:tcPr>
                  <w:tcW w:w="440" w:type="pct"/>
                  <w:noWrap w:val="0"/>
                  <w:vAlign w:val="center"/>
                </w:tcPr>
                <w:p w14:paraId="2B6111EB">
                  <w:pPr>
                    <w:pStyle w:val="12"/>
                    <w:spacing w:after="0"/>
                    <w:ind w:left="0" w:leftChars="0" w:right="0" w:rightChars="0"/>
                    <w:jc w:val="center"/>
                    <w:rPr>
                      <w:b/>
                      <w:bCs/>
                      <w:color w:val="auto"/>
                      <w:szCs w:val="21"/>
                    </w:rPr>
                  </w:pPr>
                  <w:r>
                    <w:rPr>
                      <w:rFonts w:hint="eastAsia"/>
                      <w:b/>
                      <w:bCs/>
                      <w:color w:val="auto"/>
                      <w:szCs w:val="21"/>
                    </w:rPr>
                    <w:t>监测频次</w:t>
                  </w:r>
                </w:p>
              </w:tc>
              <w:tc>
                <w:tcPr>
                  <w:tcW w:w="2354" w:type="pct"/>
                  <w:noWrap w:val="0"/>
                  <w:vAlign w:val="center"/>
                </w:tcPr>
                <w:p w14:paraId="2377F941">
                  <w:pPr>
                    <w:pStyle w:val="12"/>
                    <w:spacing w:after="0"/>
                    <w:ind w:left="0" w:leftChars="0" w:right="0" w:rightChars="0"/>
                    <w:jc w:val="center"/>
                    <w:rPr>
                      <w:b/>
                      <w:bCs/>
                      <w:color w:val="auto"/>
                      <w:szCs w:val="21"/>
                    </w:rPr>
                  </w:pPr>
                  <w:r>
                    <w:rPr>
                      <w:rFonts w:hint="eastAsia"/>
                      <w:b/>
                      <w:bCs/>
                      <w:color w:val="auto"/>
                      <w:szCs w:val="21"/>
                    </w:rPr>
                    <w:t>执行标准</w:t>
                  </w:r>
                </w:p>
              </w:tc>
            </w:tr>
            <w:tr w14:paraId="52273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1" w:type="pct"/>
                  <w:noWrap w:val="0"/>
                  <w:vAlign w:val="center"/>
                </w:tcPr>
                <w:p w14:paraId="04709FC5">
                  <w:pPr>
                    <w:pStyle w:val="12"/>
                    <w:spacing w:after="0"/>
                    <w:ind w:left="0" w:leftChars="0" w:right="0" w:rightChars="0"/>
                    <w:jc w:val="center"/>
                    <w:rPr>
                      <w:rFonts w:hint="eastAsia"/>
                      <w:color w:val="auto"/>
                      <w:szCs w:val="21"/>
                    </w:rPr>
                  </w:pPr>
                  <w:r>
                    <w:rPr>
                      <w:rFonts w:hint="eastAsia"/>
                      <w:color w:val="auto"/>
                      <w:szCs w:val="21"/>
                    </w:rPr>
                    <w:t>废气</w:t>
                  </w:r>
                </w:p>
              </w:tc>
              <w:tc>
                <w:tcPr>
                  <w:tcW w:w="1236" w:type="pct"/>
                  <w:noWrap w:val="0"/>
                  <w:vAlign w:val="center"/>
                </w:tcPr>
                <w:p w14:paraId="45299E4A">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厂界</w:t>
                  </w:r>
                </w:p>
              </w:tc>
              <w:tc>
                <w:tcPr>
                  <w:tcW w:w="477" w:type="pct"/>
                  <w:noWrap w:val="0"/>
                  <w:vAlign w:val="center"/>
                </w:tcPr>
                <w:p w14:paraId="16A37B44">
                  <w:pPr>
                    <w:pStyle w:val="12"/>
                    <w:spacing w:after="0"/>
                    <w:ind w:left="0" w:leftChars="0" w:right="0" w:rightChars="0"/>
                    <w:jc w:val="center"/>
                    <w:rPr>
                      <w:rFonts w:hint="eastAsia"/>
                      <w:color w:val="auto"/>
                      <w:kern w:val="2"/>
                      <w:sz w:val="21"/>
                      <w:szCs w:val="21"/>
                      <w:lang w:val="en-US" w:eastAsia="zh-CN" w:bidi="ar-SA"/>
                    </w:rPr>
                  </w:pPr>
                  <w:r>
                    <w:rPr>
                      <w:rFonts w:hint="eastAsia"/>
                      <w:color w:val="auto"/>
                      <w:szCs w:val="21"/>
                    </w:rPr>
                    <w:t>颗粒物</w:t>
                  </w:r>
                </w:p>
              </w:tc>
              <w:tc>
                <w:tcPr>
                  <w:tcW w:w="440" w:type="pct"/>
                  <w:noWrap w:val="0"/>
                  <w:vAlign w:val="center"/>
                </w:tcPr>
                <w:p w14:paraId="2B2F369D">
                  <w:pPr>
                    <w:pStyle w:val="12"/>
                    <w:spacing w:after="0"/>
                    <w:ind w:left="0" w:leftChars="0" w:right="0" w:rightChars="0"/>
                    <w:jc w:val="center"/>
                    <w:rPr>
                      <w:color w:val="auto"/>
                      <w:kern w:val="2"/>
                      <w:sz w:val="21"/>
                      <w:szCs w:val="21"/>
                      <w:lang w:val="en-US" w:eastAsia="zh-CN" w:bidi="ar-SA"/>
                    </w:rPr>
                  </w:pPr>
                  <w:r>
                    <w:rPr>
                      <w:rFonts w:hint="eastAsia"/>
                      <w:color w:val="auto"/>
                      <w:szCs w:val="21"/>
                    </w:rPr>
                    <w:t>季度/次</w:t>
                  </w:r>
                </w:p>
              </w:tc>
              <w:tc>
                <w:tcPr>
                  <w:tcW w:w="2354" w:type="pct"/>
                  <w:noWrap w:val="0"/>
                  <w:vAlign w:val="center"/>
                </w:tcPr>
                <w:p w14:paraId="7EF674AB">
                  <w:pPr>
                    <w:pStyle w:val="12"/>
                    <w:spacing w:after="0"/>
                    <w:ind w:left="0" w:leftChars="0" w:right="0" w:rightChars="0"/>
                    <w:jc w:val="center"/>
                    <w:rPr>
                      <w:color w:val="auto"/>
                      <w:kern w:val="2"/>
                      <w:sz w:val="21"/>
                      <w:szCs w:val="21"/>
                      <w:lang w:val="en-US" w:eastAsia="zh-CN" w:bidi="ar-SA"/>
                    </w:rPr>
                  </w:pPr>
                  <w:r>
                    <w:rPr>
                      <w:rFonts w:hint="eastAsia"/>
                      <w:color w:val="auto"/>
                      <w:szCs w:val="21"/>
                    </w:rPr>
                    <w:t>《水泥工业大气污染物排放标准》（GB4915-2013）</w:t>
                  </w:r>
                  <w:r>
                    <w:rPr>
                      <w:rFonts w:hint="eastAsia"/>
                      <w:color w:val="auto"/>
                      <w:szCs w:val="21"/>
                      <w:lang w:val="en-US" w:eastAsia="zh-CN"/>
                    </w:rPr>
                    <w:t>及修改单</w:t>
                  </w:r>
                  <w:r>
                    <w:rPr>
                      <w:rFonts w:hint="eastAsia"/>
                      <w:color w:val="auto"/>
                      <w:szCs w:val="21"/>
                    </w:rPr>
                    <w:t>中表3大气污染物无组织排放限值</w:t>
                  </w:r>
                </w:p>
              </w:tc>
            </w:tr>
          </w:tbl>
          <w:p w14:paraId="1B3977F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sz w:val="24"/>
                <w:szCs w:val="32"/>
                <w:lang w:val="en-US" w:eastAsia="zh-CN"/>
              </w:rPr>
            </w:pPr>
            <w:r>
              <w:rPr>
                <w:rFonts w:hint="eastAsia"/>
                <w:b/>
                <w:bCs/>
                <w:color w:val="auto"/>
                <w:sz w:val="24"/>
                <w:szCs w:val="32"/>
                <w:lang w:val="en-US" w:eastAsia="zh-CN"/>
              </w:rPr>
              <w:t>4.7运营期废水</w:t>
            </w:r>
          </w:p>
          <w:p w14:paraId="5B1400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32"/>
              </w:rPr>
            </w:pPr>
            <w:r>
              <w:rPr>
                <w:rFonts w:hint="eastAsia"/>
                <w:color w:val="auto"/>
                <w:sz w:val="24"/>
                <w:szCs w:val="32"/>
                <w:lang w:val="en-US" w:eastAsia="zh-CN"/>
              </w:rPr>
              <w:t>1.</w:t>
            </w:r>
            <w:r>
              <w:rPr>
                <w:rFonts w:hint="eastAsia"/>
                <w:color w:val="auto"/>
                <w:sz w:val="24"/>
                <w:szCs w:val="32"/>
              </w:rPr>
              <w:t>废水污染源产生情况</w:t>
            </w:r>
          </w:p>
          <w:p w14:paraId="05CF8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rPr>
              <w:t>项目运营期生产用水为搅拌过程工艺用水、道路洒水降尘用水、砂石料原料喷淋用水、搅拌机</w:t>
            </w:r>
            <w:r>
              <w:rPr>
                <w:rFonts w:hint="eastAsia"/>
                <w:color w:val="auto"/>
                <w:sz w:val="24"/>
                <w:szCs w:val="32"/>
                <w:lang w:val="en-US" w:eastAsia="zh-CN"/>
              </w:rPr>
              <w:t>和商混运输车</w:t>
            </w:r>
            <w:r>
              <w:rPr>
                <w:rFonts w:hint="eastAsia"/>
                <w:color w:val="auto"/>
                <w:sz w:val="24"/>
                <w:szCs w:val="32"/>
              </w:rPr>
              <w:t>清洗用水以及工作人员生活用水。搅拌过程工艺用水随产品带走；道路洒水降尘、砂石料原料喷淋用水全部自然蒸发损耗</w:t>
            </w:r>
            <w:r>
              <w:rPr>
                <w:rFonts w:hint="eastAsia"/>
                <w:color w:val="auto"/>
                <w:sz w:val="24"/>
                <w:szCs w:val="32"/>
                <w:lang w:eastAsia="zh-CN"/>
              </w:rPr>
              <w:t>，</w:t>
            </w:r>
            <w:r>
              <w:rPr>
                <w:rFonts w:hint="eastAsia"/>
                <w:color w:val="auto"/>
                <w:sz w:val="24"/>
                <w:szCs w:val="32"/>
                <w:lang w:val="en-US" w:eastAsia="zh-CN"/>
              </w:rPr>
              <w:t>主要废水为设备清洗废水和生活污水。</w:t>
            </w:r>
          </w:p>
          <w:p w14:paraId="55B7E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（1）生产废水</w:t>
            </w:r>
          </w:p>
          <w:p w14:paraId="31C327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搅拌机和商混运输车清</w:t>
            </w:r>
            <w:r>
              <w:rPr>
                <w:rFonts w:hint="eastAsia"/>
                <w:color w:val="auto"/>
                <w:sz w:val="24"/>
                <w:szCs w:val="32"/>
              </w:rPr>
              <w:t>水用水为</w:t>
            </w:r>
            <w:r>
              <w:rPr>
                <w:rFonts w:hint="eastAsia"/>
                <w:color w:val="auto"/>
                <w:sz w:val="24"/>
                <w:szCs w:val="32"/>
                <w:lang w:val="en-US" w:eastAsia="zh-CN"/>
              </w:rPr>
              <w:t>2</w:t>
            </w:r>
            <w:r>
              <w:rPr>
                <w:rFonts w:hint="eastAsia"/>
                <w:color w:val="auto"/>
                <w:sz w:val="24"/>
                <w:szCs w:val="32"/>
              </w:rPr>
              <w:t>.0m</w:t>
            </w:r>
            <w:r>
              <w:rPr>
                <w:rFonts w:hint="eastAsia"/>
                <w:color w:val="auto"/>
                <w:sz w:val="24"/>
                <w:szCs w:val="32"/>
                <w:vertAlign w:val="superscript"/>
              </w:rPr>
              <w:t>3</w:t>
            </w:r>
            <w:r>
              <w:rPr>
                <w:rFonts w:hint="eastAsia"/>
                <w:color w:val="auto"/>
                <w:sz w:val="24"/>
                <w:szCs w:val="32"/>
              </w:rPr>
              <w:t>/d（</w:t>
            </w:r>
            <w:r>
              <w:rPr>
                <w:rFonts w:hint="eastAsia"/>
                <w:color w:val="auto"/>
                <w:sz w:val="24"/>
                <w:szCs w:val="32"/>
                <w:lang w:val="en-US" w:eastAsia="zh-CN"/>
              </w:rPr>
              <w:t>660</w:t>
            </w:r>
            <w:r>
              <w:rPr>
                <w:rFonts w:hint="eastAsia"/>
                <w:color w:val="auto"/>
                <w:sz w:val="24"/>
                <w:szCs w:val="32"/>
              </w:rPr>
              <w:t>m</w:t>
            </w:r>
            <w:r>
              <w:rPr>
                <w:rFonts w:hint="eastAsia"/>
                <w:color w:val="auto"/>
                <w:sz w:val="24"/>
                <w:szCs w:val="32"/>
                <w:vertAlign w:val="superscript"/>
              </w:rPr>
              <w:t>3</w:t>
            </w:r>
            <w:r>
              <w:rPr>
                <w:rFonts w:hint="eastAsia"/>
                <w:color w:val="auto"/>
                <w:sz w:val="24"/>
                <w:szCs w:val="32"/>
              </w:rPr>
              <w:t>/a），废水产生系数按80%计算，则清洗废水产生量为</w:t>
            </w:r>
            <w:r>
              <w:rPr>
                <w:rFonts w:hint="eastAsia"/>
                <w:color w:val="auto"/>
                <w:sz w:val="24"/>
                <w:szCs w:val="32"/>
                <w:lang w:val="en-US" w:eastAsia="zh-CN"/>
              </w:rPr>
              <w:t>528</w:t>
            </w:r>
            <w:r>
              <w:rPr>
                <w:rFonts w:hint="eastAsia"/>
                <w:color w:val="auto"/>
                <w:sz w:val="24"/>
                <w:szCs w:val="32"/>
              </w:rPr>
              <w:t>m</w:t>
            </w:r>
            <w:r>
              <w:rPr>
                <w:rFonts w:hint="eastAsia"/>
                <w:color w:val="auto"/>
                <w:sz w:val="24"/>
                <w:szCs w:val="32"/>
                <w:vertAlign w:val="superscript"/>
              </w:rPr>
              <w:t>3</w:t>
            </w:r>
            <w:r>
              <w:rPr>
                <w:rFonts w:hint="eastAsia"/>
                <w:color w:val="auto"/>
                <w:sz w:val="24"/>
                <w:szCs w:val="32"/>
              </w:rPr>
              <w:t>/a（</w:t>
            </w:r>
            <w:r>
              <w:rPr>
                <w:rFonts w:hint="eastAsia"/>
                <w:color w:val="auto"/>
                <w:sz w:val="24"/>
                <w:szCs w:val="32"/>
                <w:lang w:val="en-US" w:eastAsia="zh-CN"/>
              </w:rPr>
              <w:t>1.6</w:t>
            </w:r>
            <w:r>
              <w:rPr>
                <w:rFonts w:hint="eastAsia"/>
                <w:color w:val="auto"/>
                <w:sz w:val="24"/>
                <w:szCs w:val="32"/>
              </w:rPr>
              <w:t>m</w:t>
            </w:r>
            <w:r>
              <w:rPr>
                <w:rFonts w:hint="eastAsia"/>
                <w:color w:val="auto"/>
                <w:sz w:val="24"/>
                <w:szCs w:val="32"/>
                <w:vertAlign w:val="superscript"/>
              </w:rPr>
              <w:t>3</w:t>
            </w:r>
            <w:r>
              <w:rPr>
                <w:rFonts w:hint="eastAsia"/>
                <w:color w:val="auto"/>
                <w:sz w:val="24"/>
                <w:szCs w:val="32"/>
              </w:rPr>
              <w:t>/d），</w:t>
            </w:r>
            <w:r>
              <w:rPr>
                <w:rFonts w:hint="eastAsia"/>
                <w:color w:val="auto"/>
                <w:sz w:val="24"/>
                <w:szCs w:val="32"/>
                <w:lang w:val="en-US" w:eastAsia="zh-CN"/>
              </w:rPr>
              <w:t>分别进入每个综合站场80m</w:t>
            </w:r>
            <w:r>
              <w:rPr>
                <w:rFonts w:hint="eastAsia"/>
                <w:color w:val="auto"/>
                <w:sz w:val="24"/>
                <w:szCs w:val="32"/>
                <w:vertAlign w:val="superscript"/>
                <w:lang w:val="en-US" w:eastAsia="zh-CN"/>
              </w:rPr>
              <w:t>3</w:t>
            </w:r>
            <w:r>
              <w:rPr>
                <w:rFonts w:hint="eastAsia"/>
                <w:color w:val="auto"/>
                <w:sz w:val="24"/>
                <w:szCs w:val="32"/>
                <w:lang w:val="en-US" w:eastAsia="zh-CN"/>
              </w:rPr>
              <w:t>洗车池，经三级沉淀沉降后</w:t>
            </w:r>
            <w:r>
              <w:rPr>
                <w:rFonts w:hint="eastAsia"/>
                <w:color w:val="auto"/>
                <w:sz w:val="24"/>
                <w:szCs w:val="32"/>
              </w:rPr>
              <w:t>回用生产</w:t>
            </w:r>
            <w:r>
              <w:rPr>
                <w:rFonts w:hint="eastAsia"/>
                <w:color w:val="auto"/>
                <w:sz w:val="24"/>
                <w:szCs w:val="32"/>
                <w:lang w:eastAsia="zh-CN"/>
              </w:rPr>
              <w:t>，</w:t>
            </w:r>
            <w:r>
              <w:rPr>
                <w:rFonts w:hint="eastAsia"/>
                <w:color w:val="auto"/>
                <w:sz w:val="24"/>
                <w:szCs w:val="32"/>
                <w:lang w:val="en-US" w:eastAsia="zh-CN"/>
              </w:rPr>
              <w:t>生产废水处理工艺流程图见图4.1。</w:t>
            </w:r>
          </w:p>
          <w:p w14:paraId="14814511">
            <w:pPr>
              <w:pStyle w:val="14"/>
              <w:adjustRightInd/>
              <w:spacing w:line="360" w:lineRule="auto"/>
              <w:jc w:val="left"/>
              <w:rPr>
                <w:rFonts w:ascii="Times New Roman" w:eastAsia="宋体" w:cs="Times New Roman"/>
                <w:color w:val="auto"/>
              </w:rPr>
            </w:pPr>
            <w:r>
              <w:rPr>
                <w:rFonts w:ascii="Times New Roman" w:eastAsia="宋体" w:cs="Times New Roman"/>
                <w:color w:val="auto"/>
              </w:rPr>
              <w:object>
                <v:shape id="_x0000_i1029" o:spt="75" type="#_x0000_t75" style="height:59.25pt;width:392.25pt;" o:ole="t" filled="f" o:preferrelative="t" stroked="f" coordsize="21600,21600">
                  <v:path/>
                  <v:fill on="f" focussize="0,0"/>
                  <v:stroke on="f"/>
                  <v:imagedata r:id="rId17" o:title=""/>
                  <o:lock v:ext="edit" aspectratio="f"/>
                  <w10:wrap type="none"/>
                  <w10:anchorlock/>
                </v:shape>
                <o:OLEObject Type="Embed" ProgID="Visio.Drawing.15" ShapeID="_x0000_i1029" DrawAspect="Content" ObjectID="_1468075729" r:id="rId16">
                  <o:LockedField>false</o:LockedField>
                </o:OLEObject>
              </w:object>
            </w:r>
          </w:p>
          <w:p w14:paraId="13C29394">
            <w:pPr>
              <w:pStyle w:val="14"/>
              <w:adjustRightInd/>
              <w:spacing w:line="360" w:lineRule="auto"/>
              <w:jc w:val="center"/>
              <w:rPr>
                <w:rFonts w:hint="default" w:ascii="Times New Roman" w:eastAsia="宋体" w:cs="Times New Roman"/>
                <w:b/>
                <w:bCs/>
                <w:color w:val="auto"/>
                <w:sz w:val="21"/>
                <w:szCs w:val="21"/>
                <w:lang w:val="en-US" w:eastAsia="zh-CN"/>
              </w:rPr>
            </w:pPr>
            <w:r>
              <w:rPr>
                <w:rFonts w:hint="eastAsia" w:ascii="Times New Roman" w:eastAsia="宋体" w:cs="Times New Roman"/>
                <w:b/>
                <w:bCs/>
                <w:color w:val="auto"/>
                <w:sz w:val="21"/>
                <w:szCs w:val="21"/>
                <w:lang w:val="en-US" w:eastAsia="zh-CN"/>
              </w:rPr>
              <w:t>图4.1  生产废水处理工艺流程示意图</w:t>
            </w:r>
          </w:p>
          <w:p w14:paraId="633F453E">
            <w:pPr>
              <w:pStyle w:val="14"/>
              <w:adjustRightInd/>
              <w:spacing w:line="360" w:lineRule="auto"/>
              <w:ind w:firstLine="480" w:firstLineChars="200"/>
              <w:jc w:val="left"/>
              <w:rPr>
                <w:rFonts w:hint="default" w:ascii="Times New Roman" w:eastAsia="宋体" w:cs="Times New Roman"/>
                <w:b w:val="0"/>
                <w:bCs/>
                <w:color w:val="auto"/>
                <w:lang w:val="en-US" w:eastAsia="zh-CN"/>
              </w:rPr>
            </w:pPr>
            <w:r>
              <w:rPr>
                <w:rFonts w:hint="eastAsia" w:ascii="Times New Roman" w:eastAsia="宋体" w:cs="Times New Roman"/>
                <w:b w:val="0"/>
                <w:bCs/>
                <w:color w:val="auto"/>
                <w:lang w:val="en-US" w:eastAsia="zh-CN"/>
              </w:rPr>
              <w:t>（2）生活污水</w:t>
            </w:r>
          </w:p>
          <w:p w14:paraId="5DFAAD33">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color w:val="auto"/>
                <w:sz w:val="24"/>
                <w:szCs w:val="24"/>
              </w:rPr>
              <w:t>根据《新疆维吾尔自治区生活用水定额》中</w:t>
            </w:r>
            <w:r>
              <w:rPr>
                <w:rFonts w:hint="default" w:ascii="Times New Roman" w:hAnsi="Times New Roman" w:eastAsia="宋体" w:cs="Times New Roman"/>
                <w:b w:val="0"/>
                <w:bCs/>
                <w:color w:val="auto"/>
                <w:sz w:val="24"/>
                <w:szCs w:val="24"/>
                <w:lang w:val="en-US" w:eastAsia="zh-CN"/>
              </w:rPr>
              <w:t>农村</w:t>
            </w:r>
            <w:r>
              <w:rPr>
                <w:rFonts w:hint="default" w:ascii="Times New Roman" w:hAnsi="Times New Roman" w:eastAsia="宋体" w:cs="Times New Roman"/>
                <w:b w:val="0"/>
                <w:bCs/>
                <w:color w:val="auto"/>
                <w:sz w:val="24"/>
                <w:szCs w:val="24"/>
              </w:rPr>
              <w:t>居民住宅</w:t>
            </w:r>
            <w:r>
              <w:rPr>
                <w:rFonts w:hint="default" w:ascii="Times New Roman" w:hAnsi="Times New Roman" w:eastAsia="宋体" w:cs="Times New Roman"/>
                <w:b w:val="0"/>
                <w:bCs/>
                <w:color w:val="auto"/>
                <w:sz w:val="24"/>
                <w:szCs w:val="24"/>
                <w:lang w:eastAsia="zh-CN"/>
              </w:rPr>
              <w:t>（</w:t>
            </w:r>
            <w:r>
              <w:rPr>
                <w:rFonts w:hint="default" w:ascii="Times New Roman" w:hAnsi="Times New Roman" w:eastAsia="宋体" w:cs="Times New Roman"/>
                <w:b w:val="0"/>
                <w:bCs/>
                <w:color w:val="auto"/>
                <w:sz w:val="24"/>
                <w:szCs w:val="24"/>
                <w:lang w:val="en-US" w:eastAsia="zh-CN"/>
              </w:rPr>
              <w:t>北疆天山北坡区有上下水设施淋浴设备</w:t>
            </w:r>
            <w:r>
              <w:rPr>
                <w:rFonts w:hint="default" w:ascii="Times New Roman" w:hAnsi="Times New Roman" w:eastAsia="宋体" w:cs="Times New Roman"/>
                <w:b w:val="0"/>
                <w:bCs/>
                <w:color w:val="auto"/>
                <w:sz w:val="24"/>
                <w:szCs w:val="24"/>
                <w:lang w:eastAsia="zh-CN"/>
              </w:rPr>
              <w:t>）</w:t>
            </w:r>
            <w:r>
              <w:rPr>
                <w:rFonts w:hint="default" w:ascii="Times New Roman" w:hAnsi="Times New Roman" w:eastAsia="宋体" w:cs="Times New Roman"/>
                <w:b w:val="0"/>
                <w:bCs/>
                <w:color w:val="auto"/>
                <w:sz w:val="24"/>
                <w:szCs w:val="24"/>
              </w:rPr>
              <w:t>用水定额为7</w:t>
            </w:r>
            <w:r>
              <w:rPr>
                <w:rFonts w:hint="default" w:ascii="Times New Roman" w:hAnsi="Times New Roman" w:eastAsia="宋体" w:cs="Times New Roman"/>
                <w:b w:val="0"/>
                <w:bCs/>
                <w:color w:val="auto"/>
                <w:sz w:val="24"/>
                <w:szCs w:val="24"/>
                <w:lang w:val="en-US" w:eastAsia="zh-CN"/>
              </w:rPr>
              <w:t>0</w:t>
            </w:r>
            <w:r>
              <w:rPr>
                <w:rFonts w:hint="default" w:ascii="Times New Roman" w:hAnsi="Times New Roman" w:eastAsia="宋体" w:cs="Times New Roman"/>
                <w:b w:val="0"/>
                <w:bCs/>
                <w:color w:val="auto"/>
                <w:sz w:val="24"/>
                <w:szCs w:val="24"/>
              </w:rPr>
              <w:t>-80L/人·日。为计算用水的最大影响，本次职工生活用水取最大值，即80L/人·日。因此项目用水量为</w:t>
            </w:r>
            <w:r>
              <w:rPr>
                <w:rFonts w:hint="eastAsia" w:ascii="Times New Roman" w:hAnsi="Times New Roman" w:eastAsia="宋体" w:cs="Times New Roman"/>
                <w:b w:val="0"/>
                <w:bCs/>
                <w:color w:val="auto"/>
                <w:sz w:val="24"/>
                <w:szCs w:val="24"/>
                <w:lang w:val="en-US" w:eastAsia="zh-CN"/>
              </w:rPr>
              <w:t>528</w:t>
            </w:r>
            <w:r>
              <w:rPr>
                <w:rFonts w:hint="default" w:ascii="Times New Roman" w:hAnsi="Times New Roman" w:eastAsia="宋体" w:cs="Times New Roman"/>
                <w:b w:val="0"/>
                <w:bCs/>
                <w:color w:val="auto"/>
                <w:sz w:val="24"/>
                <w:szCs w:val="24"/>
              </w:rPr>
              <w:t>m</w:t>
            </w:r>
            <w:r>
              <w:rPr>
                <w:rFonts w:hint="default" w:ascii="Times New Roman" w:hAnsi="Times New Roman" w:eastAsia="宋体" w:cs="Times New Roman"/>
                <w:b w:val="0"/>
                <w:bCs/>
                <w:color w:val="auto"/>
                <w:sz w:val="24"/>
                <w:szCs w:val="24"/>
                <w:vertAlign w:val="superscript"/>
              </w:rPr>
              <w:t>3</w:t>
            </w:r>
            <w:r>
              <w:rPr>
                <w:rFonts w:hint="default" w:ascii="Times New Roman" w:hAnsi="Times New Roman" w:eastAsia="宋体" w:cs="Times New Roman"/>
                <w:b w:val="0"/>
                <w:bCs/>
                <w:color w:val="auto"/>
                <w:sz w:val="24"/>
                <w:szCs w:val="24"/>
              </w:rPr>
              <w:t>/a（</w:t>
            </w:r>
            <w:r>
              <w:rPr>
                <w:rFonts w:hint="default" w:ascii="Times New Roman" w:hAnsi="Times New Roman" w:eastAsia="宋体" w:cs="Times New Roman"/>
                <w:b w:val="0"/>
                <w:bCs/>
                <w:color w:val="auto"/>
                <w:sz w:val="24"/>
                <w:szCs w:val="24"/>
                <w:lang w:val="en-US" w:eastAsia="zh-CN"/>
              </w:rPr>
              <w:t>1.</w:t>
            </w:r>
            <w:r>
              <w:rPr>
                <w:rFonts w:hint="eastAsia" w:ascii="Times New Roman" w:hAnsi="Times New Roman" w:eastAsia="宋体" w:cs="Times New Roman"/>
                <w:b w:val="0"/>
                <w:bCs/>
                <w:color w:val="auto"/>
                <w:sz w:val="24"/>
                <w:szCs w:val="24"/>
                <w:lang w:val="en-US" w:eastAsia="zh-CN"/>
              </w:rPr>
              <w:t>6</w:t>
            </w:r>
            <w:r>
              <w:rPr>
                <w:rFonts w:hint="default" w:ascii="Times New Roman" w:hAnsi="Times New Roman" w:eastAsia="宋体" w:cs="Times New Roman"/>
                <w:b w:val="0"/>
                <w:bCs/>
                <w:color w:val="auto"/>
                <w:sz w:val="24"/>
                <w:szCs w:val="24"/>
              </w:rPr>
              <w:t>m</w:t>
            </w:r>
            <w:r>
              <w:rPr>
                <w:rFonts w:hint="default" w:ascii="Times New Roman" w:hAnsi="Times New Roman" w:eastAsia="宋体" w:cs="Times New Roman"/>
                <w:b w:val="0"/>
                <w:bCs/>
                <w:color w:val="auto"/>
                <w:sz w:val="24"/>
                <w:szCs w:val="24"/>
                <w:vertAlign w:val="superscript"/>
              </w:rPr>
              <w:t>3</w:t>
            </w:r>
            <w:r>
              <w:rPr>
                <w:rFonts w:hint="default" w:ascii="Times New Roman" w:hAnsi="Times New Roman" w:eastAsia="宋体" w:cs="Times New Roman"/>
                <w:b w:val="0"/>
                <w:bCs/>
                <w:color w:val="auto"/>
                <w:sz w:val="24"/>
                <w:szCs w:val="24"/>
              </w:rPr>
              <w:t>/d）。生活污水产污</w:t>
            </w:r>
            <w:r>
              <w:rPr>
                <w:rFonts w:hint="default" w:ascii="Times New Roman" w:hAnsi="Times New Roman" w:eastAsia="宋体" w:cs="Times New Roman"/>
                <w:b w:val="0"/>
                <w:bCs/>
                <w:color w:val="auto"/>
                <w:sz w:val="24"/>
                <w:szCs w:val="24"/>
                <w:lang w:val="en-US" w:eastAsia="zh-CN"/>
              </w:rPr>
              <w:t>系数按80%计算，则生活污水产生量为</w:t>
            </w:r>
            <w:r>
              <w:rPr>
                <w:rFonts w:hint="eastAsia" w:ascii="Times New Roman" w:hAnsi="Times New Roman" w:eastAsia="宋体" w:cs="Times New Roman"/>
                <w:b w:val="0"/>
                <w:bCs/>
                <w:color w:val="auto"/>
                <w:sz w:val="24"/>
                <w:szCs w:val="24"/>
                <w:lang w:val="en-US" w:eastAsia="zh-CN"/>
              </w:rPr>
              <w:t>422.4</w:t>
            </w:r>
            <w:r>
              <w:rPr>
                <w:rFonts w:hint="default" w:ascii="Times New Roman" w:hAnsi="Times New Roman" w:eastAsia="宋体" w:cs="Times New Roman"/>
                <w:b w:val="0"/>
                <w:bCs/>
                <w:color w:val="auto"/>
                <w:sz w:val="24"/>
                <w:szCs w:val="24"/>
                <w:lang w:val="en-US" w:eastAsia="zh-CN"/>
              </w:rPr>
              <w:t>m</w:t>
            </w:r>
            <w:r>
              <w:rPr>
                <w:rFonts w:hint="default" w:ascii="Times New Roman" w:hAnsi="Times New Roman" w:eastAsia="宋体" w:cs="Times New Roman"/>
                <w:b w:val="0"/>
                <w:bCs/>
                <w:color w:val="auto"/>
                <w:sz w:val="24"/>
                <w:szCs w:val="24"/>
                <w:vertAlign w:val="superscript"/>
                <w:lang w:val="en-US" w:eastAsia="zh-CN"/>
              </w:rPr>
              <w:t>3</w:t>
            </w:r>
            <w:r>
              <w:rPr>
                <w:rFonts w:hint="default" w:ascii="Times New Roman" w:hAnsi="Times New Roman" w:eastAsia="宋体" w:cs="Times New Roman"/>
                <w:b w:val="0"/>
                <w:bCs/>
                <w:color w:val="auto"/>
                <w:sz w:val="24"/>
                <w:szCs w:val="24"/>
                <w:lang w:val="en-US" w:eastAsia="zh-CN"/>
              </w:rPr>
              <w:t>/a（</w:t>
            </w:r>
            <w:r>
              <w:rPr>
                <w:rFonts w:hint="eastAsia" w:ascii="Times New Roman" w:hAnsi="Times New Roman" w:eastAsia="宋体" w:cs="Times New Roman"/>
                <w:b w:val="0"/>
                <w:bCs/>
                <w:color w:val="auto"/>
                <w:sz w:val="24"/>
                <w:szCs w:val="24"/>
                <w:lang w:val="en-US" w:eastAsia="zh-CN"/>
              </w:rPr>
              <w:t>1.28</w:t>
            </w:r>
            <w:r>
              <w:rPr>
                <w:rFonts w:hint="default" w:ascii="Times New Roman" w:hAnsi="Times New Roman" w:eastAsia="宋体" w:cs="Times New Roman"/>
                <w:b w:val="0"/>
                <w:bCs/>
                <w:color w:val="auto"/>
                <w:sz w:val="24"/>
                <w:szCs w:val="24"/>
                <w:lang w:val="en-US" w:eastAsia="zh-CN"/>
              </w:rPr>
              <w:t>m</w:t>
            </w:r>
            <w:r>
              <w:rPr>
                <w:rFonts w:hint="default" w:ascii="Times New Roman" w:hAnsi="Times New Roman" w:eastAsia="宋体" w:cs="Times New Roman"/>
                <w:b w:val="0"/>
                <w:bCs/>
                <w:color w:val="auto"/>
                <w:sz w:val="24"/>
                <w:szCs w:val="24"/>
                <w:vertAlign w:val="superscript"/>
                <w:lang w:val="en-US" w:eastAsia="zh-CN"/>
              </w:rPr>
              <w:t>3</w:t>
            </w:r>
            <w:r>
              <w:rPr>
                <w:rFonts w:hint="default" w:ascii="Times New Roman" w:hAnsi="Times New Roman" w:eastAsia="宋体" w:cs="Times New Roman"/>
                <w:b w:val="0"/>
                <w:bCs/>
                <w:color w:val="auto"/>
                <w:sz w:val="24"/>
                <w:szCs w:val="24"/>
                <w:lang w:val="en-US" w:eastAsia="zh-CN"/>
              </w:rPr>
              <w:t>/d）</w:t>
            </w:r>
            <w:r>
              <w:rPr>
                <w:rFonts w:hint="eastAsia" w:ascii="Times New Roman" w:hAnsi="Times New Roman" w:eastAsia="宋体" w:cs="Times New Roman"/>
                <w:b w:val="0"/>
                <w:bCs/>
                <w:color w:val="auto"/>
                <w:sz w:val="24"/>
                <w:szCs w:val="24"/>
                <w:lang w:val="en-US" w:eastAsia="zh-CN"/>
              </w:rPr>
              <w:t>。</w:t>
            </w:r>
          </w:p>
          <w:p w14:paraId="488F4504">
            <w:pPr>
              <w:pStyle w:val="12"/>
              <w:spacing w:after="0" w:line="360" w:lineRule="auto"/>
              <w:ind w:left="0" w:leftChars="0" w:right="0" w:rightChars="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2.废水治理措施</w:t>
            </w:r>
          </w:p>
          <w:p w14:paraId="0EAEE3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eastAsia="zh-CN"/>
              </w:rPr>
              <w:t>（</w:t>
            </w:r>
            <w:r>
              <w:rPr>
                <w:rFonts w:hint="eastAsia"/>
                <w:color w:val="auto"/>
                <w:sz w:val="24"/>
                <w:szCs w:val="32"/>
                <w:lang w:val="en-US" w:eastAsia="zh-CN"/>
              </w:rPr>
              <w:t>1</w:t>
            </w:r>
            <w:r>
              <w:rPr>
                <w:rFonts w:hint="eastAsia"/>
                <w:color w:val="auto"/>
                <w:sz w:val="24"/>
                <w:szCs w:val="32"/>
                <w:lang w:eastAsia="zh-CN"/>
              </w:rPr>
              <w:t>）</w:t>
            </w:r>
            <w:r>
              <w:rPr>
                <w:rFonts w:hint="eastAsia"/>
                <w:color w:val="auto"/>
                <w:sz w:val="24"/>
                <w:szCs w:val="32"/>
                <w:lang w:val="en-US" w:eastAsia="zh-CN"/>
              </w:rPr>
              <w:t>搅拌机、商混运输车清洗废水均收集至洗车池内，经三级沉淀后回用生产。</w:t>
            </w:r>
          </w:p>
          <w:p w14:paraId="4BDD4FE1">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color w:val="auto"/>
                <w:sz w:val="24"/>
                <w:szCs w:val="32"/>
                <w:lang w:eastAsia="zh-CN"/>
              </w:rPr>
              <w:t>（</w:t>
            </w:r>
            <w:r>
              <w:rPr>
                <w:rFonts w:hint="eastAsia"/>
                <w:color w:val="auto"/>
                <w:sz w:val="24"/>
                <w:szCs w:val="32"/>
                <w:lang w:val="en-US" w:eastAsia="zh-CN"/>
              </w:rPr>
              <w:t>2</w:t>
            </w:r>
            <w:r>
              <w:rPr>
                <w:rFonts w:hint="eastAsia"/>
                <w:color w:val="auto"/>
                <w:sz w:val="24"/>
                <w:szCs w:val="32"/>
                <w:lang w:eastAsia="zh-CN"/>
              </w:rPr>
              <w:t>）</w:t>
            </w:r>
            <w:r>
              <w:rPr>
                <w:rFonts w:hint="eastAsia" w:ascii="Times New Roman" w:hAnsi="Times New Roman" w:eastAsia="宋体" w:cs="Times New Roman"/>
                <w:b w:val="0"/>
                <w:bCs/>
                <w:color w:val="auto"/>
                <w:sz w:val="24"/>
                <w:szCs w:val="24"/>
                <w:lang w:val="en-US" w:eastAsia="zh-CN"/>
              </w:rPr>
              <w:t>生活污水依托高速公路配套的生活区，设置一体化污水设备，处理达到《城市污水再生利用城市杂用水水质》（GB/T18920-2020）标准后回用绿化、道路清扫</w:t>
            </w:r>
            <w:r>
              <w:rPr>
                <w:rFonts w:hint="default" w:ascii="Times New Roman" w:hAnsi="Times New Roman" w:eastAsia="宋体" w:cs="Times New Roman"/>
                <w:b w:val="0"/>
                <w:bCs/>
                <w:color w:val="auto"/>
                <w:sz w:val="24"/>
                <w:szCs w:val="24"/>
                <w:lang w:val="en-US" w:eastAsia="zh-CN"/>
              </w:rPr>
              <w:t>。</w:t>
            </w:r>
          </w:p>
          <w:p w14:paraId="2B7B26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3.废水治理措施可行性分析</w:t>
            </w:r>
          </w:p>
          <w:p w14:paraId="74C3D1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olor w:val="auto"/>
                <w:sz w:val="24"/>
                <w:szCs w:val="32"/>
                <w:lang w:val="en-US" w:eastAsia="zh-CN"/>
              </w:rPr>
              <w:t>根据工程分析，搅拌机、运输车辆清洗废水均收集于洗车池内，经三级沉淀后回用于生产，废水产生量约1.6m</w:t>
            </w:r>
            <w:r>
              <w:rPr>
                <w:rFonts w:hint="eastAsia"/>
                <w:color w:val="auto"/>
                <w:sz w:val="24"/>
                <w:szCs w:val="32"/>
                <w:vertAlign w:val="superscript"/>
                <w:lang w:val="en-US" w:eastAsia="zh-CN"/>
              </w:rPr>
              <w:t>3</w:t>
            </w:r>
            <w:r>
              <w:rPr>
                <w:rFonts w:hint="eastAsia"/>
                <w:color w:val="auto"/>
                <w:sz w:val="24"/>
                <w:szCs w:val="32"/>
                <w:lang w:val="en-US" w:eastAsia="zh-CN"/>
              </w:rPr>
              <w:t>/d。根据方案设计，每个综合场站设置1座80m</w:t>
            </w:r>
            <w:r>
              <w:rPr>
                <w:rFonts w:hint="eastAsia"/>
                <w:color w:val="auto"/>
                <w:sz w:val="24"/>
                <w:szCs w:val="32"/>
                <w:vertAlign w:val="superscript"/>
                <w:lang w:val="en-US" w:eastAsia="zh-CN"/>
              </w:rPr>
              <w:t>3</w:t>
            </w:r>
            <w:r>
              <w:rPr>
                <w:rFonts w:hint="eastAsia"/>
                <w:color w:val="auto"/>
                <w:sz w:val="24"/>
                <w:szCs w:val="32"/>
                <w:lang w:val="en-US" w:eastAsia="zh-CN"/>
              </w:rPr>
              <w:t>的洗车池，洗车池容积可满足使用。</w:t>
            </w:r>
          </w:p>
          <w:p w14:paraId="20580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r>
              <w:rPr>
                <w:rFonts w:hint="eastAsia"/>
                <w:color w:val="auto"/>
                <w:sz w:val="24"/>
                <w:szCs w:val="32"/>
                <w:lang w:val="en-US" w:eastAsia="zh-CN"/>
              </w:rPr>
              <w:t>生活区污水处理工艺流程示意图见图4.2。</w:t>
            </w:r>
          </w:p>
          <w:p w14:paraId="3693A6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p>
          <w:p w14:paraId="6EBD9C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p>
          <w:p w14:paraId="00CE4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p>
          <w:p w14:paraId="58E4A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p>
          <w:p w14:paraId="2950DF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val="en-US" w:eastAsia="zh-CN"/>
              </w:rPr>
            </w:pPr>
          </w:p>
          <w:p w14:paraId="57726E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p>
          <w:p w14:paraId="43BC37DA">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4098925" cy="1764030"/>
                  <wp:effectExtent l="0" t="0" r="15875" b="7620"/>
                  <wp:docPr id="1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2"/>
                          <pic:cNvPicPr>
                            <a:picLocks noChangeAspect="1"/>
                          </pic:cNvPicPr>
                        </pic:nvPicPr>
                        <pic:blipFill>
                          <a:blip r:embed="rId18"/>
                          <a:stretch>
                            <a:fillRect/>
                          </a:stretch>
                        </pic:blipFill>
                        <pic:spPr>
                          <a:xfrm>
                            <a:off x="0" y="0"/>
                            <a:ext cx="4098925" cy="1764030"/>
                          </a:xfrm>
                          <a:prstGeom prst="rect">
                            <a:avLst/>
                          </a:prstGeom>
                          <a:noFill/>
                          <a:ln>
                            <a:noFill/>
                          </a:ln>
                        </pic:spPr>
                      </pic:pic>
                    </a:graphicData>
                  </a:graphic>
                </wp:inline>
              </w:drawing>
            </w:r>
          </w:p>
          <w:p w14:paraId="13E4EE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b/>
                <w:bCs/>
                <w:lang w:val="en-US" w:eastAsia="zh-CN"/>
              </w:rPr>
            </w:pPr>
            <w:r>
              <w:rPr>
                <w:rFonts w:hint="eastAsia"/>
                <w:b/>
                <w:bCs/>
                <w:lang w:val="en-US" w:eastAsia="zh-CN"/>
              </w:rPr>
              <w:t>图4.2  依托生活区污水一体化处理工艺流程示意图</w:t>
            </w:r>
          </w:p>
          <w:p w14:paraId="18C5AE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宋体"/>
                <w:color w:val="auto"/>
                <w:sz w:val="24"/>
                <w:szCs w:val="32"/>
                <w:lang w:val="en-US" w:eastAsia="zh-CN"/>
              </w:rPr>
            </w:pPr>
            <w:r>
              <w:rPr>
                <w:rFonts w:hint="eastAsia"/>
                <w:color w:val="auto"/>
                <w:sz w:val="24"/>
                <w:szCs w:val="32"/>
                <w:lang w:val="en-US" w:eastAsia="zh-CN"/>
              </w:rPr>
              <w:t>4.废水监测计划</w:t>
            </w:r>
          </w:p>
          <w:p w14:paraId="6E30F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rPr>
            </w:pPr>
            <w:r>
              <w:rPr>
                <w:rFonts w:hint="eastAsia" w:cs="Times New Roman"/>
                <w:color w:val="auto"/>
                <w:sz w:val="24"/>
                <w:szCs w:val="24"/>
                <w:highlight w:val="none"/>
                <w:lang w:val="en-US" w:eastAsia="zh-CN"/>
              </w:rPr>
              <w:t xml:space="preserve">根据《排污单位自行监测技术指南 </w:t>
            </w:r>
            <w:r>
              <w:rPr>
                <w:color w:val="auto"/>
                <w:sz w:val="24"/>
                <w:szCs w:val="24"/>
              </w:rPr>
              <w:t>总则》（HJ819-2017）</w:t>
            </w:r>
            <w:r>
              <w:rPr>
                <w:rFonts w:hint="eastAsia" w:cs="Times New Roman"/>
                <w:color w:val="auto"/>
                <w:sz w:val="24"/>
                <w:szCs w:val="24"/>
                <w:highlight w:val="none"/>
                <w:lang w:val="en-US" w:eastAsia="zh-CN"/>
              </w:rPr>
              <w:t>，本项目废水不外排，不设置废水监测计划。</w:t>
            </w:r>
          </w:p>
          <w:p w14:paraId="2D542B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sz w:val="24"/>
                <w:szCs w:val="32"/>
                <w:lang w:val="en-US" w:eastAsia="zh-CN"/>
              </w:rPr>
            </w:pPr>
            <w:r>
              <w:rPr>
                <w:rFonts w:hint="eastAsia"/>
                <w:b/>
                <w:bCs/>
                <w:color w:val="auto"/>
                <w:sz w:val="24"/>
                <w:szCs w:val="32"/>
                <w:lang w:val="en-US" w:eastAsia="zh-CN"/>
              </w:rPr>
              <w:t>4.8运营期噪声</w:t>
            </w:r>
          </w:p>
          <w:p w14:paraId="1C8612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32"/>
                <w:lang w:val="en-US" w:eastAsia="zh-CN"/>
              </w:rPr>
            </w:pPr>
            <w:r>
              <w:rPr>
                <w:rFonts w:hint="eastAsia"/>
                <w:color w:val="auto"/>
                <w:sz w:val="24"/>
                <w:szCs w:val="32"/>
                <w:lang w:val="en-US" w:eastAsia="zh-CN"/>
              </w:rPr>
              <w:t>1.噪声源强</w:t>
            </w:r>
            <w:r>
              <w:rPr>
                <w:rFonts w:hint="eastAsia" w:ascii="Times New Roman" w:hAnsi="Times New Roman" w:cs="Times New Roman"/>
                <w:bCs/>
                <w:color w:val="auto"/>
                <w:spacing w:val="-10"/>
                <w:sz w:val="24"/>
                <w:szCs w:val="24"/>
                <w:lang w:val="en-US" w:eastAsia="zh-CN"/>
              </w:rPr>
              <w:t>及降噪措施</w:t>
            </w:r>
          </w:p>
          <w:p w14:paraId="06728099">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40" w:firstLineChars="200"/>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eastAsia="zh-CN"/>
              </w:rPr>
              <w:t>本项目运营期噪声主要是搅拌系统、提升系统、风机等机械设备运行时产生的噪声，噪声值在</w:t>
            </w:r>
            <w:r>
              <w:rPr>
                <w:rFonts w:hint="eastAsia" w:ascii="Times New Roman" w:hAnsi="Times New Roman" w:cs="Times New Roman"/>
                <w:bCs/>
                <w:color w:val="auto"/>
                <w:spacing w:val="-10"/>
                <w:sz w:val="24"/>
                <w:szCs w:val="24"/>
                <w:lang w:val="en-US" w:eastAsia="zh-CN"/>
              </w:rPr>
              <w:t>75~85dB(A)之间。</w:t>
            </w:r>
            <w:r>
              <w:rPr>
                <w:rFonts w:hint="eastAsia" w:cs="Times New Roman"/>
                <w:bCs/>
                <w:color w:val="auto"/>
                <w:spacing w:val="-10"/>
                <w:sz w:val="24"/>
                <w:szCs w:val="24"/>
                <w:lang w:val="en-US" w:eastAsia="zh-CN"/>
              </w:rPr>
              <w:t>本次预测以占地面积较小的3号综合站场为例进行核算。</w:t>
            </w:r>
          </w:p>
          <w:p w14:paraId="5493EC0E">
            <w:pPr>
              <w:bidi w:val="0"/>
              <w:jc w:val="center"/>
              <w:rPr>
                <w:rFonts w:hint="eastAsia"/>
                <w:b/>
                <w:bCs/>
                <w:color w:val="auto"/>
                <w:lang w:val="en-US" w:eastAsia="zh-CN"/>
              </w:rPr>
            </w:pPr>
            <w:r>
              <w:rPr>
                <w:rFonts w:hint="eastAsia"/>
                <w:b/>
                <w:bCs/>
                <w:color w:val="auto"/>
                <w:lang w:val="en-US" w:eastAsia="zh-CN"/>
              </w:rPr>
              <w:t>表4-5  工业企业噪声源强调查清单（室外声源）</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42"/>
              <w:gridCol w:w="1274"/>
              <w:gridCol w:w="627"/>
              <w:gridCol w:w="704"/>
              <w:gridCol w:w="725"/>
              <w:gridCol w:w="1179"/>
              <w:gridCol w:w="1208"/>
              <w:gridCol w:w="705"/>
            </w:tblGrid>
            <w:tr w14:paraId="47CD62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264" w:type="pct"/>
                  <w:vMerge w:val="restart"/>
                  <w:tcBorders>
                    <w:tl2br w:val="nil"/>
                    <w:tr2bl w:val="nil"/>
                  </w:tcBorders>
                  <w:noWrap w:val="0"/>
                  <w:vAlign w:val="center"/>
                </w:tcPr>
                <w:p w14:paraId="20F91946">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序号</w:t>
                  </w:r>
                </w:p>
              </w:tc>
              <w:tc>
                <w:tcPr>
                  <w:tcW w:w="715" w:type="pct"/>
                  <w:vMerge w:val="restart"/>
                  <w:tcBorders>
                    <w:tl2br w:val="nil"/>
                    <w:tr2bl w:val="nil"/>
                  </w:tcBorders>
                  <w:noWrap w:val="0"/>
                  <w:vAlign w:val="center"/>
                </w:tcPr>
                <w:p w14:paraId="19E06440">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声源名称</w:t>
                  </w:r>
                </w:p>
              </w:tc>
              <w:tc>
                <w:tcPr>
                  <w:tcW w:w="798" w:type="pct"/>
                  <w:vMerge w:val="restart"/>
                  <w:tcBorders>
                    <w:tl2br w:val="nil"/>
                    <w:tr2bl w:val="nil"/>
                  </w:tcBorders>
                  <w:noWrap w:val="0"/>
                  <w:vAlign w:val="center"/>
                </w:tcPr>
                <w:p w14:paraId="28A99F0B">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型号</w:t>
                  </w:r>
                </w:p>
              </w:tc>
              <w:tc>
                <w:tcPr>
                  <w:tcW w:w="1288" w:type="pct"/>
                  <w:gridSpan w:val="3"/>
                  <w:tcBorders>
                    <w:tl2br w:val="nil"/>
                    <w:tr2bl w:val="nil"/>
                  </w:tcBorders>
                  <w:noWrap w:val="0"/>
                  <w:vAlign w:val="center"/>
                </w:tcPr>
                <w:p w14:paraId="66A6F5BE">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空间相对位置/m</w:t>
                  </w:r>
                </w:p>
              </w:tc>
              <w:tc>
                <w:tcPr>
                  <w:tcW w:w="738" w:type="pct"/>
                  <w:tcBorders>
                    <w:tl2br w:val="nil"/>
                    <w:tr2bl w:val="nil"/>
                  </w:tcBorders>
                  <w:noWrap w:val="0"/>
                  <w:vAlign w:val="center"/>
                </w:tcPr>
                <w:p w14:paraId="671ECFFD">
                  <w:pPr>
                    <w:jc w:val="center"/>
                    <w:rPr>
                      <w:rFonts w:hint="default"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lang w:eastAsia="zh-CN"/>
                    </w:rPr>
                    <w:t>声源源强</w:t>
                  </w:r>
                </w:p>
              </w:tc>
              <w:tc>
                <w:tcPr>
                  <w:tcW w:w="756" w:type="pct"/>
                  <w:vMerge w:val="restart"/>
                  <w:tcBorders>
                    <w:tl2br w:val="nil"/>
                    <w:tr2bl w:val="nil"/>
                  </w:tcBorders>
                  <w:noWrap w:val="0"/>
                  <w:vAlign w:val="center"/>
                </w:tcPr>
                <w:p w14:paraId="1CA5C1AD">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声源控制措施</w:t>
                  </w:r>
                </w:p>
              </w:tc>
              <w:tc>
                <w:tcPr>
                  <w:tcW w:w="438" w:type="pct"/>
                  <w:vMerge w:val="restart"/>
                  <w:tcBorders>
                    <w:tl2br w:val="nil"/>
                    <w:tr2bl w:val="nil"/>
                  </w:tcBorders>
                  <w:noWrap w:val="0"/>
                  <w:vAlign w:val="center"/>
                </w:tcPr>
                <w:p w14:paraId="3392E0FC">
                  <w:pPr>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运行时段</w:t>
                  </w:r>
                </w:p>
              </w:tc>
            </w:tr>
            <w:tr w14:paraId="32EEF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64" w:type="pct"/>
                  <w:vMerge w:val="continue"/>
                  <w:tcBorders>
                    <w:tl2br w:val="nil"/>
                    <w:tr2bl w:val="nil"/>
                  </w:tcBorders>
                  <w:noWrap w:val="0"/>
                  <w:vAlign w:val="center"/>
                </w:tcPr>
                <w:p w14:paraId="17E9BB1F">
                  <w:pPr>
                    <w:jc w:val="center"/>
                    <w:rPr>
                      <w:rFonts w:hint="default" w:ascii="Times New Roman" w:hAnsi="Times New Roman" w:eastAsia="宋体" w:cs="Times New Roman"/>
                      <w:color w:val="auto"/>
                      <w:sz w:val="21"/>
                      <w:szCs w:val="21"/>
                    </w:rPr>
                  </w:pPr>
                </w:p>
              </w:tc>
              <w:tc>
                <w:tcPr>
                  <w:tcW w:w="715" w:type="pct"/>
                  <w:vMerge w:val="continue"/>
                  <w:tcBorders>
                    <w:tl2br w:val="nil"/>
                    <w:tr2bl w:val="nil"/>
                  </w:tcBorders>
                  <w:noWrap w:val="0"/>
                  <w:vAlign w:val="center"/>
                </w:tcPr>
                <w:p w14:paraId="656B3FAD">
                  <w:pPr>
                    <w:jc w:val="center"/>
                    <w:rPr>
                      <w:rFonts w:hint="default" w:ascii="Times New Roman" w:hAnsi="Times New Roman" w:eastAsia="宋体" w:cs="Times New Roman"/>
                      <w:color w:val="auto"/>
                      <w:sz w:val="21"/>
                      <w:szCs w:val="21"/>
                    </w:rPr>
                  </w:pPr>
                </w:p>
              </w:tc>
              <w:tc>
                <w:tcPr>
                  <w:tcW w:w="798" w:type="pct"/>
                  <w:vMerge w:val="continue"/>
                  <w:tcBorders>
                    <w:tl2br w:val="nil"/>
                    <w:tr2bl w:val="nil"/>
                  </w:tcBorders>
                  <w:noWrap w:val="0"/>
                  <w:vAlign w:val="center"/>
                </w:tcPr>
                <w:p w14:paraId="71C3D191">
                  <w:pPr>
                    <w:jc w:val="center"/>
                    <w:rPr>
                      <w:rFonts w:hint="default" w:ascii="Times New Roman" w:hAnsi="Times New Roman" w:eastAsia="宋体" w:cs="Times New Roman"/>
                      <w:color w:val="auto"/>
                      <w:sz w:val="21"/>
                      <w:szCs w:val="21"/>
                    </w:rPr>
                  </w:pPr>
                </w:p>
              </w:tc>
              <w:tc>
                <w:tcPr>
                  <w:tcW w:w="393" w:type="pct"/>
                  <w:tcBorders>
                    <w:tl2br w:val="nil"/>
                    <w:tr2bl w:val="nil"/>
                  </w:tcBorders>
                  <w:noWrap w:val="0"/>
                  <w:vAlign w:val="center"/>
                </w:tcPr>
                <w:p w14:paraId="5723D3B1">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X</w:t>
                  </w:r>
                </w:p>
              </w:tc>
              <w:tc>
                <w:tcPr>
                  <w:tcW w:w="441" w:type="pct"/>
                  <w:tcBorders>
                    <w:tl2br w:val="nil"/>
                    <w:tr2bl w:val="nil"/>
                  </w:tcBorders>
                  <w:noWrap w:val="0"/>
                  <w:vAlign w:val="center"/>
                </w:tcPr>
                <w:p w14:paraId="14EE7B5D">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Y</w:t>
                  </w:r>
                </w:p>
              </w:tc>
              <w:tc>
                <w:tcPr>
                  <w:tcW w:w="453" w:type="pct"/>
                  <w:tcBorders>
                    <w:tl2br w:val="nil"/>
                    <w:tr2bl w:val="nil"/>
                  </w:tcBorders>
                  <w:noWrap w:val="0"/>
                  <w:vAlign w:val="center"/>
                </w:tcPr>
                <w:p w14:paraId="6F71CBD7">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Z</w:t>
                  </w:r>
                </w:p>
              </w:tc>
              <w:tc>
                <w:tcPr>
                  <w:tcW w:w="738" w:type="pct"/>
                  <w:tcBorders>
                    <w:tl2br w:val="nil"/>
                    <w:tr2bl w:val="nil"/>
                  </w:tcBorders>
                  <w:noWrap w:val="0"/>
                  <w:vAlign w:val="center"/>
                </w:tcPr>
                <w:p w14:paraId="40DCE454">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声功率级/dB(A)</w:t>
                  </w:r>
                </w:p>
              </w:tc>
              <w:tc>
                <w:tcPr>
                  <w:tcW w:w="756" w:type="pct"/>
                  <w:vMerge w:val="continue"/>
                  <w:tcBorders>
                    <w:tl2br w:val="nil"/>
                    <w:tr2bl w:val="nil"/>
                  </w:tcBorders>
                  <w:noWrap w:val="0"/>
                  <w:vAlign w:val="center"/>
                </w:tcPr>
                <w:p w14:paraId="0B184D48">
                  <w:pPr>
                    <w:jc w:val="center"/>
                    <w:rPr>
                      <w:rFonts w:hint="default" w:ascii="Times New Roman" w:hAnsi="Times New Roman" w:eastAsia="宋体" w:cs="Times New Roman"/>
                      <w:color w:val="auto"/>
                      <w:sz w:val="21"/>
                      <w:szCs w:val="21"/>
                    </w:rPr>
                  </w:pPr>
                </w:p>
              </w:tc>
              <w:tc>
                <w:tcPr>
                  <w:tcW w:w="438" w:type="pct"/>
                  <w:vMerge w:val="continue"/>
                  <w:tcBorders>
                    <w:tl2br w:val="nil"/>
                    <w:tr2bl w:val="nil"/>
                  </w:tcBorders>
                  <w:noWrap w:val="0"/>
                  <w:vAlign w:val="center"/>
                </w:tcPr>
                <w:p w14:paraId="07A89F8F">
                  <w:pPr>
                    <w:jc w:val="center"/>
                    <w:rPr>
                      <w:rFonts w:hint="default" w:ascii="Times New Roman" w:hAnsi="Times New Roman" w:eastAsia="宋体" w:cs="Times New Roman"/>
                      <w:color w:val="auto"/>
                      <w:sz w:val="21"/>
                      <w:szCs w:val="21"/>
                    </w:rPr>
                  </w:pPr>
                </w:p>
              </w:tc>
            </w:tr>
            <w:tr w14:paraId="0413D9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64" w:type="pct"/>
                  <w:tcBorders>
                    <w:tl2br w:val="nil"/>
                    <w:tr2bl w:val="nil"/>
                  </w:tcBorders>
                  <w:noWrap w:val="0"/>
                  <w:vAlign w:val="center"/>
                </w:tcPr>
                <w:p w14:paraId="2F7C4D34">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715" w:type="pct"/>
                  <w:tcBorders>
                    <w:tl2br w:val="nil"/>
                    <w:tr2bl w:val="nil"/>
                  </w:tcBorders>
                  <w:noWrap w:val="0"/>
                  <w:vAlign w:val="center"/>
                </w:tcPr>
                <w:p w14:paraId="2BF976D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搅拌机</w:t>
                  </w:r>
                </w:p>
              </w:tc>
              <w:tc>
                <w:tcPr>
                  <w:tcW w:w="798" w:type="pct"/>
                  <w:tcBorders>
                    <w:tl2br w:val="nil"/>
                    <w:tr2bl w:val="nil"/>
                  </w:tcBorders>
                  <w:noWrap w:val="0"/>
                  <w:vAlign w:val="center"/>
                </w:tcPr>
                <w:p w14:paraId="51B57B71">
                  <w:pPr>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i w:val="0"/>
                      <w:iCs w:val="0"/>
                      <w:color w:val="auto"/>
                      <w:kern w:val="0"/>
                      <w:sz w:val="21"/>
                      <w:szCs w:val="21"/>
                      <w:highlight w:val="none"/>
                      <w:u w:val="none"/>
                      <w:lang w:val="en-US" w:eastAsia="zh-CN" w:bidi="ar"/>
                    </w:rPr>
                    <w:t>HZS120</w:t>
                  </w:r>
                </w:p>
              </w:tc>
              <w:tc>
                <w:tcPr>
                  <w:tcW w:w="393" w:type="pct"/>
                  <w:tcBorders>
                    <w:tl2br w:val="nil"/>
                    <w:tr2bl w:val="nil"/>
                  </w:tcBorders>
                  <w:noWrap w:val="0"/>
                  <w:vAlign w:val="center"/>
                </w:tcPr>
                <w:p w14:paraId="0584CAF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441" w:type="pct"/>
                  <w:tcBorders>
                    <w:tl2br w:val="nil"/>
                    <w:tr2bl w:val="nil"/>
                  </w:tcBorders>
                  <w:noWrap w:val="0"/>
                  <w:vAlign w:val="center"/>
                </w:tcPr>
                <w:p w14:paraId="459999E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w:t>
                  </w:r>
                </w:p>
              </w:tc>
              <w:tc>
                <w:tcPr>
                  <w:tcW w:w="453" w:type="pct"/>
                  <w:tcBorders>
                    <w:tl2br w:val="nil"/>
                    <w:tr2bl w:val="nil"/>
                  </w:tcBorders>
                  <w:noWrap w:val="0"/>
                  <w:vAlign w:val="center"/>
                </w:tcPr>
                <w:p w14:paraId="670C493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738" w:type="pct"/>
                  <w:tcBorders>
                    <w:tl2br w:val="nil"/>
                    <w:tr2bl w:val="nil"/>
                  </w:tcBorders>
                  <w:noWrap w:val="0"/>
                  <w:vAlign w:val="center"/>
                </w:tcPr>
                <w:p w14:paraId="693831C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756" w:type="pct"/>
                  <w:tcBorders>
                    <w:tl2br w:val="nil"/>
                    <w:tr2bl w:val="nil"/>
                  </w:tcBorders>
                  <w:noWrap w:val="0"/>
                  <w:vAlign w:val="center"/>
                </w:tcPr>
                <w:p w14:paraId="72904D46">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基础减振，搅拌楼内</w:t>
                  </w:r>
                </w:p>
              </w:tc>
              <w:tc>
                <w:tcPr>
                  <w:tcW w:w="438" w:type="pct"/>
                  <w:vMerge w:val="restart"/>
                  <w:tcBorders>
                    <w:tl2br w:val="nil"/>
                    <w:tr2bl w:val="nil"/>
                  </w:tcBorders>
                  <w:noWrap w:val="0"/>
                  <w:vAlign w:val="center"/>
                </w:tcPr>
                <w:p w14:paraId="09DE3E96">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24h</w:t>
                  </w:r>
                </w:p>
              </w:tc>
            </w:tr>
            <w:tr w14:paraId="6053E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00097977">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715" w:type="pct"/>
                  <w:tcBorders>
                    <w:tl2br w:val="nil"/>
                    <w:tr2bl w:val="nil"/>
                  </w:tcBorders>
                  <w:noWrap w:val="0"/>
                  <w:vAlign w:val="center"/>
                </w:tcPr>
                <w:p w14:paraId="15D0F28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外加剂泵</w:t>
                  </w:r>
                </w:p>
              </w:tc>
              <w:tc>
                <w:tcPr>
                  <w:tcW w:w="798" w:type="pct"/>
                  <w:tcBorders>
                    <w:tl2br w:val="nil"/>
                    <w:tr2bl w:val="nil"/>
                  </w:tcBorders>
                  <w:noWrap w:val="0"/>
                  <w:vAlign w:val="center"/>
                </w:tcPr>
                <w:p w14:paraId="3277B0E5">
                  <w:pPr>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393" w:type="pct"/>
                  <w:tcBorders>
                    <w:tl2br w:val="nil"/>
                    <w:tr2bl w:val="nil"/>
                  </w:tcBorders>
                  <w:noWrap w:val="0"/>
                  <w:vAlign w:val="center"/>
                </w:tcPr>
                <w:p w14:paraId="1CC9F43D">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441" w:type="pct"/>
                  <w:tcBorders>
                    <w:tl2br w:val="nil"/>
                    <w:tr2bl w:val="nil"/>
                  </w:tcBorders>
                  <w:noWrap w:val="0"/>
                  <w:vAlign w:val="center"/>
                </w:tcPr>
                <w:p w14:paraId="6B1F6299">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453" w:type="pct"/>
                  <w:tcBorders>
                    <w:tl2br w:val="nil"/>
                    <w:tr2bl w:val="nil"/>
                  </w:tcBorders>
                  <w:noWrap w:val="0"/>
                  <w:vAlign w:val="center"/>
                </w:tcPr>
                <w:p w14:paraId="25F81354">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738" w:type="pct"/>
                  <w:tcBorders>
                    <w:tl2br w:val="nil"/>
                    <w:tr2bl w:val="nil"/>
                  </w:tcBorders>
                  <w:noWrap w:val="0"/>
                  <w:vAlign w:val="center"/>
                </w:tcPr>
                <w:p w14:paraId="55695DF3">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756" w:type="pct"/>
                  <w:tcBorders>
                    <w:tl2br w:val="nil"/>
                    <w:tr2bl w:val="nil"/>
                  </w:tcBorders>
                  <w:noWrap w:val="0"/>
                  <w:vAlign w:val="center"/>
                </w:tcPr>
                <w:p w14:paraId="70D35312">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基础减振，搅拌楼内</w:t>
                  </w:r>
                </w:p>
              </w:tc>
              <w:tc>
                <w:tcPr>
                  <w:tcW w:w="438" w:type="pct"/>
                  <w:vMerge w:val="continue"/>
                  <w:tcBorders>
                    <w:tl2br w:val="nil"/>
                    <w:tr2bl w:val="nil"/>
                  </w:tcBorders>
                  <w:noWrap w:val="0"/>
                  <w:vAlign w:val="center"/>
                </w:tcPr>
                <w:p w14:paraId="20670E3C">
                  <w:pPr>
                    <w:jc w:val="center"/>
                    <w:rPr>
                      <w:rFonts w:hint="default" w:ascii="Times New Roman" w:hAnsi="Times New Roman" w:eastAsia="宋体" w:cs="Times New Roman"/>
                      <w:color w:val="auto"/>
                      <w:sz w:val="21"/>
                      <w:szCs w:val="21"/>
                    </w:rPr>
                  </w:pPr>
                </w:p>
              </w:tc>
            </w:tr>
            <w:tr w14:paraId="3C71CC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7FB3A21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715" w:type="pct"/>
                  <w:tcBorders>
                    <w:tl2br w:val="nil"/>
                    <w:tr2bl w:val="nil"/>
                  </w:tcBorders>
                  <w:noWrap w:val="0"/>
                  <w:vAlign w:val="center"/>
                </w:tcPr>
                <w:p w14:paraId="4E59C307">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空压机</w:t>
                  </w:r>
                </w:p>
              </w:tc>
              <w:tc>
                <w:tcPr>
                  <w:tcW w:w="798" w:type="pct"/>
                  <w:tcBorders>
                    <w:tl2br w:val="nil"/>
                    <w:tr2bl w:val="nil"/>
                  </w:tcBorders>
                  <w:noWrap w:val="0"/>
                  <w:vAlign w:val="center"/>
                </w:tcPr>
                <w:p w14:paraId="06C6D85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/min</w:t>
                  </w:r>
                </w:p>
              </w:tc>
              <w:tc>
                <w:tcPr>
                  <w:tcW w:w="393" w:type="pct"/>
                  <w:tcBorders>
                    <w:tl2br w:val="nil"/>
                    <w:tr2bl w:val="nil"/>
                  </w:tcBorders>
                  <w:noWrap w:val="0"/>
                  <w:vAlign w:val="center"/>
                </w:tcPr>
                <w:p w14:paraId="7E430142">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441" w:type="pct"/>
                  <w:tcBorders>
                    <w:tl2br w:val="nil"/>
                    <w:tr2bl w:val="nil"/>
                  </w:tcBorders>
                  <w:noWrap w:val="0"/>
                  <w:vAlign w:val="center"/>
                </w:tcPr>
                <w:p w14:paraId="24F8627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453" w:type="pct"/>
                  <w:tcBorders>
                    <w:tl2br w:val="nil"/>
                    <w:tr2bl w:val="nil"/>
                  </w:tcBorders>
                  <w:noWrap w:val="0"/>
                  <w:vAlign w:val="center"/>
                </w:tcPr>
                <w:p w14:paraId="79D7EA9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738" w:type="pct"/>
                  <w:tcBorders>
                    <w:tl2br w:val="nil"/>
                    <w:tr2bl w:val="nil"/>
                  </w:tcBorders>
                  <w:noWrap w:val="0"/>
                  <w:vAlign w:val="center"/>
                </w:tcPr>
                <w:p w14:paraId="681CBBA1">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756" w:type="pct"/>
                  <w:tcBorders>
                    <w:tl2br w:val="nil"/>
                    <w:tr2bl w:val="nil"/>
                  </w:tcBorders>
                  <w:noWrap w:val="0"/>
                  <w:vAlign w:val="center"/>
                </w:tcPr>
                <w:p w14:paraId="0528F4F3">
                  <w:pPr>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基础减振，设备配套集装箱内</w:t>
                  </w:r>
                </w:p>
              </w:tc>
              <w:tc>
                <w:tcPr>
                  <w:tcW w:w="438" w:type="pct"/>
                  <w:vMerge w:val="continue"/>
                  <w:tcBorders>
                    <w:tl2br w:val="nil"/>
                    <w:tr2bl w:val="nil"/>
                  </w:tcBorders>
                  <w:noWrap w:val="0"/>
                  <w:vAlign w:val="center"/>
                </w:tcPr>
                <w:p w14:paraId="5916382E">
                  <w:pPr>
                    <w:jc w:val="center"/>
                    <w:rPr>
                      <w:rFonts w:hint="default" w:ascii="Times New Roman" w:hAnsi="Times New Roman" w:eastAsia="宋体" w:cs="Times New Roman"/>
                      <w:color w:val="auto"/>
                      <w:sz w:val="21"/>
                      <w:szCs w:val="21"/>
                    </w:rPr>
                  </w:pPr>
                </w:p>
              </w:tc>
            </w:tr>
            <w:tr w14:paraId="78117D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1A78F5B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715" w:type="pct"/>
                  <w:tcBorders>
                    <w:tl2br w:val="nil"/>
                    <w:tr2bl w:val="nil"/>
                  </w:tcBorders>
                  <w:noWrap w:val="0"/>
                  <w:vAlign w:val="center"/>
                </w:tcPr>
                <w:p w14:paraId="3AD6D54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w:t>
                  </w:r>
                </w:p>
              </w:tc>
              <w:tc>
                <w:tcPr>
                  <w:tcW w:w="798" w:type="pct"/>
                  <w:tcBorders>
                    <w:tl2br w:val="nil"/>
                    <w:tr2bl w:val="nil"/>
                  </w:tcBorders>
                  <w:noWrap w:val="0"/>
                  <w:vAlign w:val="center"/>
                </w:tcPr>
                <w:p w14:paraId="0761E13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93" w:type="pct"/>
                  <w:tcBorders>
                    <w:tl2br w:val="nil"/>
                    <w:tr2bl w:val="nil"/>
                  </w:tcBorders>
                  <w:noWrap w:val="0"/>
                  <w:vAlign w:val="center"/>
                </w:tcPr>
                <w:p w14:paraId="63FC7BC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441" w:type="pct"/>
                  <w:tcBorders>
                    <w:tl2br w:val="nil"/>
                    <w:tr2bl w:val="nil"/>
                  </w:tcBorders>
                  <w:noWrap w:val="0"/>
                  <w:vAlign w:val="center"/>
                </w:tcPr>
                <w:p w14:paraId="50A56C71">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453" w:type="pct"/>
                  <w:tcBorders>
                    <w:tl2br w:val="nil"/>
                    <w:tr2bl w:val="nil"/>
                  </w:tcBorders>
                  <w:noWrap w:val="0"/>
                  <w:vAlign w:val="center"/>
                </w:tcPr>
                <w:p w14:paraId="54279777">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738" w:type="pct"/>
                  <w:tcBorders>
                    <w:tl2br w:val="nil"/>
                    <w:tr2bl w:val="nil"/>
                  </w:tcBorders>
                  <w:noWrap w:val="0"/>
                  <w:vAlign w:val="center"/>
                </w:tcPr>
                <w:p w14:paraId="0D54A286">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756" w:type="pct"/>
                  <w:tcBorders>
                    <w:tl2br w:val="nil"/>
                    <w:tr2bl w:val="nil"/>
                  </w:tcBorders>
                  <w:noWrap w:val="0"/>
                  <w:vAlign w:val="center"/>
                </w:tcPr>
                <w:p w14:paraId="0F4B7ABE">
                  <w:pPr>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基础减振，设备配套集装箱内</w:t>
                  </w:r>
                </w:p>
              </w:tc>
              <w:tc>
                <w:tcPr>
                  <w:tcW w:w="438" w:type="pct"/>
                  <w:vMerge w:val="continue"/>
                  <w:tcBorders>
                    <w:tl2br w:val="nil"/>
                    <w:tr2bl w:val="nil"/>
                  </w:tcBorders>
                  <w:noWrap w:val="0"/>
                  <w:vAlign w:val="center"/>
                </w:tcPr>
                <w:p w14:paraId="23625AF1">
                  <w:pPr>
                    <w:jc w:val="center"/>
                    <w:rPr>
                      <w:rFonts w:hint="default" w:ascii="Times New Roman" w:hAnsi="Times New Roman" w:eastAsia="宋体" w:cs="Times New Roman"/>
                      <w:color w:val="auto"/>
                      <w:sz w:val="21"/>
                      <w:szCs w:val="21"/>
                    </w:rPr>
                  </w:pPr>
                </w:p>
              </w:tc>
            </w:tr>
            <w:tr w14:paraId="485E1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5BE9F7F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715" w:type="pct"/>
                  <w:tcBorders>
                    <w:tl2br w:val="nil"/>
                    <w:tr2bl w:val="nil"/>
                  </w:tcBorders>
                  <w:noWrap w:val="0"/>
                  <w:vAlign w:val="center"/>
                </w:tcPr>
                <w:p w14:paraId="71229FB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管道泵</w:t>
                  </w:r>
                </w:p>
              </w:tc>
              <w:tc>
                <w:tcPr>
                  <w:tcW w:w="798" w:type="pct"/>
                  <w:tcBorders>
                    <w:tl2br w:val="nil"/>
                    <w:tr2bl w:val="nil"/>
                  </w:tcBorders>
                  <w:noWrap w:val="0"/>
                  <w:vAlign w:val="center"/>
                </w:tcPr>
                <w:p w14:paraId="36542E3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93" w:type="pct"/>
                  <w:tcBorders>
                    <w:tl2br w:val="nil"/>
                    <w:tr2bl w:val="nil"/>
                  </w:tcBorders>
                  <w:noWrap w:val="0"/>
                  <w:vAlign w:val="center"/>
                </w:tcPr>
                <w:p w14:paraId="7759839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441" w:type="pct"/>
                  <w:tcBorders>
                    <w:tl2br w:val="nil"/>
                    <w:tr2bl w:val="nil"/>
                  </w:tcBorders>
                  <w:noWrap w:val="0"/>
                  <w:vAlign w:val="center"/>
                </w:tcPr>
                <w:p w14:paraId="42B51ED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453" w:type="pct"/>
                  <w:tcBorders>
                    <w:tl2br w:val="nil"/>
                    <w:tr2bl w:val="nil"/>
                  </w:tcBorders>
                  <w:noWrap w:val="0"/>
                  <w:vAlign w:val="center"/>
                </w:tcPr>
                <w:p w14:paraId="04FD5A6C">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738" w:type="pct"/>
                  <w:tcBorders>
                    <w:tl2br w:val="nil"/>
                    <w:tr2bl w:val="nil"/>
                  </w:tcBorders>
                  <w:noWrap w:val="0"/>
                  <w:vAlign w:val="center"/>
                </w:tcPr>
                <w:p w14:paraId="19B10DC4">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756" w:type="pct"/>
                  <w:tcBorders>
                    <w:tl2br w:val="nil"/>
                    <w:tr2bl w:val="nil"/>
                  </w:tcBorders>
                  <w:noWrap w:val="0"/>
                  <w:vAlign w:val="center"/>
                </w:tcPr>
                <w:p w14:paraId="004151C6">
                  <w:pPr>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基础减振，操作间内</w:t>
                  </w:r>
                </w:p>
              </w:tc>
              <w:tc>
                <w:tcPr>
                  <w:tcW w:w="438" w:type="pct"/>
                  <w:vMerge w:val="continue"/>
                  <w:tcBorders>
                    <w:tl2br w:val="nil"/>
                    <w:tr2bl w:val="nil"/>
                  </w:tcBorders>
                  <w:noWrap w:val="0"/>
                  <w:vAlign w:val="center"/>
                </w:tcPr>
                <w:p w14:paraId="098C9622">
                  <w:pPr>
                    <w:jc w:val="center"/>
                    <w:rPr>
                      <w:rFonts w:hint="default" w:ascii="Times New Roman" w:hAnsi="Times New Roman" w:eastAsia="宋体" w:cs="Times New Roman"/>
                      <w:color w:val="auto"/>
                      <w:sz w:val="21"/>
                      <w:szCs w:val="21"/>
                    </w:rPr>
                  </w:pPr>
                </w:p>
              </w:tc>
            </w:tr>
            <w:tr w14:paraId="555C8D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19A6926A">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715" w:type="pct"/>
                  <w:tcBorders>
                    <w:tl2br w:val="nil"/>
                    <w:tr2bl w:val="nil"/>
                  </w:tcBorders>
                  <w:noWrap w:val="0"/>
                  <w:vAlign w:val="center"/>
                </w:tcPr>
                <w:p w14:paraId="434CAC62">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粉煤灰除尘器</w:t>
                  </w:r>
                </w:p>
              </w:tc>
              <w:tc>
                <w:tcPr>
                  <w:tcW w:w="798" w:type="pct"/>
                  <w:tcBorders>
                    <w:tl2br w:val="nil"/>
                    <w:tr2bl w:val="nil"/>
                  </w:tcBorders>
                  <w:noWrap w:val="0"/>
                  <w:vAlign w:val="center"/>
                </w:tcPr>
                <w:p w14:paraId="7322DA8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93" w:type="pct"/>
                  <w:tcBorders>
                    <w:tl2br w:val="nil"/>
                    <w:tr2bl w:val="nil"/>
                  </w:tcBorders>
                  <w:noWrap w:val="0"/>
                  <w:vAlign w:val="center"/>
                </w:tcPr>
                <w:p w14:paraId="258A949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441" w:type="pct"/>
                  <w:tcBorders>
                    <w:tl2br w:val="nil"/>
                    <w:tr2bl w:val="nil"/>
                  </w:tcBorders>
                  <w:noWrap w:val="0"/>
                  <w:vAlign w:val="center"/>
                </w:tcPr>
                <w:p w14:paraId="3820EB9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453" w:type="pct"/>
                  <w:tcBorders>
                    <w:tl2br w:val="nil"/>
                    <w:tr2bl w:val="nil"/>
                  </w:tcBorders>
                  <w:noWrap w:val="0"/>
                  <w:vAlign w:val="center"/>
                </w:tcPr>
                <w:p w14:paraId="012ECF92">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738" w:type="pct"/>
                  <w:tcBorders>
                    <w:tl2br w:val="nil"/>
                    <w:tr2bl w:val="nil"/>
                  </w:tcBorders>
                  <w:noWrap w:val="0"/>
                  <w:vAlign w:val="center"/>
                </w:tcPr>
                <w:p w14:paraId="30AFB1E6">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756" w:type="pct"/>
                  <w:tcBorders>
                    <w:tl2br w:val="nil"/>
                    <w:tr2bl w:val="nil"/>
                  </w:tcBorders>
                  <w:noWrap w:val="0"/>
                  <w:vAlign w:val="center"/>
                </w:tcPr>
                <w:p w14:paraId="713C68AA">
                  <w:pPr>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基础减振，筒仓顶部</w:t>
                  </w:r>
                </w:p>
              </w:tc>
              <w:tc>
                <w:tcPr>
                  <w:tcW w:w="438" w:type="pct"/>
                  <w:vMerge w:val="continue"/>
                  <w:tcBorders>
                    <w:tl2br w:val="nil"/>
                    <w:tr2bl w:val="nil"/>
                  </w:tcBorders>
                  <w:noWrap w:val="0"/>
                  <w:vAlign w:val="center"/>
                </w:tcPr>
                <w:p w14:paraId="4FC26C2E">
                  <w:pPr>
                    <w:jc w:val="center"/>
                    <w:rPr>
                      <w:rFonts w:hint="default" w:ascii="Times New Roman" w:hAnsi="Times New Roman" w:eastAsia="宋体" w:cs="Times New Roman"/>
                      <w:color w:val="auto"/>
                      <w:sz w:val="21"/>
                      <w:szCs w:val="21"/>
                    </w:rPr>
                  </w:pPr>
                </w:p>
              </w:tc>
            </w:tr>
            <w:tr w14:paraId="26EB8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1872F27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715" w:type="pct"/>
                  <w:tcBorders>
                    <w:tl2br w:val="nil"/>
                    <w:tr2bl w:val="nil"/>
                  </w:tcBorders>
                  <w:noWrap w:val="0"/>
                  <w:vAlign w:val="center"/>
                </w:tcPr>
                <w:p w14:paraId="7B979D1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水泥除尘器</w:t>
                  </w:r>
                </w:p>
              </w:tc>
              <w:tc>
                <w:tcPr>
                  <w:tcW w:w="798" w:type="pct"/>
                  <w:tcBorders>
                    <w:tl2br w:val="nil"/>
                    <w:tr2bl w:val="nil"/>
                  </w:tcBorders>
                  <w:noWrap w:val="0"/>
                  <w:vAlign w:val="center"/>
                </w:tcPr>
                <w:p w14:paraId="58F6AB2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93" w:type="pct"/>
                  <w:tcBorders>
                    <w:tl2br w:val="nil"/>
                    <w:tr2bl w:val="nil"/>
                  </w:tcBorders>
                  <w:noWrap w:val="0"/>
                  <w:vAlign w:val="center"/>
                </w:tcPr>
                <w:p w14:paraId="17ED11B8">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441" w:type="pct"/>
                  <w:tcBorders>
                    <w:tl2br w:val="nil"/>
                    <w:tr2bl w:val="nil"/>
                  </w:tcBorders>
                  <w:noWrap w:val="0"/>
                  <w:vAlign w:val="center"/>
                </w:tcPr>
                <w:p w14:paraId="46D38CD3">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453" w:type="pct"/>
                  <w:tcBorders>
                    <w:tl2br w:val="nil"/>
                    <w:tr2bl w:val="nil"/>
                  </w:tcBorders>
                  <w:noWrap w:val="0"/>
                  <w:vAlign w:val="center"/>
                </w:tcPr>
                <w:p w14:paraId="6CA2CEF3">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738" w:type="pct"/>
                  <w:tcBorders>
                    <w:tl2br w:val="nil"/>
                    <w:tr2bl w:val="nil"/>
                  </w:tcBorders>
                  <w:noWrap w:val="0"/>
                  <w:vAlign w:val="center"/>
                </w:tcPr>
                <w:p w14:paraId="5BDE08C4">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756" w:type="pct"/>
                  <w:tcBorders>
                    <w:tl2br w:val="nil"/>
                    <w:tr2bl w:val="nil"/>
                  </w:tcBorders>
                  <w:noWrap w:val="0"/>
                  <w:vAlign w:val="center"/>
                </w:tcPr>
                <w:p w14:paraId="2D405505">
                  <w:pPr>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基础减振，筒仓顶部</w:t>
                  </w:r>
                </w:p>
              </w:tc>
              <w:tc>
                <w:tcPr>
                  <w:tcW w:w="438" w:type="pct"/>
                  <w:vMerge w:val="continue"/>
                  <w:tcBorders>
                    <w:bottom w:val="single" w:color="000000" w:sz="4" w:space="0"/>
                    <w:tl2br w:val="nil"/>
                    <w:tr2bl w:val="nil"/>
                  </w:tcBorders>
                  <w:noWrap w:val="0"/>
                  <w:vAlign w:val="center"/>
                </w:tcPr>
                <w:p w14:paraId="44287F90">
                  <w:pPr>
                    <w:jc w:val="center"/>
                    <w:rPr>
                      <w:rFonts w:hint="default" w:ascii="Times New Roman" w:hAnsi="Times New Roman" w:eastAsia="宋体" w:cs="Times New Roman"/>
                      <w:color w:val="auto"/>
                      <w:sz w:val="21"/>
                      <w:szCs w:val="21"/>
                    </w:rPr>
                  </w:pPr>
                </w:p>
              </w:tc>
            </w:tr>
            <w:tr w14:paraId="4A6C96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tcBorders>
                    <w:tl2br w:val="nil"/>
                    <w:tr2bl w:val="nil"/>
                  </w:tcBorders>
                  <w:noWrap w:val="0"/>
                  <w:vAlign w:val="center"/>
                </w:tcPr>
                <w:p w14:paraId="4619B697">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715" w:type="pct"/>
                  <w:tcBorders>
                    <w:tl2br w:val="nil"/>
                    <w:tr2bl w:val="nil"/>
                  </w:tcBorders>
                  <w:noWrap w:val="0"/>
                  <w:vAlign w:val="center"/>
                </w:tcPr>
                <w:p w14:paraId="2FEC99C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砂石分离机</w:t>
                  </w:r>
                </w:p>
              </w:tc>
              <w:tc>
                <w:tcPr>
                  <w:tcW w:w="798" w:type="pct"/>
                  <w:tcBorders>
                    <w:tl2br w:val="nil"/>
                    <w:tr2bl w:val="nil"/>
                  </w:tcBorders>
                  <w:noWrap w:val="0"/>
                  <w:vAlign w:val="center"/>
                </w:tcPr>
                <w:p w14:paraId="5400C552">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40-50m³/h</w:t>
                  </w:r>
                </w:p>
              </w:tc>
              <w:tc>
                <w:tcPr>
                  <w:tcW w:w="393" w:type="pct"/>
                  <w:tcBorders>
                    <w:tl2br w:val="nil"/>
                    <w:tr2bl w:val="nil"/>
                  </w:tcBorders>
                  <w:noWrap w:val="0"/>
                  <w:vAlign w:val="center"/>
                </w:tcPr>
                <w:p w14:paraId="261F66A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441" w:type="pct"/>
                  <w:tcBorders>
                    <w:tl2br w:val="nil"/>
                    <w:tr2bl w:val="nil"/>
                  </w:tcBorders>
                  <w:noWrap w:val="0"/>
                  <w:vAlign w:val="center"/>
                </w:tcPr>
                <w:p w14:paraId="19B632B8">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453" w:type="pct"/>
                  <w:tcBorders>
                    <w:tl2br w:val="nil"/>
                    <w:tr2bl w:val="nil"/>
                  </w:tcBorders>
                  <w:noWrap w:val="0"/>
                  <w:vAlign w:val="center"/>
                </w:tcPr>
                <w:p w14:paraId="193D4CF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738" w:type="pct"/>
                  <w:tcBorders>
                    <w:tl2br w:val="nil"/>
                    <w:tr2bl w:val="nil"/>
                  </w:tcBorders>
                  <w:noWrap w:val="0"/>
                  <w:vAlign w:val="center"/>
                </w:tcPr>
                <w:p w14:paraId="50D165D6">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75</w:t>
                  </w:r>
                </w:p>
              </w:tc>
              <w:tc>
                <w:tcPr>
                  <w:tcW w:w="756" w:type="pct"/>
                  <w:tcBorders>
                    <w:tl2br w:val="nil"/>
                    <w:tr2bl w:val="nil"/>
                  </w:tcBorders>
                  <w:noWrap w:val="0"/>
                  <w:vAlign w:val="center"/>
                </w:tcPr>
                <w:p w14:paraId="2A7D9DA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基础减振，设备配套集装箱内</w:t>
                  </w:r>
                </w:p>
              </w:tc>
              <w:tc>
                <w:tcPr>
                  <w:tcW w:w="438" w:type="pct"/>
                  <w:tcBorders>
                    <w:top w:val="single" w:color="000000" w:sz="4" w:space="0"/>
                    <w:bottom w:val="single" w:color="000000" w:sz="4" w:space="0"/>
                    <w:tl2br w:val="nil"/>
                    <w:tr2bl w:val="nil"/>
                  </w:tcBorders>
                  <w:noWrap w:val="0"/>
                  <w:vAlign w:val="center"/>
                </w:tcPr>
                <w:p w14:paraId="4104390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间歇</w:t>
                  </w:r>
                </w:p>
              </w:tc>
            </w:tr>
            <w:tr w14:paraId="4BFDB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9"/>
                  <w:tcBorders>
                    <w:tl2br w:val="nil"/>
                    <w:tr2bl w:val="nil"/>
                  </w:tcBorders>
                  <w:noWrap w:val="0"/>
                  <w:vAlign w:val="center"/>
                </w:tcPr>
                <w:p w14:paraId="4544174F">
                  <w:pPr>
                    <w:jc w:val="both"/>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0"/>
                      <w:szCs w:val="20"/>
                      <w:lang w:val="en-US" w:eastAsia="zh-CN"/>
                    </w:rPr>
                    <w:t>备注：以厂区西南角为（0,0）原点，厂区东北边界为X轴，西北边界为Y轴。</w:t>
                  </w:r>
                </w:p>
              </w:tc>
            </w:tr>
          </w:tbl>
          <w:p w14:paraId="754BD05E">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40" w:firstLineChars="200"/>
              <w:textAlignment w:val="auto"/>
              <w:rPr>
                <w:rFonts w:hint="eastAsia" w:ascii="Times New Roman" w:hAnsi="Times New Roman" w:eastAsia="宋体"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val="en-US" w:eastAsia="zh-CN"/>
              </w:rPr>
              <w:t>2.预测模式</w:t>
            </w:r>
          </w:p>
          <w:p w14:paraId="568BF290">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40" w:firstLineChars="200"/>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eastAsia="zh-CN"/>
              </w:rPr>
              <w:t>噪声预测模式采用《环境影响评价技术导则</w:t>
            </w:r>
            <w:r>
              <w:rPr>
                <w:rFonts w:hint="eastAsia" w:ascii="Times New Roman" w:hAnsi="Times New Roman" w:cs="Times New Roman"/>
                <w:bCs/>
                <w:color w:val="auto"/>
                <w:spacing w:val="-10"/>
                <w:sz w:val="24"/>
                <w:szCs w:val="24"/>
                <w:lang w:val="en-US" w:eastAsia="zh-CN"/>
              </w:rPr>
              <w:t xml:space="preserve"> 声环境</w:t>
            </w:r>
            <w:r>
              <w:rPr>
                <w:rFonts w:hint="eastAsia" w:ascii="Times New Roman" w:hAnsi="Times New Roman" w:cs="Times New Roman"/>
                <w:bCs/>
                <w:color w:val="auto"/>
                <w:spacing w:val="-10"/>
                <w:sz w:val="24"/>
                <w:szCs w:val="24"/>
                <w:lang w:eastAsia="zh-CN"/>
              </w:rPr>
              <w:t>》（</w:t>
            </w:r>
            <w:r>
              <w:rPr>
                <w:rFonts w:hint="eastAsia" w:ascii="Times New Roman" w:hAnsi="Times New Roman" w:cs="Times New Roman"/>
                <w:bCs/>
                <w:color w:val="auto"/>
                <w:spacing w:val="-10"/>
                <w:sz w:val="24"/>
                <w:szCs w:val="24"/>
                <w:lang w:val="en-US" w:eastAsia="zh-CN"/>
              </w:rPr>
              <w:t>HJ2.4-2021</w:t>
            </w:r>
            <w:r>
              <w:rPr>
                <w:rFonts w:hint="eastAsia" w:ascii="Times New Roman" w:hAnsi="Times New Roman" w:cs="Times New Roman"/>
                <w:bCs/>
                <w:color w:val="auto"/>
                <w:spacing w:val="-10"/>
                <w:sz w:val="24"/>
                <w:szCs w:val="24"/>
                <w:lang w:eastAsia="zh-CN"/>
              </w:rPr>
              <w:t>）附录</w:t>
            </w:r>
            <w:r>
              <w:rPr>
                <w:rFonts w:hint="eastAsia" w:ascii="Times New Roman" w:hAnsi="Times New Roman" w:cs="Times New Roman"/>
                <w:bCs/>
                <w:color w:val="auto"/>
                <w:spacing w:val="-10"/>
                <w:sz w:val="24"/>
                <w:szCs w:val="24"/>
                <w:lang w:val="en-US" w:eastAsia="zh-CN"/>
              </w:rPr>
              <w:t>A中工业噪声预测计算模式进行预测。</w:t>
            </w:r>
          </w:p>
          <w:p w14:paraId="7E12D5F4">
            <w:pPr>
              <w:keepNext w:val="0"/>
              <w:keepLines w:val="0"/>
              <w:suppressLineNumbers w:val="0"/>
              <w:bidi w:val="0"/>
              <w:spacing w:before="0" w:beforeAutospacing="0" w:after="0" w:afterAutospacing="0" w:line="360" w:lineRule="auto"/>
              <w:ind w:right="0" w:firstLine="480" w:firstLineChars="200"/>
              <w:rPr>
                <w:rFonts w:hint="eastAsia"/>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eastAsia" w:ascii="宋体" w:hAnsi="宋体" w:eastAsia="宋体" w:cs="宋体"/>
                <w:color w:val="auto"/>
                <w:sz w:val="24"/>
                <w:szCs w:val="24"/>
                <w:lang w:val="en-US" w:eastAsia="zh-CN"/>
              </w:rPr>
              <w:t>室外声源在预测点产生的声级计算模型</w:t>
            </w:r>
          </w:p>
          <w:p w14:paraId="1AC7E553">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360" w:lineRule="auto"/>
              <w:ind w:left="0" w:right="0" w:firstLine="0" w:firstLineChars="0"/>
              <w:jc w:val="center"/>
              <w:textAlignment w:val="auto"/>
              <w:rPr>
                <w:rFonts w:hint="eastAsia"/>
                <w:color w:val="auto"/>
                <w:sz w:val="24"/>
                <w:szCs w:val="24"/>
                <w:lang w:val="en-US" w:eastAsia="zh-CN"/>
              </w:rPr>
            </w:pPr>
            <w:r>
              <w:rPr>
                <w:rFonts w:hint="eastAsia"/>
                <w:color w:val="auto"/>
                <w:position w:val="-14"/>
                <w:sz w:val="24"/>
                <w:szCs w:val="24"/>
                <w:lang w:val="en-US" w:eastAsia="zh-CN"/>
              </w:rPr>
              <w:object>
                <v:shape id="_x0000_i1030" o:spt="75" type="#_x0000_t75" style="height:19pt;width:240.95pt;" o:ole="t" filled="f" o:preferrelative="t" stroked="f" coordsize="21600,21600">
                  <v:path/>
                  <v:fill on="f" focussize="0,0"/>
                  <v:stroke on="f"/>
                  <v:imagedata r:id="rId20" o:title=""/>
                  <o:lock v:ext="edit" aspectratio="t"/>
                  <w10:wrap type="none"/>
                  <w10:anchorlock/>
                </v:shape>
                <o:OLEObject Type="Embed" ProgID="Equation.KSEE3" ShapeID="_x0000_i1030" DrawAspect="Content" ObjectID="_1468075730" r:id="rId19">
                  <o:LockedField>false</o:LockedField>
                </o:OLEObject>
              </w:object>
            </w:r>
          </w:p>
          <w:p w14:paraId="5291DFF9">
            <w:pPr>
              <w:keepNext w:val="0"/>
              <w:keepLines w:val="0"/>
              <w:suppressLineNumbers w:val="0"/>
              <w:bidi w:val="0"/>
              <w:spacing w:before="0" w:beforeAutospacing="0" w:after="0" w:afterAutospacing="0" w:line="360" w:lineRule="auto"/>
              <w:ind w:left="0" w:right="0"/>
              <w:rPr>
                <w:rFonts w:hint="eastAsia"/>
                <w:color w:val="auto"/>
                <w:sz w:val="24"/>
                <w:szCs w:val="24"/>
                <w:lang w:val="en-US" w:eastAsia="zh-CN"/>
              </w:rPr>
            </w:pPr>
            <w:r>
              <w:rPr>
                <w:rFonts w:hint="eastAsia"/>
                <w:color w:val="auto"/>
                <w:sz w:val="24"/>
                <w:szCs w:val="24"/>
                <w:lang w:val="en-US" w:eastAsia="zh-CN"/>
              </w:rPr>
              <w:t>式中：</w:t>
            </w:r>
            <w:r>
              <w:rPr>
                <w:rFonts w:hint="eastAsia"/>
                <w:i/>
                <w:iCs/>
                <w:color w:val="auto"/>
                <w:sz w:val="24"/>
                <w:szCs w:val="24"/>
                <w:lang w:val="en-US" w:eastAsia="zh-CN"/>
              </w:rPr>
              <w:t>L</w:t>
            </w:r>
            <w:r>
              <w:rPr>
                <w:rFonts w:hint="eastAsia"/>
                <w:i/>
                <w:iCs/>
                <w:color w:val="auto"/>
                <w:sz w:val="24"/>
                <w:szCs w:val="24"/>
                <w:vertAlign w:val="subscript"/>
                <w:lang w:val="en-US" w:eastAsia="zh-CN"/>
              </w:rPr>
              <w:t>p(r)</w:t>
            </w:r>
            <w:r>
              <w:rPr>
                <w:rFonts w:hint="eastAsia"/>
                <w:color w:val="auto"/>
                <w:sz w:val="24"/>
                <w:szCs w:val="24"/>
                <w:lang w:val="en-US" w:eastAsia="zh-CN"/>
              </w:rPr>
              <w:t>—预测点处声压级，dB；</w:t>
            </w:r>
          </w:p>
          <w:p w14:paraId="716F155D">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Lp</w:t>
            </w:r>
            <w:r>
              <w:rPr>
                <w:rFonts w:hint="eastAsia"/>
                <w:i/>
                <w:iCs/>
                <w:color w:val="auto"/>
                <w:sz w:val="24"/>
                <w:szCs w:val="24"/>
                <w:vertAlign w:val="subscript"/>
                <w:lang w:val="en-US" w:eastAsia="zh-CN"/>
              </w:rPr>
              <w:t>(r0)</w:t>
            </w:r>
            <w:r>
              <w:rPr>
                <w:rFonts w:hint="eastAsia"/>
                <w:color w:val="auto"/>
                <w:sz w:val="24"/>
                <w:szCs w:val="24"/>
                <w:lang w:val="en-US" w:eastAsia="zh-CN"/>
              </w:rPr>
              <w:t>—参考位置</w:t>
            </w:r>
            <w:r>
              <w:rPr>
                <w:rFonts w:hint="eastAsia"/>
                <w:i/>
                <w:iCs/>
                <w:color w:val="auto"/>
                <w:sz w:val="24"/>
                <w:szCs w:val="24"/>
                <w:lang w:val="en-US" w:eastAsia="zh-CN"/>
              </w:rPr>
              <w:t>r</w:t>
            </w:r>
            <w:r>
              <w:rPr>
                <w:rFonts w:hint="eastAsia"/>
                <w:i/>
                <w:iCs/>
                <w:color w:val="auto"/>
                <w:sz w:val="24"/>
                <w:szCs w:val="24"/>
                <w:vertAlign w:val="subscript"/>
                <w:lang w:val="en-US" w:eastAsia="zh-CN"/>
              </w:rPr>
              <w:t>0</w:t>
            </w:r>
            <w:r>
              <w:rPr>
                <w:rFonts w:hint="eastAsia"/>
                <w:color w:val="auto"/>
                <w:sz w:val="24"/>
                <w:szCs w:val="24"/>
                <w:lang w:val="en-US" w:eastAsia="zh-CN"/>
              </w:rPr>
              <w:t>处的声压级，dB；</w:t>
            </w:r>
          </w:p>
          <w:p w14:paraId="6569CB04">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D</w:t>
            </w:r>
            <w:r>
              <w:rPr>
                <w:rFonts w:hint="eastAsia"/>
                <w:i/>
                <w:iCs/>
                <w:color w:val="auto"/>
                <w:sz w:val="24"/>
                <w:szCs w:val="24"/>
                <w:vertAlign w:val="subscript"/>
                <w:lang w:val="en-US" w:eastAsia="zh-CN"/>
              </w:rPr>
              <w:t>C</w:t>
            </w:r>
            <w:r>
              <w:rPr>
                <w:rFonts w:hint="eastAsia"/>
                <w:color w:val="auto"/>
                <w:sz w:val="24"/>
                <w:szCs w:val="24"/>
                <w:lang w:val="en-US" w:eastAsia="zh-CN"/>
              </w:rPr>
              <w:t>—指向性校正，它描述点声源的等效连续声压级与产生声功率级Lw的全向点声源在规定方向的声级的偏差程度，dB；</w:t>
            </w:r>
          </w:p>
          <w:p w14:paraId="2FDD29D5">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A</w:t>
            </w:r>
            <w:r>
              <w:rPr>
                <w:rFonts w:hint="eastAsia"/>
                <w:i/>
                <w:iCs/>
                <w:color w:val="auto"/>
                <w:sz w:val="24"/>
                <w:szCs w:val="24"/>
                <w:vertAlign w:val="subscript"/>
                <w:lang w:val="en-US" w:eastAsia="zh-CN"/>
              </w:rPr>
              <w:t>div</w:t>
            </w:r>
            <w:r>
              <w:rPr>
                <w:rFonts w:hint="eastAsia"/>
                <w:color w:val="auto"/>
                <w:sz w:val="24"/>
                <w:szCs w:val="24"/>
                <w:lang w:val="en-US" w:eastAsia="zh-CN"/>
              </w:rPr>
              <w:t>—几何发散引起的衰减，dB；</w:t>
            </w:r>
          </w:p>
          <w:p w14:paraId="26668F89">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A</w:t>
            </w:r>
            <w:r>
              <w:rPr>
                <w:rFonts w:hint="eastAsia"/>
                <w:i/>
                <w:iCs/>
                <w:color w:val="auto"/>
                <w:sz w:val="24"/>
                <w:szCs w:val="24"/>
                <w:vertAlign w:val="subscript"/>
                <w:lang w:val="en-US" w:eastAsia="zh-CN"/>
              </w:rPr>
              <w:t>atm</w:t>
            </w:r>
            <w:r>
              <w:rPr>
                <w:rFonts w:hint="eastAsia"/>
                <w:color w:val="auto"/>
                <w:sz w:val="24"/>
                <w:szCs w:val="24"/>
                <w:lang w:val="en-US" w:eastAsia="zh-CN"/>
              </w:rPr>
              <w:t>—大气吸收引起的衰减，dB；</w:t>
            </w:r>
          </w:p>
          <w:p w14:paraId="5D51D59E">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A</w:t>
            </w:r>
            <w:r>
              <w:rPr>
                <w:rFonts w:hint="eastAsia"/>
                <w:i/>
                <w:iCs/>
                <w:color w:val="auto"/>
                <w:sz w:val="24"/>
                <w:szCs w:val="24"/>
                <w:vertAlign w:val="subscript"/>
                <w:lang w:val="en-US" w:eastAsia="zh-CN"/>
              </w:rPr>
              <w:t>gr</w:t>
            </w:r>
            <w:r>
              <w:rPr>
                <w:rFonts w:hint="eastAsia"/>
                <w:color w:val="auto"/>
                <w:sz w:val="24"/>
                <w:szCs w:val="24"/>
                <w:lang w:val="en-US" w:eastAsia="zh-CN"/>
              </w:rPr>
              <w:t>—地面效应引起的衰减，dB；</w:t>
            </w:r>
          </w:p>
          <w:p w14:paraId="4E3ECF2F">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A</w:t>
            </w:r>
            <w:r>
              <w:rPr>
                <w:rFonts w:hint="eastAsia"/>
                <w:i/>
                <w:iCs/>
                <w:color w:val="auto"/>
                <w:sz w:val="24"/>
                <w:szCs w:val="24"/>
                <w:vertAlign w:val="subscript"/>
                <w:lang w:val="en-US" w:eastAsia="zh-CN"/>
              </w:rPr>
              <w:t>bar</w:t>
            </w:r>
            <w:r>
              <w:rPr>
                <w:rFonts w:hint="eastAsia"/>
                <w:color w:val="auto"/>
                <w:sz w:val="24"/>
                <w:szCs w:val="24"/>
                <w:lang w:val="en-US" w:eastAsia="zh-CN"/>
              </w:rPr>
              <w:t>—障碍物屏蔽引起的衰减，dB；</w:t>
            </w:r>
          </w:p>
          <w:p w14:paraId="3DC58D77">
            <w:pPr>
              <w:keepNext w:val="0"/>
              <w:keepLines w:val="0"/>
              <w:suppressLineNumbers w:val="0"/>
              <w:bidi w:val="0"/>
              <w:spacing w:before="0" w:beforeAutospacing="0" w:after="0" w:afterAutospacing="0" w:line="360" w:lineRule="auto"/>
              <w:ind w:left="0" w:right="0" w:firstLine="1200" w:firstLineChars="500"/>
              <w:rPr>
                <w:rFonts w:hint="eastAsia"/>
                <w:color w:val="auto"/>
                <w:sz w:val="24"/>
                <w:szCs w:val="24"/>
                <w:lang w:val="en-US" w:eastAsia="zh-CN"/>
              </w:rPr>
            </w:pPr>
            <w:r>
              <w:rPr>
                <w:rFonts w:hint="eastAsia"/>
                <w:i/>
                <w:iCs/>
                <w:color w:val="auto"/>
                <w:sz w:val="24"/>
                <w:szCs w:val="24"/>
                <w:lang w:val="en-US" w:eastAsia="zh-CN"/>
              </w:rPr>
              <w:t>A</w:t>
            </w:r>
            <w:r>
              <w:rPr>
                <w:rFonts w:hint="eastAsia"/>
                <w:i/>
                <w:iCs/>
                <w:color w:val="auto"/>
                <w:sz w:val="24"/>
                <w:szCs w:val="24"/>
                <w:vertAlign w:val="subscript"/>
                <w:lang w:val="en-US" w:eastAsia="zh-CN"/>
              </w:rPr>
              <w:t>misc</w:t>
            </w:r>
            <w:r>
              <w:rPr>
                <w:rFonts w:hint="eastAsia"/>
                <w:color w:val="auto"/>
                <w:sz w:val="24"/>
                <w:szCs w:val="24"/>
                <w:lang w:val="en-US" w:eastAsia="zh-CN"/>
              </w:rPr>
              <w:t>—其他多方面效应引起的衰减，dB。</w:t>
            </w:r>
          </w:p>
          <w:p w14:paraId="79DFD18F">
            <w:pPr>
              <w:keepNext w:val="0"/>
              <w:keepLines w:val="0"/>
              <w:suppressLineNumbers w:val="0"/>
              <w:bidi w:val="0"/>
              <w:spacing w:before="0" w:beforeAutospacing="0" w:after="0" w:afterAutospacing="0" w:line="360" w:lineRule="auto"/>
              <w:ind w:left="0" w:right="0" w:firstLine="480" w:firstLineChars="200"/>
              <w:rPr>
                <w:rFonts w:hint="eastAsia" w:ascii="宋体" w:hAnsi="宋体" w:eastAsia="宋体" w:cs="宋体"/>
                <w:color w:val="auto"/>
                <w:sz w:val="24"/>
                <w:szCs w:val="24"/>
                <w:lang w:val="en-US" w:eastAsia="zh-CN"/>
              </w:rPr>
            </w:pPr>
            <w:r>
              <w:rPr>
                <w:rFonts w:hint="default" w:ascii="Times New Roman" w:hAnsi="Times New Roman" w:eastAsia="宋体" w:cs="Times New Roman"/>
                <w:color w:val="auto"/>
                <w:sz w:val="24"/>
                <w:szCs w:val="24"/>
                <w:lang w:val="en-US" w:eastAsia="zh-CN"/>
              </w:rPr>
              <w:t>（2）</w:t>
            </w:r>
            <w:r>
              <w:rPr>
                <w:rFonts w:hint="eastAsia" w:ascii="宋体" w:hAnsi="宋体" w:eastAsia="宋体" w:cs="宋体"/>
                <w:color w:val="auto"/>
                <w:sz w:val="24"/>
                <w:szCs w:val="24"/>
                <w:lang w:val="en-US" w:eastAsia="zh-CN"/>
              </w:rPr>
              <w:t>点声源的几何发散衰减</w:t>
            </w:r>
          </w:p>
          <w:p w14:paraId="74F133C5">
            <w:pPr>
              <w:keepNext w:val="0"/>
              <w:keepLines w:val="0"/>
              <w:suppressLineNumbers w:val="0"/>
              <w:bidi w:val="0"/>
              <w:spacing w:before="0" w:beforeAutospacing="0" w:after="0" w:afterAutospacing="0"/>
              <w:ind w:left="0" w:leftChars="0" w:right="0" w:firstLine="0" w:firstLineChars="0"/>
              <w:jc w:val="center"/>
              <w:rPr>
                <w:rFonts w:hint="default"/>
                <w:color w:val="auto"/>
                <w:highlight w:val="none"/>
                <w:lang w:val="zh-CN"/>
              </w:rPr>
            </w:pPr>
            <w:r>
              <w:rPr>
                <w:rFonts w:hint="default"/>
                <w:color w:val="auto"/>
                <w:position w:val="-14"/>
                <w:highlight w:val="none"/>
                <w:lang w:val="zh-CN"/>
              </w:rPr>
              <w:object>
                <v:shape id="_x0000_i1031" o:spt="75" type="#_x0000_t75" style="height:19pt;width:134pt;" o:ole="t" filled="f" o:preferrelative="t" stroked="f" coordsize="21600,21600">
                  <v:path/>
                  <v:fill on="f" focussize="0,0"/>
                  <v:stroke on="f"/>
                  <v:imagedata r:id="rId22" o:title=""/>
                  <o:lock v:ext="edit" aspectratio="t"/>
                  <w10:wrap type="none"/>
                  <w10:anchorlock/>
                </v:shape>
                <o:OLEObject Type="Embed" ProgID="Equation.KSEE3" ShapeID="_x0000_i1031" DrawAspect="Content" ObjectID="_1468075731" r:id="rId21">
                  <o:LockedField>false</o:LockedField>
                </o:OLEObject>
              </w:object>
            </w:r>
          </w:p>
          <w:p w14:paraId="0CFBCC4E">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360" w:lineRule="auto"/>
              <w:ind w:left="0" w:right="0" w:firstLine="440" w:firstLineChars="200"/>
              <w:rPr>
                <w:rFonts w:hint="default"/>
                <w:bCs/>
                <w:color w:val="auto"/>
                <w:spacing w:val="-10"/>
                <w:sz w:val="24"/>
                <w:highlight w:val="none"/>
                <w:lang w:val="zh-CN"/>
              </w:rPr>
            </w:pPr>
            <w:r>
              <w:rPr>
                <w:rFonts w:hint="default"/>
                <w:bCs/>
                <w:color w:val="auto"/>
                <w:spacing w:val="-10"/>
                <w:sz w:val="24"/>
                <w:highlight w:val="none"/>
                <w:lang w:val="zh-CN"/>
              </w:rPr>
              <w:t>式中：</w:t>
            </w:r>
            <w:r>
              <w:rPr>
                <w:rFonts w:hint="default"/>
                <w:bCs/>
                <w:i/>
                <w:iCs/>
                <w:color w:val="auto"/>
                <w:spacing w:val="-10"/>
                <w:sz w:val="24"/>
                <w:highlight w:val="none"/>
                <w:lang w:val="zh-CN"/>
              </w:rPr>
              <w:t>L</w:t>
            </w:r>
            <w:r>
              <w:rPr>
                <w:rFonts w:hint="eastAsia"/>
                <w:bCs/>
                <w:i/>
                <w:iCs/>
                <w:color w:val="auto"/>
                <w:spacing w:val="-10"/>
                <w:sz w:val="24"/>
                <w:highlight w:val="none"/>
                <w:vertAlign w:val="subscript"/>
                <w:lang w:val="zh-CN"/>
              </w:rPr>
              <w:t>p</w:t>
            </w:r>
            <w:r>
              <w:rPr>
                <w:rFonts w:hint="eastAsia"/>
                <w:bCs/>
                <w:i/>
                <w:iCs/>
                <w:color w:val="auto"/>
                <w:spacing w:val="-10"/>
                <w:sz w:val="24"/>
                <w:highlight w:val="none"/>
                <w:vertAlign w:val="baseline"/>
                <w:lang w:val="en-US" w:eastAsia="zh-CN"/>
              </w:rPr>
              <w:t>(</w:t>
            </w:r>
            <w:r>
              <w:rPr>
                <w:rFonts w:hint="eastAsia"/>
                <w:bCs/>
                <w:i/>
                <w:iCs/>
                <w:color w:val="auto"/>
                <w:spacing w:val="-10"/>
                <w:sz w:val="24"/>
                <w:highlight w:val="none"/>
                <w:lang w:val="zh-CN"/>
              </w:rPr>
              <w:t>r</w:t>
            </w:r>
            <w:r>
              <w:rPr>
                <w:rFonts w:hint="eastAsia"/>
                <w:bCs/>
                <w:i/>
                <w:iCs/>
                <w:color w:val="auto"/>
                <w:spacing w:val="-10"/>
                <w:sz w:val="24"/>
                <w:highlight w:val="none"/>
                <w:lang w:val="en-US" w:eastAsia="zh-CN"/>
              </w:rPr>
              <w:t>)</w:t>
            </w:r>
            <w:r>
              <w:rPr>
                <w:rFonts w:hint="default"/>
                <w:bCs/>
                <w:color w:val="auto"/>
                <w:spacing w:val="-10"/>
                <w:sz w:val="24"/>
                <w:highlight w:val="none"/>
                <w:lang w:val="zh-CN"/>
              </w:rPr>
              <w:t>—</w:t>
            </w:r>
            <w:r>
              <w:rPr>
                <w:rFonts w:hint="eastAsia"/>
                <w:bCs/>
                <w:color w:val="auto"/>
                <w:spacing w:val="-10"/>
                <w:sz w:val="24"/>
                <w:highlight w:val="none"/>
                <w:lang w:val="zh-CN"/>
              </w:rPr>
              <w:t>预测点处声压级</w:t>
            </w:r>
            <w:r>
              <w:rPr>
                <w:rFonts w:hint="default"/>
                <w:bCs/>
                <w:color w:val="auto"/>
                <w:spacing w:val="-10"/>
                <w:sz w:val="24"/>
                <w:highlight w:val="none"/>
                <w:lang w:val="zh-CN"/>
              </w:rPr>
              <w:t>，</w:t>
            </w:r>
            <w:r>
              <w:rPr>
                <w:rFonts w:hint="default"/>
                <w:bCs/>
                <w:color w:val="auto"/>
                <w:spacing w:val="-10"/>
                <w:sz w:val="24"/>
                <w:highlight w:val="none"/>
              </w:rPr>
              <w:t>dB</w:t>
            </w:r>
            <w:r>
              <w:rPr>
                <w:rFonts w:hint="default"/>
                <w:bCs/>
                <w:color w:val="auto"/>
                <w:spacing w:val="-10"/>
                <w:sz w:val="24"/>
                <w:highlight w:val="none"/>
                <w:lang w:val="zh-CN"/>
              </w:rPr>
              <w:t>；</w:t>
            </w:r>
          </w:p>
          <w:p w14:paraId="29AC0D64">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360" w:lineRule="auto"/>
              <w:ind w:left="0" w:right="0" w:firstLine="1100" w:firstLineChars="500"/>
              <w:rPr>
                <w:rFonts w:hint="default"/>
                <w:bCs/>
                <w:color w:val="auto"/>
                <w:spacing w:val="-10"/>
                <w:sz w:val="24"/>
                <w:highlight w:val="none"/>
                <w:lang w:val="zh-CN"/>
              </w:rPr>
            </w:pPr>
            <w:r>
              <w:rPr>
                <w:rFonts w:hint="default"/>
                <w:bCs/>
                <w:i/>
                <w:iCs/>
                <w:color w:val="auto"/>
                <w:spacing w:val="-10"/>
                <w:sz w:val="24"/>
                <w:highlight w:val="none"/>
                <w:lang w:val="zh-CN"/>
              </w:rPr>
              <w:t>L</w:t>
            </w:r>
            <w:r>
              <w:rPr>
                <w:rFonts w:hint="default"/>
                <w:bCs/>
                <w:i/>
                <w:iCs/>
                <w:color w:val="auto"/>
                <w:spacing w:val="-10"/>
                <w:sz w:val="24"/>
                <w:highlight w:val="none"/>
                <w:vertAlign w:val="subscript"/>
                <w:lang w:val="zh-CN"/>
              </w:rPr>
              <w:t>p</w:t>
            </w:r>
            <w:r>
              <w:rPr>
                <w:rFonts w:hint="eastAsia"/>
                <w:bCs/>
                <w:i/>
                <w:iCs/>
                <w:color w:val="auto"/>
                <w:spacing w:val="-10"/>
                <w:sz w:val="24"/>
                <w:highlight w:val="none"/>
                <w:vertAlign w:val="baseline"/>
                <w:lang w:val="en-US" w:eastAsia="zh-CN"/>
              </w:rPr>
              <w:t>(</w:t>
            </w:r>
            <w:r>
              <w:rPr>
                <w:rFonts w:hint="eastAsia"/>
                <w:bCs/>
                <w:i/>
                <w:iCs/>
                <w:color w:val="auto"/>
                <w:spacing w:val="-10"/>
                <w:sz w:val="24"/>
                <w:highlight w:val="none"/>
                <w:lang w:val="zh-CN"/>
              </w:rPr>
              <w:t>r</w:t>
            </w:r>
            <w:r>
              <w:rPr>
                <w:rFonts w:hint="eastAsia"/>
                <w:bCs/>
                <w:i/>
                <w:iCs/>
                <w:color w:val="auto"/>
                <w:spacing w:val="-10"/>
                <w:sz w:val="24"/>
                <w:highlight w:val="none"/>
                <w:vertAlign w:val="subscript"/>
                <w:lang w:val="en-US" w:eastAsia="zh-CN"/>
              </w:rPr>
              <w:t>0</w:t>
            </w:r>
            <w:r>
              <w:rPr>
                <w:rFonts w:hint="eastAsia"/>
                <w:bCs/>
                <w:i/>
                <w:iCs/>
                <w:color w:val="auto"/>
                <w:spacing w:val="-10"/>
                <w:sz w:val="24"/>
                <w:highlight w:val="none"/>
                <w:lang w:val="en-US" w:eastAsia="zh-CN"/>
              </w:rPr>
              <w:t>)</w:t>
            </w:r>
            <w:r>
              <w:rPr>
                <w:rFonts w:hint="default"/>
                <w:bCs/>
                <w:color w:val="auto"/>
                <w:spacing w:val="-10"/>
                <w:sz w:val="24"/>
                <w:highlight w:val="none"/>
                <w:lang w:val="zh-CN"/>
              </w:rPr>
              <w:t>—</w:t>
            </w:r>
            <w:r>
              <w:rPr>
                <w:rFonts w:hint="eastAsia"/>
                <w:bCs/>
                <w:color w:val="auto"/>
                <w:spacing w:val="-10"/>
                <w:sz w:val="24"/>
                <w:highlight w:val="none"/>
                <w:lang w:val="zh-CN"/>
              </w:rPr>
              <w:t>参考位置</w:t>
            </w:r>
            <w:r>
              <w:rPr>
                <w:rFonts w:hint="default"/>
                <w:bCs/>
                <w:color w:val="auto"/>
                <w:spacing w:val="-10"/>
                <w:sz w:val="24"/>
                <w:highlight w:val="none"/>
                <w:lang w:val="zh-CN"/>
              </w:rPr>
              <w:t>r</w:t>
            </w:r>
            <w:r>
              <w:rPr>
                <w:rFonts w:hint="default"/>
                <w:bCs/>
                <w:color w:val="auto"/>
                <w:spacing w:val="-10"/>
                <w:sz w:val="24"/>
                <w:highlight w:val="none"/>
                <w:vertAlign w:val="subscript"/>
                <w:lang w:val="zh-CN"/>
              </w:rPr>
              <w:t>0</w:t>
            </w:r>
            <w:r>
              <w:rPr>
                <w:rFonts w:hint="eastAsia"/>
                <w:bCs/>
                <w:color w:val="auto"/>
                <w:spacing w:val="-10"/>
                <w:sz w:val="24"/>
                <w:highlight w:val="none"/>
                <w:lang w:val="zh-CN"/>
              </w:rPr>
              <w:t>处的声压级</w:t>
            </w:r>
            <w:r>
              <w:rPr>
                <w:rFonts w:hint="default"/>
                <w:bCs/>
                <w:color w:val="auto"/>
                <w:spacing w:val="-10"/>
                <w:sz w:val="24"/>
                <w:highlight w:val="none"/>
                <w:lang w:val="zh-CN"/>
              </w:rPr>
              <w:t>，</w:t>
            </w:r>
            <w:r>
              <w:rPr>
                <w:rFonts w:hint="default"/>
                <w:bCs/>
                <w:color w:val="auto"/>
                <w:spacing w:val="-10"/>
                <w:sz w:val="24"/>
                <w:highlight w:val="none"/>
              </w:rPr>
              <w:t>dB</w:t>
            </w:r>
            <w:r>
              <w:rPr>
                <w:rFonts w:hint="default"/>
                <w:bCs/>
                <w:color w:val="auto"/>
                <w:spacing w:val="-10"/>
                <w:sz w:val="24"/>
                <w:highlight w:val="none"/>
                <w:lang w:val="zh-CN"/>
              </w:rPr>
              <w:t>；</w:t>
            </w:r>
          </w:p>
          <w:p w14:paraId="62E6EF4D">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360" w:lineRule="auto"/>
              <w:ind w:left="0" w:right="0" w:firstLine="1100" w:firstLineChars="500"/>
              <w:rPr>
                <w:rFonts w:hint="default"/>
                <w:bCs/>
                <w:color w:val="auto"/>
                <w:spacing w:val="-10"/>
                <w:sz w:val="24"/>
                <w:highlight w:val="none"/>
                <w:lang w:val="zh-CN"/>
              </w:rPr>
            </w:pPr>
            <w:r>
              <w:rPr>
                <w:rFonts w:hint="default"/>
                <w:bCs/>
                <w:i/>
                <w:iCs/>
                <w:color w:val="auto"/>
                <w:spacing w:val="-10"/>
                <w:sz w:val="24"/>
                <w:highlight w:val="none"/>
                <w:lang w:val="zh-CN"/>
              </w:rPr>
              <w:t>r</w:t>
            </w:r>
            <w:r>
              <w:rPr>
                <w:rFonts w:hint="default"/>
                <w:bCs/>
                <w:color w:val="auto"/>
                <w:spacing w:val="-10"/>
                <w:sz w:val="24"/>
                <w:highlight w:val="none"/>
                <w:lang w:val="zh-CN"/>
              </w:rPr>
              <w:t xml:space="preserve"> —预测点</w:t>
            </w:r>
            <w:r>
              <w:rPr>
                <w:rFonts w:hint="eastAsia"/>
                <w:bCs/>
                <w:color w:val="auto"/>
                <w:spacing w:val="-10"/>
                <w:sz w:val="24"/>
                <w:highlight w:val="none"/>
                <w:lang w:val="zh-CN"/>
              </w:rPr>
              <w:t>距</w:t>
            </w:r>
            <w:r>
              <w:rPr>
                <w:rFonts w:hint="default"/>
                <w:bCs/>
                <w:color w:val="auto"/>
                <w:spacing w:val="-10"/>
                <w:sz w:val="24"/>
                <w:highlight w:val="none"/>
                <w:lang w:val="zh-CN"/>
              </w:rPr>
              <w:t>声源的距离</w:t>
            </w:r>
            <w:r>
              <w:rPr>
                <w:rFonts w:hint="eastAsia"/>
                <w:bCs/>
                <w:color w:val="auto"/>
                <w:spacing w:val="-10"/>
                <w:sz w:val="24"/>
                <w:highlight w:val="none"/>
                <w:lang w:val="zh-CN"/>
              </w:rPr>
              <w:t>；</w:t>
            </w:r>
          </w:p>
          <w:p w14:paraId="160206F4">
            <w:pPr>
              <w:keepNext w:val="0"/>
              <w:keepLines w:val="0"/>
              <w:pageBreakBefore w:val="0"/>
              <w:widowControl w:val="0"/>
              <w:suppressLineNumbers w:val="0"/>
              <w:kinsoku/>
              <w:wordWrap/>
              <w:overflowPunct/>
              <w:topLinePunct w:val="0"/>
              <w:autoSpaceDE/>
              <w:bidi w:val="0"/>
              <w:adjustRightInd/>
              <w:snapToGrid/>
              <w:spacing w:beforeAutospacing="0" w:after="0" w:afterAutospacing="0" w:line="360" w:lineRule="auto"/>
              <w:ind w:left="0" w:right="0" w:firstLine="1100" w:firstLineChars="500"/>
              <w:textAlignment w:val="auto"/>
              <w:rPr>
                <w:rFonts w:hint="default"/>
                <w:bCs/>
                <w:color w:val="auto"/>
                <w:spacing w:val="-10"/>
                <w:sz w:val="24"/>
                <w:highlight w:val="none"/>
                <w:lang w:val="zh-CN"/>
              </w:rPr>
            </w:pPr>
            <w:r>
              <w:rPr>
                <w:rFonts w:hint="default"/>
                <w:bCs/>
                <w:i/>
                <w:iCs/>
                <w:color w:val="auto"/>
                <w:spacing w:val="-10"/>
                <w:sz w:val="24"/>
                <w:highlight w:val="none"/>
                <w:lang w:val="zh-CN"/>
              </w:rPr>
              <w:t>r</w:t>
            </w:r>
            <w:r>
              <w:rPr>
                <w:rFonts w:hint="default"/>
                <w:bCs/>
                <w:i/>
                <w:iCs/>
                <w:color w:val="auto"/>
                <w:spacing w:val="-10"/>
                <w:sz w:val="24"/>
                <w:highlight w:val="none"/>
                <w:vertAlign w:val="subscript"/>
                <w:lang w:val="zh-CN"/>
              </w:rPr>
              <w:t>0</w:t>
            </w:r>
            <w:r>
              <w:rPr>
                <w:rFonts w:hint="default"/>
                <w:bCs/>
                <w:i/>
                <w:iCs/>
                <w:color w:val="auto"/>
                <w:spacing w:val="-10"/>
                <w:sz w:val="24"/>
                <w:highlight w:val="none"/>
                <w:lang w:val="zh-CN"/>
              </w:rPr>
              <w:t xml:space="preserve"> </w:t>
            </w:r>
            <w:r>
              <w:rPr>
                <w:rFonts w:hint="default"/>
                <w:bCs/>
                <w:color w:val="auto"/>
                <w:spacing w:val="-10"/>
                <w:sz w:val="24"/>
                <w:highlight w:val="none"/>
                <w:lang w:val="zh-CN"/>
              </w:rPr>
              <w:t>—参照</w:t>
            </w:r>
            <w:r>
              <w:rPr>
                <w:rFonts w:hint="eastAsia"/>
                <w:bCs/>
                <w:color w:val="auto"/>
                <w:spacing w:val="-10"/>
                <w:sz w:val="24"/>
                <w:highlight w:val="none"/>
                <w:lang w:val="zh-CN"/>
              </w:rPr>
              <w:t>位置距</w:t>
            </w:r>
            <w:r>
              <w:rPr>
                <w:rFonts w:hint="default"/>
                <w:bCs/>
                <w:color w:val="auto"/>
                <w:spacing w:val="-10"/>
                <w:sz w:val="24"/>
                <w:highlight w:val="none"/>
                <w:lang w:val="zh-CN"/>
              </w:rPr>
              <w:t>声源的距离</w:t>
            </w:r>
            <w:r>
              <w:rPr>
                <w:rFonts w:hint="eastAsia"/>
                <w:bCs/>
                <w:color w:val="auto"/>
                <w:spacing w:val="-10"/>
                <w:sz w:val="24"/>
                <w:highlight w:val="none"/>
                <w:lang w:val="zh-CN"/>
              </w:rPr>
              <w:t>。</w:t>
            </w:r>
          </w:p>
          <w:p w14:paraId="093B7333">
            <w:pPr>
              <w:pStyle w:val="14"/>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u w:val="none"/>
                <w:lang w:val="en-US" w:eastAsia="zh-CN"/>
              </w:rPr>
            </w:pPr>
            <w:r>
              <w:rPr>
                <w:rFonts w:hint="eastAsia" w:ascii="Times New Roman" w:eastAsia="宋体" w:cs="Times New Roman"/>
                <w:b w:val="0"/>
                <w:bCs w:val="0"/>
                <w:color w:val="auto"/>
                <w:sz w:val="24"/>
                <w:szCs w:val="24"/>
                <w:u w:val="none"/>
                <w:lang w:val="en-US" w:eastAsia="zh-CN"/>
              </w:rPr>
              <w:t>（3）</w:t>
            </w:r>
            <w:r>
              <w:rPr>
                <w:rFonts w:hint="default" w:ascii="Times New Roman" w:hAnsi="Times New Roman" w:eastAsia="宋体" w:cs="Times New Roman"/>
                <w:b w:val="0"/>
                <w:bCs w:val="0"/>
                <w:color w:val="auto"/>
                <w:sz w:val="24"/>
                <w:szCs w:val="24"/>
                <w:u w:val="none"/>
                <w:lang w:val="en-US" w:eastAsia="zh-CN"/>
              </w:rPr>
              <w:t>设第i个室外声源在预测点产生的A声级为L</w:t>
            </w:r>
            <w:r>
              <w:rPr>
                <w:rFonts w:hint="default" w:ascii="Times New Roman" w:hAnsi="Times New Roman" w:eastAsia="宋体" w:cs="Times New Roman"/>
                <w:b w:val="0"/>
                <w:bCs w:val="0"/>
                <w:color w:val="auto"/>
                <w:sz w:val="24"/>
                <w:szCs w:val="24"/>
                <w:u w:val="none"/>
                <w:vertAlign w:val="subscript"/>
                <w:lang w:val="en-US" w:eastAsia="zh-CN"/>
              </w:rPr>
              <w:t>Ai</w:t>
            </w:r>
            <w:r>
              <w:rPr>
                <w:rFonts w:hint="default" w:ascii="Times New Roman" w:hAnsi="Times New Roman" w:eastAsia="宋体" w:cs="Times New Roman"/>
                <w:b w:val="0"/>
                <w:bCs w:val="0"/>
                <w:color w:val="auto"/>
                <w:sz w:val="24"/>
                <w:szCs w:val="24"/>
                <w:u w:val="none"/>
                <w:lang w:val="en-US" w:eastAsia="zh-CN"/>
              </w:rPr>
              <w:t>，在T时间内该声源工作时间为</w:t>
            </w:r>
            <w:r>
              <w:rPr>
                <w:rFonts w:hint="eastAsia" w:ascii="Times New Roman" w:hAnsi="Times New Roman" w:eastAsia="宋体" w:cs="Times New Roman"/>
                <w:b w:val="0"/>
                <w:bCs w:val="0"/>
                <w:color w:val="auto"/>
                <w:sz w:val="24"/>
                <w:szCs w:val="24"/>
                <w:u w:val="none"/>
                <w:lang w:val="en-US" w:eastAsia="zh-CN"/>
              </w:rPr>
              <w:t>t</w:t>
            </w:r>
            <w:r>
              <w:rPr>
                <w:rFonts w:hint="eastAsia" w:ascii="Times New Roman" w:hAnsi="Times New Roman" w:eastAsia="宋体" w:cs="Times New Roman"/>
                <w:b w:val="0"/>
                <w:bCs w:val="0"/>
                <w:color w:val="auto"/>
                <w:sz w:val="24"/>
                <w:szCs w:val="24"/>
                <w:u w:val="none"/>
                <w:vertAlign w:val="subscript"/>
                <w:lang w:val="en-US" w:eastAsia="zh-CN"/>
              </w:rPr>
              <w:t>i</w:t>
            </w:r>
            <w:r>
              <w:rPr>
                <w:rFonts w:hint="default" w:ascii="Times New Roman" w:hAnsi="Times New Roman" w:eastAsia="宋体" w:cs="Times New Roman"/>
                <w:b w:val="0"/>
                <w:bCs w:val="0"/>
                <w:color w:val="auto"/>
                <w:sz w:val="24"/>
                <w:szCs w:val="24"/>
                <w:u w:val="none"/>
                <w:lang w:val="en-US" w:eastAsia="zh-CN"/>
              </w:rPr>
              <w:t>；第j个等效室外声源在预测点产生的A声级为L</w:t>
            </w:r>
            <w:r>
              <w:rPr>
                <w:rFonts w:hint="default" w:ascii="Times New Roman" w:hAnsi="Times New Roman" w:eastAsia="宋体" w:cs="Times New Roman"/>
                <w:b w:val="0"/>
                <w:bCs w:val="0"/>
                <w:color w:val="auto"/>
                <w:sz w:val="24"/>
                <w:szCs w:val="24"/>
                <w:u w:val="none"/>
                <w:vertAlign w:val="subscript"/>
                <w:lang w:val="en-US" w:eastAsia="zh-CN"/>
              </w:rPr>
              <w:t>Aj</w:t>
            </w:r>
            <w:r>
              <w:rPr>
                <w:rFonts w:hint="default" w:ascii="Times New Roman" w:hAnsi="Times New Roman" w:eastAsia="宋体" w:cs="Times New Roman"/>
                <w:b w:val="0"/>
                <w:bCs w:val="0"/>
                <w:color w:val="auto"/>
                <w:sz w:val="24"/>
                <w:szCs w:val="24"/>
                <w:u w:val="none"/>
                <w:lang w:val="en-US" w:eastAsia="zh-CN"/>
              </w:rPr>
              <w:t>，在T时间内该声源工作时间为t</w:t>
            </w:r>
            <w:r>
              <w:rPr>
                <w:rFonts w:hint="default" w:ascii="Times New Roman" w:hAnsi="Times New Roman" w:eastAsia="宋体" w:cs="Times New Roman"/>
                <w:b w:val="0"/>
                <w:bCs w:val="0"/>
                <w:color w:val="auto"/>
                <w:sz w:val="24"/>
                <w:szCs w:val="24"/>
                <w:u w:val="none"/>
                <w:vertAlign w:val="subscript"/>
                <w:lang w:val="en-US" w:eastAsia="zh-CN"/>
              </w:rPr>
              <w:t>j</w:t>
            </w:r>
            <w:r>
              <w:rPr>
                <w:rFonts w:hint="default" w:ascii="Times New Roman" w:hAnsi="Times New Roman" w:eastAsia="宋体" w:cs="Times New Roman"/>
                <w:b w:val="0"/>
                <w:bCs w:val="0"/>
                <w:color w:val="auto"/>
                <w:sz w:val="24"/>
                <w:szCs w:val="24"/>
                <w:u w:val="none"/>
                <w:lang w:val="en-US" w:eastAsia="zh-CN"/>
              </w:rPr>
              <w:t>，则拟建工程声源对预测点产生的贡献值（L</w:t>
            </w:r>
            <w:r>
              <w:rPr>
                <w:rFonts w:hint="default" w:ascii="Times New Roman" w:hAnsi="Times New Roman" w:eastAsia="宋体" w:cs="Times New Roman"/>
                <w:b w:val="0"/>
                <w:bCs w:val="0"/>
                <w:color w:val="auto"/>
                <w:sz w:val="24"/>
                <w:szCs w:val="24"/>
                <w:u w:val="none"/>
                <w:vertAlign w:val="subscript"/>
                <w:lang w:val="en-US" w:eastAsia="zh-CN"/>
              </w:rPr>
              <w:t>eqg</w:t>
            </w:r>
            <w:r>
              <w:rPr>
                <w:rFonts w:hint="default" w:ascii="Times New Roman" w:hAnsi="Times New Roman" w:eastAsia="宋体" w:cs="Times New Roman"/>
                <w:b w:val="0"/>
                <w:bCs w:val="0"/>
                <w:color w:val="auto"/>
                <w:sz w:val="24"/>
                <w:szCs w:val="24"/>
                <w:u w:val="none"/>
                <w:lang w:val="en-US" w:eastAsia="zh-CN"/>
              </w:rPr>
              <w:t>）为：</w:t>
            </w:r>
          </w:p>
          <w:p w14:paraId="6047D823">
            <w:pPr>
              <w:keepNext w:val="0"/>
              <w:keepLines w:val="0"/>
              <w:suppressLineNumbers w:val="0"/>
              <w:bidi w:val="0"/>
              <w:spacing w:before="0" w:beforeAutospacing="0" w:after="0" w:afterAutospacing="0"/>
              <w:ind w:left="0" w:right="0"/>
              <w:jc w:val="center"/>
              <w:rPr>
                <w:rFonts w:hint="eastAsia" w:eastAsia="宋体"/>
                <w:color w:val="auto"/>
                <w:highlight w:val="none"/>
                <w:lang w:eastAsia="zh-CN"/>
              </w:rPr>
            </w:pPr>
            <w:r>
              <w:rPr>
                <w:rFonts w:hint="eastAsia" w:eastAsia="宋体"/>
                <w:color w:val="auto"/>
                <w:position w:val="-34"/>
                <w:highlight w:val="none"/>
                <w:lang w:eastAsia="zh-CN"/>
              </w:rPr>
              <w:object>
                <v:shape id="_x0000_i1032" o:spt="75" type="#_x0000_t75" style="height:37.1pt;width:190.05pt;" o:ole="t" filled="f" o:preferrelative="t" stroked="f" coordsize="21600,21600">
                  <v:path/>
                  <v:fill on="f" focussize="0,0"/>
                  <v:stroke on="f"/>
                  <v:imagedata r:id="rId24" o:title=""/>
                  <o:lock v:ext="edit" aspectratio="t"/>
                  <w10:wrap type="none"/>
                  <w10:anchorlock/>
                </v:shape>
                <o:OLEObject Type="Embed" ProgID="Equation.KSEE3" ShapeID="_x0000_i1032" DrawAspect="Content" ObjectID="_1468075732" r:id="rId23">
                  <o:LockedField>false</o:LockedField>
                </o:OLEObject>
              </w:object>
            </w:r>
          </w:p>
          <w:p w14:paraId="2603FCC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jc w:val="both"/>
              <w:textAlignment w:val="center"/>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rPr>
              <w:t>式中：</w:t>
            </w:r>
            <w:r>
              <w:rPr>
                <w:rFonts w:hint="eastAsia" w:ascii="Times New Roman" w:hAnsi="Times New Roman" w:eastAsia="宋体"/>
                <w:i/>
                <w:iCs/>
                <w:color w:val="auto"/>
                <w:sz w:val="24"/>
                <w:szCs w:val="24"/>
                <w:highlight w:val="none"/>
                <w:lang w:val="en-US" w:eastAsia="zh-CN"/>
              </w:rPr>
              <w:t>L</w:t>
            </w:r>
            <w:r>
              <w:rPr>
                <w:rFonts w:hint="eastAsia" w:ascii="Times New Roman" w:hAnsi="Times New Roman" w:eastAsia="宋体"/>
                <w:i/>
                <w:iCs/>
                <w:color w:val="auto"/>
                <w:sz w:val="24"/>
                <w:szCs w:val="24"/>
                <w:highlight w:val="none"/>
                <w:vertAlign w:val="subscript"/>
                <w:lang w:val="en-US" w:eastAsia="zh-CN"/>
              </w:rPr>
              <w:t>eqg</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建设项目声源在预测点的等效声级贡献值，dB（A）</w:t>
            </w:r>
            <w:r>
              <w:rPr>
                <w:rFonts w:hint="eastAsia" w:ascii="Times New Roman" w:hAnsi="Times New Roman" w:eastAsia="宋体"/>
                <w:color w:val="auto"/>
                <w:sz w:val="24"/>
                <w:szCs w:val="24"/>
                <w:highlight w:val="none"/>
                <w:lang w:val="en-US" w:eastAsia="zh-CN"/>
              </w:rPr>
              <w:t>；</w:t>
            </w:r>
          </w:p>
          <w:p w14:paraId="2EFED24D">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1200" w:firstLineChars="500"/>
              <w:jc w:val="both"/>
              <w:textAlignment w:val="center"/>
              <w:rPr>
                <w:rFonts w:hint="default" w:ascii="Times New Roman" w:hAnsi="Times New Roman" w:eastAsia="宋体"/>
                <w:color w:val="auto"/>
                <w:sz w:val="24"/>
                <w:szCs w:val="24"/>
                <w:highlight w:val="none"/>
              </w:rPr>
            </w:pPr>
            <w:r>
              <w:rPr>
                <w:rFonts w:hint="eastAsia" w:ascii="Times New Roman" w:hAnsi="Times New Roman" w:eastAsia="宋体"/>
                <w:i/>
                <w:iCs/>
                <w:color w:val="auto"/>
                <w:sz w:val="24"/>
                <w:szCs w:val="24"/>
                <w:highlight w:val="none"/>
                <w:lang w:val="en-US" w:eastAsia="zh-CN"/>
              </w:rPr>
              <w:t>T</w:t>
            </w:r>
            <w:r>
              <w:rPr>
                <w:rFonts w:hint="eastAsia" w:ascii="Times New Roman" w:hAnsi="Times New Roman" w:eastAsia="宋体"/>
                <w:color w:val="auto"/>
                <w:sz w:val="24"/>
                <w:szCs w:val="24"/>
                <w:highlight w:val="none"/>
                <w:lang w:val="en-US" w:eastAsia="zh-CN"/>
              </w:rPr>
              <w:t>—用于计算等效声级的时间，s；</w:t>
            </w:r>
          </w:p>
          <w:p w14:paraId="1FAD01E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1200" w:firstLineChars="500"/>
              <w:jc w:val="both"/>
              <w:textAlignment w:val="center"/>
              <w:rPr>
                <w:rFonts w:hint="eastAsia" w:ascii="Times New Roman" w:hAnsi="Times New Roman" w:eastAsia="宋体"/>
                <w:color w:val="auto"/>
                <w:sz w:val="24"/>
                <w:szCs w:val="24"/>
                <w:highlight w:val="none"/>
                <w:lang w:val="en-US" w:eastAsia="zh-CN"/>
              </w:rPr>
            </w:pPr>
            <w:r>
              <w:rPr>
                <w:rFonts w:hint="eastAsia" w:ascii="Times New Roman" w:hAnsi="Times New Roman" w:eastAsia="宋体"/>
                <w:i/>
                <w:iCs/>
                <w:color w:val="auto"/>
                <w:sz w:val="24"/>
                <w:szCs w:val="24"/>
                <w:highlight w:val="none"/>
                <w:lang w:val="en-US" w:eastAsia="zh-CN"/>
              </w:rPr>
              <w:t>N</w:t>
            </w:r>
            <w:r>
              <w:rPr>
                <w:rFonts w:hint="eastAsia" w:ascii="Times New Roman" w:hAnsi="Times New Roman" w:eastAsia="宋体"/>
                <w:color w:val="auto"/>
                <w:sz w:val="24"/>
                <w:szCs w:val="24"/>
                <w:highlight w:val="none"/>
                <w:lang w:val="en-US" w:eastAsia="zh-CN"/>
              </w:rPr>
              <w:t>—室外声源个数；</w:t>
            </w:r>
          </w:p>
          <w:p w14:paraId="6F525849">
            <w:pPr>
              <w:keepNext w:val="0"/>
              <w:keepLines w:val="0"/>
              <w:suppressLineNumbers w:val="0"/>
              <w:bidi w:val="0"/>
              <w:spacing w:before="0" w:beforeAutospacing="0" w:after="0" w:afterAutospacing="0" w:line="360" w:lineRule="auto"/>
              <w:ind w:left="0" w:right="0" w:firstLine="1200" w:firstLineChars="500"/>
              <w:rPr>
                <w:rFonts w:hint="default"/>
                <w:i w:val="0"/>
                <w:iCs w:val="0"/>
                <w:color w:val="auto"/>
                <w:sz w:val="24"/>
                <w:szCs w:val="24"/>
                <w:highlight w:val="none"/>
                <w:lang w:val="en-US"/>
              </w:rPr>
            </w:pPr>
            <w:r>
              <w:rPr>
                <w:rFonts w:hint="eastAsia" w:ascii="Times New Roman" w:hAnsi="Times New Roman" w:eastAsia="宋体"/>
                <w:i/>
                <w:iCs/>
                <w:color w:val="auto"/>
                <w:sz w:val="24"/>
                <w:szCs w:val="24"/>
                <w:highlight w:val="none"/>
                <w:lang w:val="en-US" w:eastAsia="zh-CN"/>
              </w:rPr>
              <w:t>t</w:t>
            </w:r>
            <w:r>
              <w:rPr>
                <w:rFonts w:hint="eastAsia" w:ascii="Times New Roman" w:hAnsi="Times New Roman" w:eastAsia="宋体"/>
                <w:i/>
                <w:iCs/>
                <w:color w:val="auto"/>
                <w:sz w:val="24"/>
                <w:szCs w:val="24"/>
                <w:highlight w:val="none"/>
                <w:vertAlign w:val="subscript"/>
                <w:lang w:val="en-US" w:eastAsia="zh-CN"/>
              </w:rPr>
              <w:t xml:space="preserve">i </w:t>
            </w:r>
            <w:r>
              <w:rPr>
                <w:rFonts w:hint="eastAsia" w:ascii="Times New Roman" w:hAnsi="Times New Roman" w:eastAsia="宋体"/>
                <w:i/>
                <w:iCs/>
                <w:color w:val="auto"/>
                <w:sz w:val="24"/>
                <w:szCs w:val="24"/>
                <w:highlight w:val="none"/>
                <w:vertAlign w:val="baseline"/>
                <w:lang w:val="en-US" w:eastAsia="zh-CN"/>
              </w:rPr>
              <w:t>—</w:t>
            </w:r>
            <w:r>
              <w:rPr>
                <w:rFonts w:hint="eastAsia" w:ascii="Times New Roman" w:hAnsi="Times New Roman" w:eastAsia="宋体"/>
                <w:i w:val="0"/>
                <w:iCs w:val="0"/>
                <w:color w:val="auto"/>
                <w:sz w:val="24"/>
                <w:szCs w:val="24"/>
                <w:highlight w:val="none"/>
                <w:vertAlign w:val="baseline"/>
                <w:lang w:val="en-US" w:eastAsia="zh-CN"/>
              </w:rPr>
              <w:t>在</w:t>
            </w:r>
            <w:r>
              <w:rPr>
                <w:rFonts w:hint="eastAsia" w:ascii="Times New Roman" w:hAnsi="Times New Roman" w:eastAsia="宋体"/>
                <w:i/>
                <w:iCs/>
                <w:color w:val="auto"/>
                <w:sz w:val="24"/>
                <w:szCs w:val="24"/>
                <w:highlight w:val="none"/>
                <w:vertAlign w:val="baseline"/>
                <w:lang w:val="en-US" w:eastAsia="zh-CN"/>
              </w:rPr>
              <w:t>T</w:t>
            </w:r>
            <w:r>
              <w:rPr>
                <w:rFonts w:hint="eastAsia" w:ascii="Times New Roman" w:hAnsi="Times New Roman" w:eastAsia="宋体"/>
                <w:i w:val="0"/>
                <w:iCs w:val="0"/>
                <w:color w:val="auto"/>
                <w:sz w:val="24"/>
                <w:szCs w:val="24"/>
                <w:highlight w:val="none"/>
                <w:vertAlign w:val="baseline"/>
                <w:lang w:val="en-US" w:eastAsia="zh-CN"/>
              </w:rPr>
              <w:t>时间内i声源工作时间，s；</w:t>
            </w:r>
          </w:p>
          <w:p w14:paraId="614B9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default"/>
                <w:color w:val="auto"/>
                <w:sz w:val="24"/>
                <w:szCs w:val="24"/>
                <w:highlight w:val="none"/>
                <w:lang w:val="en-US" w:eastAsia="zh-CN"/>
              </w:rPr>
            </w:pPr>
            <w:r>
              <w:rPr>
                <w:rFonts w:hint="eastAsia"/>
                <w:i/>
                <w:iCs/>
                <w:color w:val="auto"/>
                <w:sz w:val="24"/>
                <w:szCs w:val="24"/>
                <w:highlight w:val="none"/>
                <w:lang w:val="en-US" w:eastAsia="zh-CN"/>
              </w:rPr>
              <w:t>M</w:t>
            </w:r>
            <w:r>
              <w:rPr>
                <w:rFonts w:hint="eastAsia"/>
                <w:color w:val="auto"/>
                <w:sz w:val="24"/>
                <w:szCs w:val="24"/>
                <w:highlight w:val="none"/>
                <w:lang w:val="en-US" w:eastAsia="zh-CN"/>
              </w:rPr>
              <w:t>—等效室外声源个数；</w:t>
            </w:r>
          </w:p>
          <w:p w14:paraId="33E8CD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default"/>
                <w:color w:val="auto"/>
                <w:sz w:val="24"/>
                <w:szCs w:val="24"/>
                <w:highlight w:val="none"/>
                <w:lang w:val="en-US" w:eastAsia="zh-CN"/>
              </w:rPr>
            </w:pPr>
            <w:r>
              <w:rPr>
                <w:rFonts w:hint="eastAsia" w:ascii="Times New Roman" w:hAnsi="Times New Roman" w:eastAsia="宋体"/>
                <w:i/>
                <w:iCs/>
                <w:color w:val="auto"/>
                <w:sz w:val="24"/>
                <w:szCs w:val="24"/>
                <w:highlight w:val="none"/>
                <w:lang w:val="en-US" w:eastAsia="zh-CN"/>
              </w:rPr>
              <w:t>t</w:t>
            </w:r>
            <w:r>
              <w:rPr>
                <w:rFonts w:hint="eastAsia" w:ascii="Times New Roman" w:hAnsi="Times New Roman" w:eastAsia="宋体"/>
                <w:i/>
                <w:iCs/>
                <w:color w:val="auto"/>
                <w:sz w:val="24"/>
                <w:szCs w:val="24"/>
                <w:highlight w:val="none"/>
                <w:vertAlign w:val="subscript"/>
                <w:lang w:val="en-US" w:eastAsia="zh-CN"/>
              </w:rPr>
              <w:t xml:space="preserve">j </w:t>
            </w:r>
            <w:r>
              <w:rPr>
                <w:rFonts w:hint="eastAsia" w:ascii="Times New Roman" w:hAnsi="Times New Roman" w:eastAsia="宋体"/>
                <w:i/>
                <w:iCs/>
                <w:color w:val="auto"/>
                <w:sz w:val="24"/>
                <w:szCs w:val="24"/>
                <w:highlight w:val="none"/>
                <w:vertAlign w:val="baseline"/>
                <w:lang w:val="en-US" w:eastAsia="zh-CN"/>
              </w:rPr>
              <w:t>—</w:t>
            </w:r>
            <w:r>
              <w:rPr>
                <w:rFonts w:hint="eastAsia" w:ascii="Times New Roman" w:hAnsi="Times New Roman" w:eastAsia="宋体"/>
                <w:i w:val="0"/>
                <w:iCs w:val="0"/>
                <w:color w:val="auto"/>
                <w:sz w:val="24"/>
                <w:szCs w:val="24"/>
                <w:highlight w:val="none"/>
                <w:vertAlign w:val="baseline"/>
                <w:lang w:val="en-US" w:eastAsia="zh-CN"/>
              </w:rPr>
              <w:t>在</w:t>
            </w:r>
            <w:r>
              <w:rPr>
                <w:rFonts w:hint="eastAsia" w:ascii="Times New Roman" w:hAnsi="Times New Roman" w:eastAsia="宋体"/>
                <w:i/>
                <w:iCs/>
                <w:color w:val="auto"/>
                <w:sz w:val="24"/>
                <w:szCs w:val="24"/>
                <w:highlight w:val="none"/>
                <w:vertAlign w:val="baseline"/>
                <w:lang w:val="en-US" w:eastAsia="zh-CN"/>
              </w:rPr>
              <w:t>T</w:t>
            </w:r>
            <w:r>
              <w:rPr>
                <w:rFonts w:hint="eastAsia" w:ascii="Times New Roman" w:hAnsi="Times New Roman" w:eastAsia="宋体"/>
                <w:i w:val="0"/>
                <w:iCs w:val="0"/>
                <w:color w:val="auto"/>
                <w:sz w:val="24"/>
                <w:szCs w:val="24"/>
                <w:highlight w:val="none"/>
                <w:vertAlign w:val="baseline"/>
                <w:lang w:val="en-US" w:eastAsia="zh-CN"/>
              </w:rPr>
              <w:t>时间内j声源工作时间，s；</w:t>
            </w:r>
          </w:p>
          <w:p w14:paraId="1EB55635">
            <w:pPr>
              <w:pStyle w:val="12"/>
              <w:spacing w:after="0" w:line="360" w:lineRule="auto"/>
              <w:ind w:left="0" w:leftChars="0" w:right="0" w:rightChars="0" w:firstLine="480" w:firstLineChars="200"/>
              <w:rPr>
                <w:rFonts w:hint="default" w:eastAsia="宋体"/>
                <w:color w:val="auto"/>
                <w:sz w:val="24"/>
                <w:lang w:val="en-US" w:eastAsia="zh-CN"/>
              </w:rPr>
            </w:pPr>
            <w:r>
              <w:rPr>
                <w:rFonts w:hint="eastAsia"/>
                <w:color w:val="auto"/>
                <w:sz w:val="24"/>
              </w:rPr>
              <w:t>本项目为新建项目，结合工程分析可知，采用《环境影响评价技术导则 声环境》（HJ2.4-2021）推荐的噪声预测模式，预测分析本项目建成投产后其厂界噪声贡献值情况见表</w:t>
            </w:r>
            <w:r>
              <w:rPr>
                <w:rFonts w:hint="eastAsia"/>
                <w:color w:val="auto"/>
                <w:sz w:val="24"/>
                <w:lang w:val="en-US" w:eastAsia="zh-CN"/>
              </w:rPr>
              <w:t>4-6</w:t>
            </w:r>
            <w:r>
              <w:rPr>
                <w:rFonts w:hint="eastAsia"/>
                <w:color w:val="auto"/>
                <w:sz w:val="24"/>
              </w:rPr>
              <w:t>。</w:t>
            </w:r>
          </w:p>
          <w:p w14:paraId="090898D7">
            <w:pPr>
              <w:pStyle w:val="12"/>
              <w:spacing w:after="0"/>
              <w:ind w:left="0" w:leftChars="0" w:right="0" w:rightChars="0"/>
              <w:jc w:val="center"/>
              <w:rPr>
                <w:b/>
                <w:bCs/>
                <w:color w:val="auto"/>
                <w:szCs w:val="21"/>
              </w:rPr>
            </w:pPr>
            <w:r>
              <w:rPr>
                <w:rFonts w:hint="eastAsia"/>
                <w:b/>
                <w:bCs/>
                <w:color w:val="auto"/>
                <w:szCs w:val="21"/>
              </w:rPr>
              <w:t>表4-</w:t>
            </w:r>
            <w:r>
              <w:rPr>
                <w:rFonts w:hint="eastAsia"/>
                <w:b/>
                <w:bCs/>
                <w:color w:val="auto"/>
                <w:szCs w:val="21"/>
                <w:lang w:val="en-US" w:eastAsia="zh-CN"/>
              </w:rPr>
              <w:t>6</w:t>
            </w:r>
            <w:r>
              <w:rPr>
                <w:rFonts w:hint="eastAsia"/>
                <w:b/>
                <w:bCs/>
                <w:color w:val="auto"/>
                <w:szCs w:val="21"/>
              </w:rPr>
              <w:t xml:space="preserve">  噪声预测结果一览表  单位：dB(A)</w:t>
            </w:r>
          </w:p>
          <w:tbl>
            <w:tblPr>
              <w:tblStyle w:val="2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332"/>
              <w:gridCol w:w="919"/>
              <w:gridCol w:w="1100"/>
              <w:gridCol w:w="1130"/>
              <w:gridCol w:w="1175"/>
              <w:gridCol w:w="1306"/>
            </w:tblGrid>
            <w:tr w14:paraId="562FBA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noWrap w:val="0"/>
                  <w:vAlign w:val="center"/>
                </w:tcPr>
                <w:p w14:paraId="2C76E851">
                  <w:pPr>
                    <w:pStyle w:val="12"/>
                    <w:spacing w:after="0"/>
                    <w:ind w:left="0" w:leftChars="0" w:right="0" w:rightChars="0"/>
                    <w:jc w:val="center"/>
                    <w:rPr>
                      <w:b/>
                      <w:bCs/>
                      <w:color w:val="auto"/>
                      <w:szCs w:val="21"/>
                    </w:rPr>
                  </w:pPr>
                  <w:r>
                    <w:rPr>
                      <w:rFonts w:hint="eastAsia"/>
                      <w:b/>
                      <w:bCs/>
                      <w:color w:val="auto"/>
                      <w:szCs w:val="21"/>
                    </w:rPr>
                    <w:t>预测点位置</w:t>
                  </w:r>
                </w:p>
              </w:tc>
              <w:tc>
                <w:tcPr>
                  <w:tcW w:w="833" w:type="pct"/>
                  <w:noWrap w:val="0"/>
                  <w:vAlign w:val="center"/>
                </w:tcPr>
                <w:p w14:paraId="366F8D63">
                  <w:pPr>
                    <w:pStyle w:val="12"/>
                    <w:spacing w:after="0"/>
                    <w:ind w:left="0" w:leftChars="0" w:right="0" w:rightChars="0"/>
                    <w:jc w:val="center"/>
                    <w:rPr>
                      <w:b/>
                      <w:bCs/>
                      <w:color w:val="auto"/>
                      <w:szCs w:val="21"/>
                    </w:rPr>
                  </w:pPr>
                  <w:r>
                    <w:rPr>
                      <w:rFonts w:hint="eastAsia"/>
                      <w:b/>
                      <w:bCs/>
                      <w:color w:val="auto"/>
                      <w:szCs w:val="21"/>
                    </w:rPr>
                    <w:t>降噪后设备叠加源强</w:t>
                  </w:r>
                </w:p>
              </w:tc>
              <w:tc>
                <w:tcPr>
                  <w:tcW w:w="575" w:type="pct"/>
                  <w:noWrap w:val="0"/>
                  <w:vAlign w:val="center"/>
                </w:tcPr>
                <w:p w14:paraId="4E067B57">
                  <w:pPr>
                    <w:pStyle w:val="12"/>
                    <w:spacing w:after="0"/>
                    <w:ind w:left="0" w:leftChars="0" w:right="0" w:rightChars="0"/>
                    <w:jc w:val="center"/>
                    <w:rPr>
                      <w:b/>
                      <w:bCs/>
                      <w:color w:val="auto"/>
                      <w:szCs w:val="21"/>
                    </w:rPr>
                  </w:pPr>
                  <w:r>
                    <w:rPr>
                      <w:rFonts w:hint="eastAsia"/>
                      <w:b/>
                      <w:bCs/>
                      <w:color w:val="auto"/>
                      <w:szCs w:val="21"/>
                    </w:rPr>
                    <w:t>设备距离m</w:t>
                  </w:r>
                </w:p>
              </w:tc>
              <w:tc>
                <w:tcPr>
                  <w:tcW w:w="688" w:type="pct"/>
                  <w:noWrap w:val="0"/>
                  <w:vAlign w:val="center"/>
                </w:tcPr>
                <w:p w14:paraId="2F16D95B">
                  <w:pPr>
                    <w:pStyle w:val="12"/>
                    <w:spacing w:after="0"/>
                    <w:ind w:left="0" w:leftChars="0" w:right="0" w:rightChars="0"/>
                    <w:jc w:val="center"/>
                    <w:rPr>
                      <w:b/>
                      <w:bCs/>
                      <w:color w:val="auto"/>
                      <w:szCs w:val="21"/>
                    </w:rPr>
                  </w:pPr>
                  <w:r>
                    <w:rPr>
                      <w:rFonts w:hint="eastAsia"/>
                      <w:b/>
                      <w:bCs/>
                      <w:color w:val="auto"/>
                      <w:szCs w:val="21"/>
                    </w:rPr>
                    <w:t>时段</w:t>
                  </w:r>
                </w:p>
              </w:tc>
              <w:tc>
                <w:tcPr>
                  <w:tcW w:w="707" w:type="pct"/>
                  <w:noWrap w:val="0"/>
                  <w:vAlign w:val="center"/>
                </w:tcPr>
                <w:p w14:paraId="1EAA1E2B">
                  <w:pPr>
                    <w:pStyle w:val="12"/>
                    <w:spacing w:after="0"/>
                    <w:ind w:left="0" w:leftChars="0" w:right="0" w:rightChars="0"/>
                    <w:jc w:val="center"/>
                    <w:rPr>
                      <w:b/>
                      <w:bCs/>
                      <w:color w:val="auto"/>
                      <w:szCs w:val="21"/>
                    </w:rPr>
                  </w:pPr>
                  <w:r>
                    <w:rPr>
                      <w:rFonts w:hint="eastAsia"/>
                      <w:b/>
                      <w:bCs/>
                      <w:color w:val="auto"/>
                      <w:szCs w:val="21"/>
                    </w:rPr>
                    <w:t>项目噪声预测值</w:t>
                  </w:r>
                </w:p>
              </w:tc>
              <w:tc>
                <w:tcPr>
                  <w:tcW w:w="735" w:type="pct"/>
                  <w:noWrap w:val="0"/>
                  <w:vAlign w:val="center"/>
                </w:tcPr>
                <w:p w14:paraId="0836E227">
                  <w:pPr>
                    <w:pStyle w:val="12"/>
                    <w:spacing w:after="0"/>
                    <w:ind w:left="0" w:leftChars="0" w:right="0" w:rightChars="0"/>
                    <w:jc w:val="center"/>
                    <w:rPr>
                      <w:rFonts w:hint="eastAsia" w:eastAsia="宋体"/>
                      <w:b/>
                      <w:bCs/>
                      <w:color w:val="auto"/>
                      <w:szCs w:val="21"/>
                      <w:lang w:eastAsia="zh-CN"/>
                    </w:rPr>
                  </w:pPr>
                  <w:r>
                    <w:rPr>
                      <w:rFonts w:hint="eastAsia"/>
                      <w:b/>
                      <w:bCs/>
                      <w:color w:val="auto"/>
                      <w:szCs w:val="21"/>
                    </w:rPr>
                    <w:t>评价标准</w:t>
                  </w:r>
                  <w:r>
                    <w:rPr>
                      <w:rFonts w:hint="eastAsia"/>
                      <w:b/>
                      <w:bCs/>
                      <w:color w:val="auto"/>
                      <w:szCs w:val="21"/>
                      <w:lang w:eastAsia="zh-CN"/>
                    </w:rPr>
                    <w:t>（</w:t>
                  </w:r>
                  <w:r>
                    <w:rPr>
                      <w:rFonts w:hint="eastAsia"/>
                      <w:b/>
                      <w:bCs/>
                      <w:color w:val="auto"/>
                      <w:szCs w:val="21"/>
                      <w:lang w:val="en-US" w:eastAsia="zh-CN"/>
                    </w:rPr>
                    <w:t>昼/夜</w:t>
                  </w:r>
                  <w:r>
                    <w:rPr>
                      <w:rFonts w:hint="eastAsia"/>
                      <w:b/>
                      <w:bCs/>
                      <w:color w:val="auto"/>
                      <w:szCs w:val="21"/>
                      <w:lang w:eastAsia="zh-CN"/>
                    </w:rPr>
                    <w:t>）</w:t>
                  </w:r>
                </w:p>
              </w:tc>
              <w:tc>
                <w:tcPr>
                  <w:tcW w:w="817" w:type="pct"/>
                  <w:noWrap w:val="0"/>
                  <w:vAlign w:val="center"/>
                </w:tcPr>
                <w:p w14:paraId="2D347820">
                  <w:pPr>
                    <w:pStyle w:val="12"/>
                    <w:spacing w:after="0"/>
                    <w:ind w:left="0" w:leftChars="0" w:right="0" w:rightChars="0"/>
                    <w:jc w:val="center"/>
                    <w:rPr>
                      <w:b/>
                      <w:bCs/>
                      <w:color w:val="auto"/>
                      <w:szCs w:val="21"/>
                    </w:rPr>
                  </w:pPr>
                  <w:r>
                    <w:rPr>
                      <w:rFonts w:hint="eastAsia"/>
                      <w:b/>
                      <w:bCs/>
                      <w:color w:val="auto"/>
                      <w:szCs w:val="21"/>
                      <w:lang w:val="en-US" w:eastAsia="zh-CN"/>
                    </w:rPr>
                    <w:t>达</w:t>
                  </w:r>
                  <w:r>
                    <w:rPr>
                      <w:rFonts w:hint="eastAsia"/>
                      <w:b/>
                      <w:bCs/>
                      <w:color w:val="auto"/>
                      <w:szCs w:val="21"/>
                    </w:rPr>
                    <w:t>标情况</w:t>
                  </w:r>
                  <w:r>
                    <w:rPr>
                      <w:rFonts w:hint="eastAsia"/>
                      <w:b/>
                      <w:bCs/>
                      <w:color w:val="auto"/>
                      <w:szCs w:val="21"/>
                      <w:lang w:eastAsia="zh-CN"/>
                    </w:rPr>
                    <w:t>（</w:t>
                  </w:r>
                  <w:r>
                    <w:rPr>
                      <w:rFonts w:hint="eastAsia"/>
                      <w:b/>
                      <w:bCs/>
                      <w:color w:val="auto"/>
                      <w:szCs w:val="21"/>
                      <w:lang w:val="en-US" w:eastAsia="zh-CN"/>
                    </w:rPr>
                    <w:t>昼/夜</w:t>
                  </w:r>
                  <w:r>
                    <w:rPr>
                      <w:rFonts w:hint="eastAsia"/>
                      <w:b/>
                      <w:bCs/>
                      <w:color w:val="auto"/>
                      <w:szCs w:val="21"/>
                      <w:lang w:eastAsia="zh-CN"/>
                    </w:rPr>
                    <w:t>）</w:t>
                  </w:r>
                </w:p>
              </w:tc>
            </w:tr>
            <w:tr w14:paraId="41AFF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noWrap w:val="0"/>
                  <w:vAlign w:val="center"/>
                </w:tcPr>
                <w:p w14:paraId="292E1332">
                  <w:pPr>
                    <w:pStyle w:val="12"/>
                    <w:spacing w:after="0"/>
                    <w:ind w:left="0" w:leftChars="0" w:right="0" w:rightChars="0"/>
                    <w:jc w:val="center"/>
                    <w:rPr>
                      <w:color w:val="auto"/>
                      <w:szCs w:val="21"/>
                    </w:rPr>
                  </w:pPr>
                  <w:r>
                    <w:rPr>
                      <w:rFonts w:hint="eastAsia"/>
                      <w:color w:val="auto"/>
                      <w:szCs w:val="21"/>
                    </w:rPr>
                    <w:t>东</w:t>
                  </w:r>
                  <w:r>
                    <w:rPr>
                      <w:rFonts w:hint="eastAsia"/>
                      <w:color w:val="auto"/>
                      <w:szCs w:val="21"/>
                      <w:lang w:val="en-US" w:eastAsia="zh-CN"/>
                    </w:rPr>
                    <w:t>北</w:t>
                  </w:r>
                  <w:r>
                    <w:rPr>
                      <w:rFonts w:hint="eastAsia"/>
                      <w:color w:val="auto"/>
                      <w:szCs w:val="21"/>
                    </w:rPr>
                    <w:t>厂界外1m</w:t>
                  </w:r>
                </w:p>
              </w:tc>
              <w:tc>
                <w:tcPr>
                  <w:tcW w:w="833" w:type="pct"/>
                  <w:vMerge w:val="restart"/>
                  <w:noWrap w:val="0"/>
                  <w:vAlign w:val="center"/>
                </w:tcPr>
                <w:p w14:paraId="7687719C">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77.5</w:t>
                  </w:r>
                </w:p>
              </w:tc>
              <w:tc>
                <w:tcPr>
                  <w:tcW w:w="575" w:type="pct"/>
                  <w:noWrap w:val="0"/>
                  <w:vAlign w:val="center"/>
                </w:tcPr>
                <w:p w14:paraId="3D0430AE">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39</w:t>
                  </w:r>
                </w:p>
              </w:tc>
              <w:tc>
                <w:tcPr>
                  <w:tcW w:w="688" w:type="pct"/>
                  <w:noWrap w:val="0"/>
                  <w:vAlign w:val="center"/>
                </w:tcPr>
                <w:p w14:paraId="738680B8">
                  <w:pPr>
                    <w:pStyle w:val="12"/>
                    <w:spacing w:after="0"/>
                    <w:ind w:left="0" w:leftChars="0" w:right="0" w:rightChars="0"/>
                    <w:jc w:val="center"/>
                    <w:rPr>
                      <w:rFonts w:hint="default" w:eastAsia="宋体"/>
                      <w:color w:val="auto"/>
                      <w:szCs w:val="21"/>
                      <w:lang w:val="en-US" w:eastAsia="zh-CN"/>
                    </w:rPr>
                  </w:pPr>
                  <w:r>
                    <w:rPr>
                      <w:rFonts w:hint="eastAsia"/>
                      <w:color w:val="auto"/>
                      <w:szCs w:val="21"/>
                    </w:rPr>
                    <w:t>昼</w:t>
                  </w:r>
                  <w:r>
                    <w:rPr>
                      <w:rFonts w:hint="eastAsia"/>
                      <w:color w:val="auto"/>
                      <w:szCs w:val="21"/>
                      <w:lang w:eastAsia="zh-CN"/>
                    </w:rPr>
                    <w:t>、</w:t>
                  </w:r>
                  <w:r>
                    <w:rPr>
                      <w:rFonts w:hint="eastAsia"/>
                      <w:color w:val="auto"/>
                      <w:szCs w:val="21"/>
                      <w:lang w:val="en-US" w:eastAsia="zh-CN"/>
                    </w:rPr>
                    <w:t>夜</w:t>
                  </w:r>
                </w:p>
              </w:tc>
              <w:tc>
                <w:tcPr>
                  <w:tcW w:w="707" w:type="pct"/>
                  <w:noWrap w:val="0"/>
                  <w:vAlign w:val="center"/>
                </w:tcPr>
                <w:p w14:paraId="3FE27A28">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46</w:t>
                  </w:r>
                </w:p>
              </w:tc>
              <w:tc>
                <w:tcPr>
                  <w:tcW w:w="735" w:type="pct"/>
                  <w:noWrap w:val="0"/>
                  <w:vAlign w:val="center"/>
                </w:tcPr>
                <w:p w14:paraId="4EFD6142">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60/50</w:t>
                  </w:r>
                </w:p>
              </w:tc>
              <w:tc>
                <w:tcPr>
                  <w:tcW w:w="817" w:type="pct"/>
                  <w:noWrap w:val="0"/>
                  <w:vAlign w:val="center"/>
                </w:tcPr>
                <w:p w14:paraId="66D53649">
                  <w:pPr>
                    <w:pStyle w:val="12"/>
                    <w:spacing w:after="0"/>
                    <w:ind w:left="0" w:leftChars="0" w:right="0" w:rightChars="0"/>
                    <w:jc w:val="center"/>
                    <w:rPr>
                      <w:color w:val="auto"/>
                      <w:szCs w:val="21"/>
                    </w:rPr>
                  </w:pPr>
                  <w:r>
                    <w:rPr>
                      <w:rFonts w:hint="eastAsia"/>
                      <w:color w:val="auto"/>
                      <w:szCs w:val="21"/>
                    </w:rPr>
                    <w:t>达标</w:t>
                  </w:r>
                  <w:r>
                    <w:rPr>
                      <w:rFonts w:hint="eastAsia"/>
                      <w:color w:val="auto"/>
                      <w:szCs w:val="21"/>
                      <w:lang w:val="en-US" w:eastAsia="zh-CN"/>
                    </w:rPr>
                    <w:t>/达标</w:t>
                  </w:r>
                </w:p>
              </w:tc>
            </w:tr>
            <w:tr w14:paraId="18123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noWrap w:val="0"/>
                  <w:vAlign w:val="center"/>
                </w:tcPr>
                <w:p w14:paraId="773B8889">
                  <w:pPr>
                    <w:pStyle w:val="12"/>
                    <w:spacing w:after="0"/>
                    <w:ind w:left="0" w:leftChars="0" w:right="0" w:rightChars="0"/>
                    <w:jc w:val="center"/>
                    <w:rPr>
                      <w:color w:val="auto"/>
                      <w:szCs w:val="21"/>
                    </w:rPr>
                  </w:pPr>
                  <w:r>
                    <w:rPr>
                      <w:rFonts w:hint="eastAsia"/>
                      <w:color w:val="auto"/>
                      <w:szCs w:val="21"/>
                      <w:lang w:val="en-US" w:eastAsia="zh-CN"/>
                    </w:rPr>
                    <w:t>西</w:t>
                  </w:r>
                  <w:r>
                    <w:rPr>
                      <w:rFonts w:hint="eastAsia"/>
                      <w:color w:val="auto"/>
                      <w:szCs w:val="21"/>
                    </w:rPr>
                    <w:t>北厂界外1m</w:t>
                  </w:r>
                </w:p>
              </w:tc>
              <w:tc>
                <w:tcPr>
                  <w:tcW w:w="833" w:type="pct"/>
                  <w:vMerge w:val="continue"/>
                  <w:noWrap w:val="0"/>
                  <w:vAlign w:val="center"/>
                </w:tcPr>
                <w:p w14:paraId="321B0D55">
                  <w:pPr>
                    <w:pStyle w:val="12"/>
                    <w:spacing w:after="0"/>
                    <w:ind w:left="0" w:leftChars="0" w:right="0" w:rightChars="0"/>
                    <w:jc w:val="center"/>
                    <w:rPr>
                      <w:color w:val="auto"/>
                      <w:szCs w:val="21"/>
                    </w:rPr>
                  </w:pPr>
                </w:p>
              </w:tc>
              <w:tc>
                <w:tcPr>
                  <w:tcW w:w="575" w:type="pct"/>
                  <w:noWrap w:val="0"/>
                  <w:vAlign w:val="center"/>
                </w:tcPr>
                <w:p w14:paraId="3CF8A576">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48</w:t>
                  </w:r>
                </w:p>
              </w:tc>
              <w:tc>
                <w:tcPr>
                  <w:tcW w:w="688" w:type="pct"/>
                  <w:noWrap w:val="0"/>
                  <w:vAlign w:val="center"/>
                </w:tcPr>
                <w:p w14:paraId="71BFA0F1">
                  <w:pPr>
                    <w:spacing w:after="0"/>
                    <w:ind w:left="0" w:leftChars="0" w:right="0" w:rightChars="0"/>
                    <w:jc w:val="center"/>
                    <w:rPr>
                      <w:color w:val="auto"/>
                      <w:szCs w:val="21"/>
                    </w:rPr>
                  </w:pPr>
                  <w:r>
                    <w:rPr>
                      <w:rFonts w:hint="eastAsia"/>
                      <w:color w:val="auto"/>
                      <w:szCs w:val="21"/>
                    </w:rPr>
                    <w:t>昼</w:t>
                  </w:r>
                  <w:r>
                    <w:rPr>
                      <w:rFonts w:hint="eastAsia"/>
                      <w:color w:val="auto"/>
                      <w:szCs w:val="21"/>
                      <w:lang w:eastAsia="zh-CN"/>
                    </w:rPr>
                    <w:t>、</w:t>
                  </w:r>
                  <w:r>
                    <w:rPr>
                      <w:rFonts w:hint="eastAsia"/>
                      <w:color w:val="auto"/>
                      <w:szCs w:val="21"/>
                      <w:lang w:val="en-US" w:eastAsia="zh-CN"/>
                    </w:rPr>
                    <w:t>夜</w:t>
                  </w:r>
                </w:p>
              </w:tc>
              <w:tc>
                <w:tcPr>
                  <w:tcW w:w="707" w:type="pct"/>
                  <w:noWrap w:val="0"/>
                  <w:vAlign w:val="center"/>
                </w:tcPr>
                <w:p w14:paraId="16D8C01A">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44</w:t>
                  </w:r>
                </w:p>
              </w:tc>
              <w:tc>
                <w:tcPr>
                  <w:tcW w:w="735" w:type="pct"/>
                  <w:noWrap w:val="0"/>
                  <w:vAlign w:val="center"/>
                </w:tcPr>
                <w:p w14:paraId="6A031DF7">
                  <w:pPr>
                    <w:spacing w:after="0"/>
                    <w:ind w:left="0" w:leftChars="0" w:right="0" w:rightChars="0"/>
                    <w:jc w:val="center"/>
                    <w:rPr>
                      <w:rFonts w:hint="default"/>
                      <w:color w:val="auto"/>
                      <w:szCs w:val="21"/>
                      <w:lang w:val="en-US"/>
                    </w:rPr>
                  </w:pPr>
                  <w:r>
                    <w:rPr>
                      <w:rFonts w:hint="eastAsia"/>
                      <w:color w:val="auto"/>
                      <w:szCs w:val="21"/>
                      <w:lang w:val="en-US" w:eastAsia="zh-CN"/>
                    </w:rPr>
                    <w:t>60/50</w:t>
                  </w:r>
                </w:p>
              </w:tc>
              <w:tc>
                <w:tcPr>
                  <w:tcW w:w="817" w:type="pct"/>
                  <w:noWrap w:val="0"/>
                  <w:vAlign w:val="center"/>
                </w:tcPr>
                <w:p w14:paraId="0216588C">
                  <w:pPr>
                    <w:pStyle w:val="12"/>
                    <w:spacing w:after="0"/>
                    <w:ind w:left="0" w:leftChars="0" w:right="0" w:rightChars="0"/>
                    <w:jc w:val="center"/>
                    <w:rPr>
                      <w:color w:val="auto"/>
                      <w:szCs w:val="21"/>
                    </w:rPr>
                  </w:pPr>
                  <w:r>
                    <w:rPr>
                      <w:rFonts w:hint="eastAsia"/>
                      <w:color w:val="auto"/>
                      <w:szCs w:val="21"/>
                    </w:rPr>
                    <w:t>达标</w:t>
                  </w:r>
                  <w:r>
                    <w:rPr>
                      <w:rFonts w:hint="eastAsia"/>
                      <w:color w:val="auto"/>
                      <w:szCs w:val="21"/>
                      <w:lang w:val="en-US" w:eastAsia="zh-CN"/>
                    </w:rPr>
                    <w:t>/达标</w:t>
                  </w:r>
                </w:p>
              </w:tc>
            </w:tr>
            <w:tr w14:paraId="3FBFA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noWrap w:val="0"/>
                  <w:vAlign w:val="center"/>
                </w:tcPr>
                <w:p w14:paraId="047BA681">
                  <w:pPr>
                    <w:pStyle w:val="12"/>
                    <w:spacing w:after="0"/>
                    <w:ind w:left="0" w:leftChars="0" w:right="0" w:rightChars="0"/>
                    <w:jc w:val="center"/>
                    <w:rPr>
                      <w:color w:val="auto"/>
                      <w:szCs w:val="21"/>
                    </w:rPr>
                  </w:pPr>
                  <w:r>
                    <w:rPr>
                      <w:rFonts w:hint="eastAsia"/>
                      <w:color w:val="auto"/>
                      <w:szCs w:val="21"/>
                      <w:lang w:val="en-US" w:eastAsia="zh-CN"/>
                    </w:rPr>
                    <w:t>东</w:t>
                  </w:r>
                  <w:r>
                    <w:rPr>
                      <w:rFonts w:hint="eastAsia"/>
                      <w:color w:val="auto"/>
                      <w:szCs w:val="21"/>
                    </w:rPr>
                    <w:t>南厂界外1m</w:t>
                  </w:r>
                </w:p>
              </w:tc>
              <w:tc>
                <w:tcPr>
                  <w:tcW w:w="833" w:type="pct"/>
                  <w:vMerge w:val="continue"/>
                  <w:noWrap w:val="0"/>
                  <w:vAlign w:val="center"/>
                </w:tcPr>
                <w:p w14:paraId="7B5DA8C4">
                  <w:pPr>
                    <w:pStyle w:val="12"/>
                    <w:spacing w:after="0"/>
                    <w:ind w:left="0" w:leftChars="0" w:right="0" w:rightChars="0"/>
                    <w:jc w:val="center"/>
                    <w:rPr>
                      <w:color w:val="auto"/>
                      <w:szCs w:val="21"/>
                    </w:rPr>
                  </w:pPr>
                </w:p>
              </w:tc>
              <w:tc>
                <w:tcPr>
                  <w:tcW w:w="575" w:type="pct"/>
                  <w:noWrap w:val="0"/>
                  <w:vAlign w:val="center"/>
                </w:tcPr>
                <w:p w14:paraId="0539F16B">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53</w:t>
                  </w:r>
                </w:p>
              </w:tc>
              <w:tc>
                <w:tcPr>
                  <w:tcW w:w="688" w:type="pct"/>
                  <w:noWrap w:val="0"/>
                  <w:vAlign w:val="center"/>
                </w:tcPr>
                <w:p w14:paraId="5A3C22FC">
                  <w:pPr>
                    <w:spacing w:after="0"/>
                    <w:ind w:left="0" w:leftChars="0" w:right="0" w:rightChars="0"/>
                    <w:jc w:val="center"/>
                    <w:rPr>
                      <w:color w:val="auto"/>
                      <w:szCs w:val="21"/>
                    </w:rPr>
                  </w:pPr>
                  <w:r>
                    <w:rPr>
                      <w:rFonts w:hint="eastAsia"/>
                      <w:color w:val="auto"/>
                      <w:szCs w:val="21"/>
                    </w:rPr>
                    <w:t>昼</w:t>
                  </w:r>
                  <w:r>
                    <w:rPr>
                      <w:rFonts w:hint="eastAsia"/>
                      <w:color w:val="auto"/>
                      <w:szCs w:val="21"/>
                      <w:lang w:eastAsia="zh-CN"/>
                    </w:rPr>
                    <w:t>、</w:t>
                  </w:r>
                  <w:r>
                    <w:rPr>
                      <w:rFonts w:hint="eastAsia"/>
                      <w:color w:val="auto"/>
                      <w:szCs w:val="21"/>
                      <w:lang w:val="en-US" w:eastAsia="zh-CN"/>
                    </w:rPr>
                    <w:t>夜</w:t>
                  </w:r>
                </w:p>
              </w:tc>
              <w:tc>
                <w:tcPr>
                  <w:tcW w:w="707" w:type="pct"/>
                  <w:noWrap w:val="0"/>
                  <w:vAlign w:val="center"/>
                </w:tcPr>
                <w:p w14:paraId="2DD0BCAC">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43</w:t>
                  </w:r>
                </w:p>
              </w:tc>
              <w:tc>
                <w:tcPr>
                  <w:tcW w:w="735" w:type="pct"/>
                  <w:noWrap w:val="0"/>
                  <w:vAlign w:val="center"/>
                </w:tcPr>
                <w:p w14:paraId="1F05F434">
                  <w:pPr>
                    <w:spacing w:after="0"/>
                    <w:ind w:left="0" w:leftChars="0" w:right="0" w:rightChars="0"/>
                    <w:jc w:val="center"/>
                    <w:rPr>
                      <w:rFonts w:hint="default"/>
                      <w:color w:val="auto"/>
                      <w:szCs w:val="21"/>
                      <w:lang w:val="en-US"/>
                    </w:rPr>
                  </w:pPr>
                  <w:r>
                    <w:rPr>
                      <w:rFonts w:hint="eastAsia"/>
                      <w:color w:val="auto"/>
                      <w:szCs w:val="21"/>
                      <w:lang w:val="en-US" w:eastAsia="zh-CN"/>
                    </w:rPr>
                    <w:t>60/50</w:t>
                  </w:r>
                </w:p>
              </w:tc>
              <w:tc>
                <w:tcPr>
                  <w:tcW w:w="817" w:type="pct"/>
                  <w:noWrap w:val="0"/>
                  <w:vAlign w:val="center"/>
                </w:tcPr>
                <w:p w14:paraId="2758C9CC">
                  <w:pPr>
                    <w:pStyle w:val="12"/>
                    <w:spacing w:after="0"/>
                    <w:ind w:left="0" w:leftChars="0" w:right="0" w:rightChars="0"/>
                    <w:jc w:val="center"/>
                    <w:rPr>
                      <w:color w:val="auto"/>
                      <w:szCs w:val="21"/>
                    </w:rPr>
                  </w:pPr>
                  <w:r>
                    <w:rPr>
                      <w:rFonts w:hint="eastAsia"/>
                      <w:color w:val="auto"/>
                      <w:szCs w:val="21"/>
                    </w:rPr>
                    <w:t>达标</w:t>
                  </w:r>
                  <w:r>
                    <w:rPr>
                      <w:rFonts w:hint="eastAsia"/>
                      <w:color w:val="auto"/>
                      <w:szCs w:val="21"/>
                      <w:lang w:val="en-US" w:eastAsia="zh-CN"/>
                    </w:rPr>
                    <w:t>/达标</w:t>
                  </w:r>
                </w:p>
              </w:tc>
            </w:tr>
            <w:tr w14:paraId="718B28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noWrap w:val="0"/>
                  <w:vAlign w:val="center"/>
                </w:tcPr>
                <w:p w14:paraId="44AAD86D">
                  <w:pPr>
                    <w:pStyle w:val="12"/>
                    <w:spacing w:after="0"/>
                    <w:ind w:left="0" w:leftChars="0" w:right="0" w:rightChars="0"/>
                    <w:jc w:val="center"/>
                    <w:rPr>
                      <w:color w:val="auto"/>
                      <w:szCs w:val="21"/>
                    </w:rPr>
                  </w:pPr>
                  <w:r>
                    <w:rPr>
                      <w:rFonts w:hint="eastAsia"/>
                      <w:color w:val="auto"/>
                      <w:szCs w:val="21"/>
                    </w:rPr>
                    <w:t>西</w:t>
                  </w:r>
                  <w:r>
                    <w:rPr>
                      <w:rFonts w:hint="eastAsia"/>
                      <w:color w:val="auto"/>
                      <w:szCs w:val="21"/>
                      <w:lang w:val="en-US" w:eastAsia="zh-CN"/>
                    </w:rPr>
                    <w:t>南</w:t>
                  </w:r>
                  <w:r>
                    <w:rPr>
                      <w:rFonts w:hint="eastAsia"/>
                      <w:color w:val="auto"/>
                      <w:szCs w:val="21"/>
                    </w:rPr>
                    <w:t>厂界外1m</w:t>
                  </w:r>
                </w:p>
              </w:tc>
              <w:tc>
                <w:tcPr>
                  <w:tcW w:w="833" w:type="pct"/>
                  <w:vMerge w:val="continue"/>
                  <w:noWrap w:val="0"/>
                  <w:vAlign w:val="center"/>
                </w:tcPr>
                <w:p w14:paraId="5E56FD83">
                  <w:pPr>
                    <w:pStyle w:val="12"/>
                    <w:spacing w:after="0"/>
                    <w:ind w:left="0" w:leftChars="0" w:right="0" w:rightChars="0"/>
                    <w:jc w:val="center"/>
                    <w:rPr>
                      <w:color w:val="auto"/>
                      <w:szCs w:val="21"/>
                    </w:rPr>
                  </w:pPr>
                </w:p>
              </w:tc>
              <w:tc>
                <w:tcPr>
                  <w:tcW w:w="575" w:type="pct"/>
                  <w:noWrap w:val="0"/>
                  <w:vAlign w:val="center"/>
                </w:tcPr>
                <w:p w14:paraId="274F0693">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25</w:t>
                  </w:r>
                </w:p>
              </w:tc>
              <w:tc>
                <w:tcPr>
                  <w:tcW w:w="688" w:type="pct"/>
                  <w:noWrap w:val="0"/>
                  <w:vAlign w:val="center"/>
                </w:tcPr>
                <w:p w14:paraId="7C692F98">
                  <w:pPr>
                    <w:spacing w:after="0"/>
                    <w:ind w:left="0" w:leftChars="0" w:right="0" w:rightChars="0"/>
                    <w:jc w:val="center"/>
                    <w:rPr>
                      <w:color w:val="auto"/>
                      <w:szCs w:val="21"/>
                    </w:rPr>
                  </w:pPr>
                  <w:r>
                    <w:rPr>
                      <w:rFonts w:hint="eastAsia"/>
                      <w:color w:val="auto"/>
                      <w:szCs w:val="21"/>
                    </w:rPr>
                    <w:t>昼</w:t>
                  </w:r>
                  <w:r>
                    <w:rPr>
                      <w:rFonts w:hint="eastAsia"/>
                      <w:color w:val="auto"/>
                      <w:szCs w:val="21"/>
                      <w:lang w:eastAsia="zh-CN"/>
                    </w:rPr>
                    <w:t>、</w:t>
                  </w:r>
                  <w:r>
                    <w:rPr>
                      <w:rFonts w:hint="eastAsia"/>
                      <w:color w:val="auto"/>
                      <w:szCs w:val="21"/>
                      <w:lang w:val="en-US" w:eastAsia="zh-CN"/>
                    </w:rPr>
                    <w:t>夜</w:t>
                  </w:r>
                </w:p>
              </w:tc>
              <w:tc>
                <w:tcPr>
                  <w:tcW w:w="707" w:type="pct"/>
                  <w:noWrap w:val="0"/>
                  <w:vAlign w:val="center"/>
                </w:tcPr>
                <w:p w14:paraId="1EACB290">
                  <w:pPr>
                    <w:pStyle w:val="12"/>
                    <w:spacing w:after="0"/>
                    <w:ind w:left="0" w:leftChars="0" w:right="0" w:rightChars="0"/>
                    <w:jc w:val="center"/>
                    <w:rPr>
                      <w:rFonts w:hint="default" w:eastAsia="宋体"/>
                      <w:color w:val="auto"/>
                      <w:szCs w:val="21"/>
                      <w:lang w:val="en-US" w:eastAsia="zh-CN"/>
                    </w:rPr>
                  </w:pPr>
                  <w:r>
                    <w:rPr>
                      <w:rFonts w:hint="eastAsia" w:eastAsia="宋体"/>
                      <w:color w:val="auto"/>
                      <w:szCs w:val="21"/>
                      <w:lang w:val="en-US" w:eastAsia="zh-CN"/>
                    </w:rPr>
                    <w:t>50</w:t>
                  </w:r>
                </w:p>
              </w:tc>
              <w:tc>
                <w:tcPr>
                  <w:tcW w:w="735" w:type="pct"/>
                  <w:noWrap w:val="0"/>
                  <w:vAlign w:val="center"/>
                </w:tcPr>
                <w:p w14:paraId="64449439">
                  <w:pPr>
                    <w:spacing w:after="0"/>
                    <w:ind w:left="0" w:leftChars="0" w:right="0" w:rightChars="0"/>
                    <w:jc w:val="center"/>
                    <w:rPr>
                      <w:rFonts w:hint="default"/>
                      <w:color w:val="auto"/>
                      <w:szCs w:val="21"/>
                      <w:lang w:val="en-US"/>
                    </w:rPr>
                  </w:pPr>
                  <w:r>
                    <w:rPr>
                      <w:rFonts w:hint="eastAsia"/>
                      <w:color w:val="auto"/>
                      <w:szCs w:val="21"/>
                      <w:lang w:val="en-US" w:eastAsia="zh-CN"/>
                    </w:rPr>
                    <w:t>60/50</w:t>
                  </w:r>
                </w:p>
              </w:tc>
              <w:tc>
                <w:tcPr>
                  <w:tcW w:w="817" w:type="pct"/>
                  <w:noWrap w:val="0"/>
                  <w:vAlign w:val="center"/>
                </w:tcPr>
                <w:p w14:paraId="4B87AC37">
                  <w:pPr>
                    <w:pStyle w:val="12"/>
                    <w:spacing w:after="0"/>
                    <w:ind w:left="0" w:leftChars="0" w:right="0" w:rightChars="0"/>
                    <w:jc w:val="center"/>
                    <w:rPr>
                      <w:rFonts w:hint="default" w:eastAsia="宋体"/>
                      <w:color w:val="auto"/>
                      <w:szCs w:val="21"/>
                      <w:lang w:val="en-US" w:eastAsia="zh-CN"/>
                    </w:rPr>
                  </w:pPr>
                  <w:r>
                    <w:rPr>
                      <w:rFonts w:hint="eastAsia"/>
                      <w:color w:val="auto"/>
                      <w:szCs w:val="21"/>
                    </w:rPr>
                    <w:t>达标</w:t>
                  </w:r>
                  <w:r>
                    <w:rPr>
                      <w:rFonts w:hint="eastAsia"/>
                      <w:color w:val="auto"/>
                      <w:szCs w:val="21"/>
                      <w:lang w:val="en-US" w:eastAsia="zh-CN"/>
                    </w:rPr>
                    <w:t>/达标</w:t>
                  </w:r>
                </w:p>
              </w:tc>
            </w:tr>
          </w:tbl>
          <w:p w14:paraId="664ABE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color w:val="auto"/>
                <w:sz w:val="24"/>
                <w:szCs w:val="32"/>
              </w:rPr>
              <w:t>根据《工业企业厂界环境噪声排放标准》（GB 12348-2008）</w:t>
            </w:r>
            <w:r>
              <w:rPr>
                <w:rFonts w:hint="eastAsia"/>
                <w:color w:val="auto"/>
                <w:sz w:val="24"/>
                <w:szCs w:val="32"/>
                <w:lang w:val="en-US" w:eastAsia="zh-CN"/>
              </w:rPr>
              <w:t>2</w:t>
            </w:r>
            <w:r>
              <w:rPr>
                <w:color w:val="auto"/>
                <w:sz w:val="24"/>
                <w:szCs w:val="32"/>
              </w:rPr>
              <w:t>类标准限值可知，本项目运营期噪声</w:t>
            </w:r>
            <w:r>
              <w:rPr>
                <w:rFonts w:hint="eastAsia"/>
                <w:color w:val="auto"/>
                <w:sz w:val="24"/>
                <w:szCs w:val="32"/>
                <w:lang w:val="en-US" w:eastAsia="zh-CN"/>
              </w:rPr>
              <w:t>昼间、夜间均达标，经现场调查，项目区周边无居民区、学校、医院等环境敏感目标，不存在夜间噪声干扰睡眠、日常生活的情况</w:t>
            </w:r>
            <w:r>
              <w:rPr>
                <w:color w:val="auto"/>
                <w:sz w:val="24"/>
                <w:szCs w:val="32"/>
              </w:rPr>
              <w:t>。</w:t>
            </w:r>
            <w:r>
              <w:rPr>
                <w:rFonts w:hint="eastAsia"/>
                <w:color w:val="auto"/>
                <w:sz w:val="24"/>
                <w:szCs w:val="32"/>
                <w:lang w:val="en-US" w:eastAsia="zh-CN"/>
              </w:rPr>
              <w:t>夜间持续机械噪声会小幅改变局部野生动物栖息活动节奏规律，但本项目属于临时工程，且周边野生动物活动范围广，可自主远离噪声源，对野生动物整体扰动程度轻微，无长期可逆影响。</w:t>
            </w:r>
          </w:p>
          <w:p w14:paraId="12E211FA">
            <w:pPr>
              <w:pStyle w:val="12"/>
              <w:spacing w:after="0" w:line="360" w:lineRule="auto"/>
              <w:ind w:left="0" w:leftChars="0" w:right="0" w:rightChars="0" w:firstLine="480" w:firstLineChars="200"/>
              <w:rPr>
                <w:rFonts w:hint="default"/>
                <w:color w:val="auto"/>
                <w:sz w:val="24"/>
                <w:lang w:val="en-US" w:eastAsia="zh-CN"/>
              </w:rPr>
            </w:pPr>
            <w:r>
              <w:rPr>
                <w:rFonts w:hint="eastAsia"/>
                <w:color w:val="auto"/>
                <w:sz w:val="24"/>
                <w:lang w:val="en-US" w:eastAsia="zh-CN"/>
              </w:rPr>
              <w:t>3.噪声防治措施</w:t>
            </w:r>
          </w:p>
          <w:p w14:paraId="565EAFB2">
            <w:pPr>
              <w:pStyle w:val="12"/>
              <w:spacing w:after="0" w:line="360" w:lineRule="auto"/>
              <w:ind w:left="0" w:leftChars="0" w:right="0" w:rightChars="0" w:firstLine="480" w:firstLineChars="200"/>
              <w:rPr>
                <w:rFonts w:hint="default"/>
                <w:color w:val="auto"/>
                <w:sz w:val="24"/>
                <w:lang w:val="en-US" w:eastAsia="zh-CN"/>
              </w:rPr>
            </w:pPr>
            <w:r>
              <w:rPr>
                <w:rFonts w:hint="eastAsia"/>
                <w:color w:val="auto"/>
                <w:sz w:val="24"/>
                <w:lang w:val="en-US" w:eastAsia="zh-CN"/>
              </w:rPr>
              <w:t>（1）优化生产调度，尽量将高噪声工序调整至昼间6:00~22:00。</w:t>
            </w:r>
          </w:p>
          <w:p w14:paraId="53530B5E">
            <w:pPr>
              <w:pStyle w:val="12"/>
              <w:spacing w:after="0" w:line="360" w:lineRule="auto"/>
              <w:ind w:left="0" w:leftChars="0" w:right="0" w:rightChars="0" w:firstLine="480" w:firstLineChars="200"/>
              <w:rPr>
                <w:rFonts w:hint="eastAsia"/>
                <w:color w:val="auto"/>
                <w:sz w:val="24"/>
                <w:lang w:val="en-US" w:eastAsia="zh-CN"/>
              </w:rPr>
            </w:pPr>
            <w:r>
              <w:rPr>
                <w:rFonts w:hint="eastAsia"/>
                <w:color w:val="auto"/>
                <w:sz w:val="24"/>
                <w:lang w:val="en-US" w:eastAsia="zh-CN"/>
              </w:rPr>
              <w:t>（2）</w:t>
            </w:r>
            <w:r>
              <w:rPr>
                <w:color w:val="auto"/>
                <w:sz w:val="24"/>
                <w:szCs w:val="24"/>
              </w:rPr>
              <w:t>合理布局，对较高噪音设备</w:t>
            </w:r>
            <w:r>
              <w:rPr>
                <w:rFonts w:hint="eastAsia" w:ascii="宋体" w:hAnsi="宋体" w:cs="宋体"/>
                <w:color w:val="auto"/>
                <w:sz w:val="24"/>
                <w:szCs w:val="24"/>
              </w:rPr>
              <w:t>安装隔声房</w:t>
            </w:r>
            <w:r>
              <w:rPr>
                <w:rFonts w:hint="eastAsia"/>
                <w:color w:val="auto"/>
                <w:sz w:val="24"/>
                <w:szCs w:val="24"/>
              </w:rPr>
              <w:t>、</w:t>
            </w:r>
            <w:r>
              <w:rPr>
                <w:color w:val="auto"/>
                <w:sz w:val="24"/>
                <w:szCs w:val="24"/>
              </w:rPr>
              <w:t>配备基础减振设施。</w:t>
            </w:r>
          </w:p>
          <w:p w14:paraId="62611212">
            <w:pPr>
              <w:pStyle w:val="12"/>
              <w:spacing w:after="0" w:line="360" w:lineRule="auto"/>
              <w:ind w:left="0" w:leftChars="0" w:right="0" w:rightChars="0" w:firstLine="480" w:firstLineChars="200"/>
              <w:rPr>
                <w:rFonts w:hint="default" w:eastAsia="宋体"/>
                <w:color w:val="auto"/>
                <w:sz w:val="24"/>
                <w:lang w:val="en-US" w:eastAsia="zh-CN"/>
              </w:rPr>
            </w:pPr>
            <w:r>
              <w:rPr>
                <w:rFonts w:hint="eastAsia"/>
                <w:color w:val="auto"/>
                <w:sz w:val="24"/>
                <w:lang w:val="en-US" w:eastAsia="zh-CN"/>
              </w:rPr>
              <w:t>（3）</w:t>
            </w:r>
            <w:r>
              <w:rPr>
                <w:color w:val="auto"/>
                <w:sz w:val="24"/>
                <w:szCs w:val="24"/>
              </w:rPr>
              <w:t>建立设备定期维护、保养的管理制度，加强职工环保意识教育，提倡文明生产，防止人为噪声</w:t>
            </w:r>
            <w:r>
              <w:rPr>
                <w:rFonts w:hint="eastAsia"/>
                <w:color w:val="auto"/>
                <w:sz w:val="24"/>
                <w:szCs w:val="24"/>
                <w:lang w:eastAsia="zh-CN"/>
              </w:rPr>
              <w:t>，</w:t>
            </w:r>
            <w:r>
              <w:rPr>
                <w:rFonts w:hint="eastAsia"/>
                <w:color w:val="auto"/>
                <w:sz w:val="24"/>
                <w:szCs w:val="24"/>
                <w:lang w:val="en-US" w:eastAsia="zh-CN"/>
              </w:rPr>
              <w:t>工作人员配备个人防护措施。</w:t>
            </w:r>
          </w:p>
          <w:p w14:paraId="5A8F607B">
            <w:pPr>
              <w:pStyle w:val="12"/>
              <w:spacing w:after="0" w:line="360" w:lineRule="auto"/>
              <w:ind w:left="0" w:leftChars="0" w:right="0" w:rightChars="0" w:firstLine="480" w:firstLineChars="200"/>
              <w:rPr>
                <w:color w:val="auto"/>
                <w:sz w:val="24"/>
              </w:rPr>
            </w:pPr>
            <w:r>
              <w:rPr>
                <w:rFonts w:hint="eastAsia"/>
                <w:color w:val="auto"/>
                <w:sz w:val="24"/>
                <w:lang w:val="en-US" w:eastAsia="zh-CN"/>
              </w:rPr>
              <w:t>4.</w:t>
            </w:r>
            <w:r>
              <w:rPr>
                <w:rFonts w:hint="eastAsia"/>
                <w:color w:val="auto"/>
                <w:sz w:val="24"/>
              </w:rPr>
              <w:t>监测计划</w:t>
            </w:r>
          </w:p>
          <w:p w14:paraId="487DB183">
            <w:pPr>
              <w:pStyle w:val="12"/>
              <w:spacing w:after="0" w:line="360" w:lineRule="auto"/>
              <w:ind w:left="0" w:leftChars="0" w:right="0" w:rightChars="0" w:firstLine="480" w:firstLineChars="200"/>
              <w:rPr>
                <w:color w:val="auto"/>
                <w:sz w:val="24"/>
              </w:rPr>
            </w:pPr>
            <w:r>
              <w:rPr>
                <w:rFonts w:hint="eastAsia"/>
                <w:color w:val="auto"/>
                <w:sz w:val="24"/>
              </w:rPr>
              <w:t>根据《排污单位自行监测技术指南 总则》（HJ819-2017）、《排污单位自行监测技术指南 水泥工业》（HJ848-2017）中的要求规定，项目噪声监测计划见表4-</w:t>
            </w:r>
            <w:r>
              <w:rPr>
                <w:rFonts w:hint="eastAsia"/>
                <w:color w:val="auto"/>
                <w:sz w:val="24"/>
                <w:lang w:val="en-US" w:eastAsia="zh-CN"/>
              </w:rPr>
              <w:t>7</w:t>
            </w:r>
            <w:r>
              <w:rPr>
                <w:rFonts w:hint="eastAsia"/>
                <w:color w:val="auto"/>
                <w:sz w:val="24"/>
              </w:rPr>
              <w:t>。</w:t>
            </w:r>
          </w:p>
          <w:p w14:paraId="45B20E4A">
            <w:pPr>
              <w:pStyle w:val="12"/>
              <w:spacing w:after="0"/>
              <w:ind w:left="0" w:leftChars="0" w:right="0" w:rightChars="0"/>
              <w:jc w:val="center"/>
              <w:rPr>
                <w:b/>
                <w:bCs/>
                <w:color w:val="auto"/>
                <w:szCs w:val="21"/>
              </w:rPr>
            </w:pPr>
            <w:r>
              <w:rPr>
                <w:rFonts w:hint="eastAsia"/>
                <w:b/>
                <w:bCs/>
                <w:color w:val="auto"/>
                <w:szCs w:val="21"/>
              </w:rPr>
              <w:t>表4-</w:t>
            </w:r>
            <w:r>
              <w:rPr>
                <w:rFonts w:hint="eastAsia"/>
                <w:b/>
                <w:bCs/>
                <w:color w:val="auto"/>
                <w:szCs w:val="21"/>
                <w:lang w:val="en-US" w:eastAsia="zh-CN"/>
              </w:rPr>
              <w:t xml:space="preserve">7 </w:t>
            </w:r>
            <w:r>
              <w:rPr>
                <w:rFonts w:hint="eastAsia"/>
                <w:b/>
                <w:bCs/>
                <w:color w:val="auto"/>
                <w:szCs w:val="21"/>
              </w:rPr>
              <w:t xml:space="preserve"> 噪声监测计划一览表</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059"/>
              <w:gridCol w:w="1085"/>
              <w:gridCol w:w="1114"/>
              <w:gridCol w:w="1635"/>
              <w:gridCol w:w="2328"/>
            </w:tblGrid>
            <w:tr w14:paraId="474AF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47" w:type="pct"/>
                  <w:gridSpan w:val="2"/>
                  <w:noWrap w:val="0"/>
                  <w:vAlign w:val="center"/>
                </w:tcPr>
                <w:p w14:paraId="430F4754">
                  <w:pPr>
                    <w:pStyle w:val="12"/>
                    <w:spacing w:after="0"/>
                    <w:ind w:left="0" w:leftChars="0" w:right="0" w:rightChars="0"/>
                    <w:jc w:val="center"/>
                    <w:rPr>
                      <w:rFonts w:hint="eastAsia"/>
                      <w:b/>
                      <w:bCs/>
                      <w:color w:val="auto"/>
                      <w:szCs w:val="21"/>
                    </w:rPr>
                  </w:pPr>
                  <w:r>
                    <w:rPr>
                      <w:rFonts w:hint="eastAsia"/>
                      <w:b/>
                      <w:bCs/>
                      <w:color w:val="auto"/>
                      <w:szCs w:val="21"/>
                    </w:rPr>
                    <w:t>监测项目</w:t>
                  </w:r>
                </w:p>
              </w:tc>
              <w:tc>
                <w:tcPr>
                  <w:tcW w:w="678" w:type="pct"/>
                  <w:noWrap w:val="0"/>
                  <w:vAlign w:val="center"/>
                </w:tcPr>
                <w:p w14:paraId="0075E7D0">
                  <w:pPr>
                    <w:pStyle w:val="12"/>
                    <w:spacing w:after="0"/>
                    <w:ind w:left="0" w:leftChars="0" w:right="0" w:rightChars="0"/>
                    <w:jc w:val="center"/>
                    <w:rPr>
                      <w:b/>
                      <w:bCs/>
                      <w:color w:val="auto"/>
                      <w:szCs w:val="21"/>
                    </w:rPr>
                  </w:pPr>
                  <w:r>
                    <w:rPr>
                      <w:rFonts w:hint="eastAsia"/>
                      <w:b/>
                      <w:bCs/>
                      <w:color w:val="auto"/>
                      <w:szCs w:val="21"/>
                    </w:rPr>
                    <w:t>监测点位</w:t>
                  </w:r>
                </w:p>
              </w:tc>
              <w:tc>
                <w:tcPr>
                  <w:tcW w:w="696" w:type="pct"/>
                  <w:noWrap w:val="0"/>
                  <w:vAlign w:val="center"/>
                </w:tcPr>
                <w:p w14:paraId="7EA8DEFF">
                  <w:pPr>
                    <w:pStyle w:val="12"/>
                    <w:spacing w:after="0"/>
                    <w:ind w:left="0" w:leftChars="0" w:right="0" w:rightChars="0"/>
                    <w:jc w:val="center"/>
                    <w:rPr>
                      <w:b/>
                      <w:bCs/>
                      <w:color w:val="auto"/>
                      <w:szCs w:val="21"/>
                    </w:rPr>
                  </w:pPr>
                  <w:r>
                    <w:rPr>
                      <w:rFonts w:hint="eastAsia"/>
                      <w:b/>
                      <w:bCs/>
                      <w:color w:val="auto"/>
                      <w:szCs w:val="21"/>
                    </w:rPr>
                    <w:t>监测指标</w:t>
                  </w:r>
                </w:p>
              </w:tc>
              <w:tc>
                <w:tcPr>
                  <w:tcW w:w="1022" w:type="pct"/>
                  <w:noWrap w:val="0"/>
                  <w:vAlign w:val="center"/>
                </w:tcPr>
                <w:p w14:paraId="6DD085E4">
                  <w:pPr>
                    <w:pStyle w:val="12"/>
                    <w:spacing w:after="0"/>
                    <w:ind w:left="0" w:leftChars="0" w:right="0" w:rightChars="0"/>
                    <w:jc w:val="center"/>
                    <w:rPr>
                      <w:b/>
                      <w:bCs/>
                      <w:color w:val="auto"/>
                      <w:szCs w:val="21"/>
                    </w:rPr>
                  </w:pPr>
                  <w:r>
                    <w:rPr>
                      <w:rFonts w:hint="eastAsia"/>
                      <w:b/>
                      <w:bCs/>
                      <w:color w:val="auto"/>
                      <w:szCs w:val="21"/>
                    </w:rPr>
                    <w:t>监测频次</w:t>
                  </w:r>
                </w:p>
              </w:tc>
              <w:tc>
                <w:tcPr>
                  <w:tcW w:w="1455" w:type="pct"/>
                  <w:noWrap w:val="0"/>
                  <w:vAlign w:val="center"/>
                </w:tcPr>
                <w:p w14:paraId="50E45934">
                  <w:pPr>
                    <w:pStyle w:val="12"/>
                    <w:spacing w:after="0"/>
                    <w:ind w:left="0" w:leftChars="0" w:right="0" w:rightChars="0"/>
                    <w:jc w:val="center"/>
                    <w:rPr>
                      <w:b/>
                      <w:bCs/>
                      <w:color w:val="auto"/>
                      <w:szCs w:val="21"/>
                    </w:rPr>
                  </w:pPr>
                  <w:r>
                    <w:rPr>
                      <w:rFonts w:hint="eastAsia"/>
                      <w:b/>
                      <w:bCs/>
                      <w:color w:val="auto"/>
                      <w:szCs w:val="21"/>
                    </w:rPr>
                    <w:t>执行标准</w:t>
                  </w:r>
                </w:p>
              </w:tc>
            </w:tr>
            <w:tr w14:paraId="671A7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14:paraId="67334E65">
                  <w:pPr>
                    <w:pStyle w:val="12"/>
                    <w:spacing w:after="0"/>
                    <w:ind w:left="0" w:leftChars="0" w:right="0" w:rightChars="0"/>
                    <w:jc w:val="center"/>
                    <w:rPr>
                      <w:color w:val="auto"/>
                      <w:szCs w:val="21"/>
                    </w:rPr>
                  </w:pPr>
                  <w:r>
                    <w:rPr>
                      <w:rFonts w:hint="eastAsia"/>
                      <w:color w:val="auto"/>
                      <w:szCs w:val="21"/>
                    </w:rPr>
                    <w:t>噪声监测</w:t>
                  </w:r>
                </w:p>
              </w:tc>
              <w:tc>
                <w:tcPr>
                  <w:tcW w:w="662" w:type="pct"/>
                  <w:noWrap w:val="0"/>
                  <w:vAlign w:val="center"/>
                </w:tcPr>
                <w:p w14:paraId="3FEC96F8">
                  <w:pPr>
                    <w:pStyle w:val="12"/>
                    <w:spacing w:after="0"/>
                    <w:ind w:left="0" w:leftChars="0" w:right="0" w:rightChars="0"/>
                    <w:jc w:val="center"/>
                    <w:rPr>
                      <w:color w:val="auto"/>
                      <w:szCs w:val="21"/>
                    </w:rPr>
                  </w:pPr>
                  <w:r>
                    <w:rPr>
                      <w:rFonts w:hint="eastAsia"/>
                      <w:color w:val="auto"/>
                      <w:szCs w:val="21"/>
                    </w:rPr>
                    <w:t>等效连续A声级</w:t>
                  </w:r>
                </w:p>
              </w:tc>
              <w:tc>
                <w:tcPr>
                  <w:tcW w:w="678" w:type="pct"/>
                  <w:noWrap w:val="0"/>
                  <w:vAlign w:val="center"/>
                </w:tcPr>
                <w:p w14:paraId="0F064A35">
                  <w:pPr>
                    <w:pStyle w:val="12"/>
                    <w:spacing w:after="0"/>
                    <w:ind w:left="0" w:leftChars="0" w:right="0" w:rightChars="0"/>
                    <w:jc w:val="center"/>
                    <w:rPr>
                      <w:color w:val="auto"/>
                      <w:szCs w:val="21"/>
                    </w:rPr>
                  </w:pPr>
                  <w:r>
                    <w:rPr>
                      <w:rFonts w:hint="eastAsia"/>
                      <w:color w:val="auto"/>
                      <w:szCs w:val="21"/>
                    </w:rPr>
                    <w:t>厂界外1m</w:t>
                  </w:r>
                </w:p>
              </w:tc>
              <w:tc>
                <w:tcPr>
                  <w:tcW w:w="696" w:type="pct"/>
                  <w:noWrap w:val="0"/>
                  <w:vAlign w:val="center"/>
                </w:tcPr>
                <w:p w14:paraId="27AF671F">
                  <w:pPr>
                    <w:pStyle w:val="12"/>
                    <w:spacing w:after="0"/>
                    <w:ind w:left="0" w:leftChars="0" w:right="0" w:rightChars="0"/>
                    <w:jc w:val="center"/>
                    <w:rPr>
                      <w:color w:val="auto"/>
                      <w:szCs w:val="21"/>
                    </w:rPr>
                  </w:pPr>
                  <w:r>
                    <w:rPr>
                      <w:rFonts w:hint="eastAsia"/>
                      <w:color w:val="auto"/>
                      <w:szCs w:val="21"/>
                    </w:rPr>
                    <w:t>Leq(A)</w:t>
                  </w:r>
                </w:p>
              </w:tc>
              <w:tc>
                <w:tcPr>
                  <w:tcW w:w="1022" w:type="pct"/>
                  <w:noWrap w:val="0"/>
                  <w:vAlign w:val="center"/>
                </w:tcPr>
                <w:p w14:paraId="4460DF94">
                  <w:pPr>
                    <w:pStyle w:val="12"/>
                    <w:spacing w:after="0"/>
                    <w:ind w:left="0" w:leftChars="0" w:right="0" w:rightChars="0"/>
                    <w:jc w:val="center"/>
                    <w:rPr>
                      <w:color w:val="auto"/>
                      <w:szCs w:val="21"/>
                    </w:rPr>
                  </w:pPr>
                  <w:r>
                    <w:rPr>
                      <w:rFonts w:hint="eastAsia"/>
                      <w:color w:val="auto"/>
                      <w:szCs w:val="21"/>
                    </w:rPr>
                    <w:t>每季度1次，每次2天，昼</w:t>
                  </w:r>
                  <w:r>
                    <w:rPr>
                      <w:rFonts w:hint="eastAsia"/>
                      <w:color w:val="auto"/>
                      <w:szCs w:val="21"/>
                      <w:lang w:val="en-US" w:eastAsia="zh-CN"/>
                    </w:rPr>
                    <w:t>间</w:t>
                  </w:r>
                  <w:r>
                    <w:rPr>
                      <w:rFonts w:hint="eastAsia"/>
                      <w:color w:val="auto"/>
                      <w:szCs w:val="21"/>
                    </w:rPr>
                    <w:t>监测</w:t>
                  </w:r>
                </w:p>
              </w:tc>
              <w:tc>
                <w:tcPr>
                  <w:tcW w:w="1455" w:type="pct"/>
                  <w:noWrap w:val="0"/>
                  <w:vAlign w:val="center"/>
                </w:tcPr>
                <w:p w14:paraId="44ADC380">
                  <w:pPr>
                    <w:pStyle w:val="12"/>
                    <w:spacing w:after="0"/>
                    <w:ind w:left="0" w:leftChars="0" w:right="0" w:rightChars="0"/>
                    <w:jc w:val="center"/>
                    <w:rPr>
                      <w:color w:val="auto"/>
                      <w:szCs w:val="21"/>
                    </w:rPr>
                  </w:pPr>
                  <w:r>
                    <w:rPr>
                      <w:rFonts w:hint="eastAsia"/>
                      <w:color w:val="auto"/>
                      <w:szCs w:val="21"/>
                    </w:rPr>
                    <w:t>《工业企业厂界环境噪声排放标准》（GB12348-2008）</w:t>
                  </w:r>
                  <w:r>
                    <w:rPr>
                      <w:rFonts w:hint="eastAsia"/>
                      <w:color w:val="auto"/>
                      <w:szCs w:val="21"/>
                      <w:lang w:val="en-US" w:eastAsia="zh-CN"/>
                    </w:rPr>
                    <w:t>2</w:t>
                  </w:r>
                  <w:r>
                    <w:rPr>
                      <w:rFonts w:hint="eastAsia"/>
                      <w:color w:val="auto"/>
                      <w:szCs w:val="21"/>
                    </w:rPr>
                    <w:t>类限值</w:t>
                  </w:r>
                </w:p>
              </w:tc>
            </w:tr>
          </w:tbl>
          <w:p w14:paraId="0F0475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sz w:val="24"/>
                <w:szCs w:val="32"/>
                <w:lang w:val="en-US" w:eastAsia="zh-CN"/>
              </w:rPr>
            </w:pPr>
            <w:r>
              <w:rPr>
                <w:rFonts w:hint="eastAsia"/>
                <w:b/>
                <w:bCs/>
                <w:color w:val="auto"/>
                <w:sz w:val="24"/>
                <w:szCs w:val="32"/>
                <w:lang w:val="en-US" w:eastAsia="zh-CN"/>
              </w:rPr>
              <w:t>4.9运营期固体废物</w:t>
            </w:r>
          </w:p>
          <w:p w14:paraId="1B436E50">
            <w:pPr>
              <w:pStyle w:val="12"/>
              <w:spacing w:after="0" w:line="360" w:lineRule="auto"/>
              <w:ind w:left="0" w:leftChars="0" w:right="0" w:rightChars="0" w:firstLine="480" w:firstLineChars="200"/>
              <w:rPr>
                <w:rFonts w:hint="default" w:eastAsia="宋体"/>
                <w:color w:val="auto"/>
                <w:sz w:val="24"/>
                <w:lang w:val="en-US" w:eastAsia="zh-CN"/>
              </w:rPr>
            </w:pPr>
            <w:r>
              <w:rPr>
                <w:rFonts w:hint="eastAsia"/>
                <w:color w:val="auto"/>
                <w:sz w:val="24"/>
                <w:lang w:val="en-US" w:eastAsia="zh-CN"/>
              </w:rPr>
              <w:t>1.污染物产生种类</w:t>
            </w:r>
          </w:p>
          <w:p w14:paraId="28231D86">
            <w:pPr>
              <w:pStyle w:val="12"/>
              <w:spacing w:after="0" w:line="360" w:lineRule="auto"/>
              <w:ind w:left="0" w:leftChars="0" w:right="0" w:rightChars="0" w:firstLine="480" w:firstLineChars="200"/>
              <w:rPr>
                <w:color w:val="auto"/>
                <w:sz w:val="24"/>
              </w:rPr>
            </w:pPr>
            <w:r>
              <w:rPr>
                <w:rFonts w:hint="eastAsia"/>
                <w:color w:val="auto"/>
                <w:sz w:val="24"/>
              </w:rPr>
              <w:t>项目运营期产生的固体废物主要为工作人员生活垃圾、除尘器收集粉尘、</w:t>
            </w:r>
            <w:r>
              <w:rPr>
                <w:rFonts w:hint="eastAsia"/>
                <w:color w:val="auto"/>
                <w:sz w:val="24"/>
                <w:lang w:val="en-US" w:eastAsia="zh-CN"/>
              </w:rPr>
              <w:t>三级沉淀</w:t>
            </w:r>
            <w:r>
              <w:rPr>
                <w:rFonts w:hint="eastAsia"/>
                <w:color w:val="auto"/>
                <w:sz w:val="24"/>
              </w:rPr>
              <w:t>的砂石、</w:t>
            </w:r>
            <w:r>
              <w:rPr>
                <w:rFonts w:hint="eastAsia"/>
                <w:color w:val="auto"/>
                <w:sz w:val="24"/>
                <w:lang w:val="en-US" w:eastAsia="zh-CN"/>
              </w:rPr>
              <w:t>力学室产生的废混凝土</w:t>
            </w:r>
            <w:r>
              <w:rPr>
                <w:rFonts w:hint="eastAsia"/>
                <w:color w:val="auto"/>
                <w:sz w:val="24"/>
              </w:rPr>
              <w:t>。</w:t>
            </w:r>
          </w:p>
          <w:p w14:paraId="7DF24224">
            <w:pPr>
              <w:pStyle w:val="12"/>
              <w:spacing w:after="0" w:line="360" w:lineRule="auto"/>
              <w:ind w:left="0" w:leftChars="0" w:right="0" w:rightChars="0" w:firstLine="480" w:firstLineChars="200"/>
              <w:rPr>
                <w:rFonts w:hint="default" w:eastAsia="宋体"/>
                <w:color w:val="auto"/>
                <w:sz w:val="24"/>
                <w:lang w:val="en-US" w:eastAsia="zh-CN"/>
              </w:rPr>
            </w:pPr>
            <w:r>
              <w:rPr>
                <w:rFonts w:hint="eastAsia"/>
                <w:color w:val="auto"/>
                <w:sz w:val="24"/>
                <w:lang w:val="en-US" w:eastAsia="zh-CN"/>
              </w:rPr>
              <w:t>项目运营车辆日常仅开展机油补充作业，不在项目实施车辆机油更换作业，所有车辆定期保养工作全部委托外部具有维修资质的汽修企业完成，项目区内不设置废机油收集、贮存点，不存在废机油暂存、转运环节。</w:t>
            </w:r>
          </w:p>
          <w:p w14:paraId="7F607667">
            <w:pPr>
              <w:pStyle w:val="12"/>
              <w:spacing w:after="0" w:line="360" w:lineRule="auto"/>
              <w:ind w:left="0" w:leftChars="0" w:right="0" w:rightChars="0" w:firstLine="480" w:firstLineChars="200"/>
              <w:rPr>
                <w:color w:val="auto"/>
                <w:sz w:val="24"/>
              </w:rPr>
            </w:pPr>
            <w:r>
              <w:rPr>
                <w:rFonts w:hint="eastAsia"/>
                <w:color w:val="auto"/>
                <w:sz w:val="24"/>
              </w:rPr>
              <w:t>（1）生活垃圾</w:t>
            </w:r>
          </w:p>
          <w:p w14:paraId="2D4D7A1D">
            <w:pPr>
              <w:pStyle w:val="12"/>
              <w:spacing w:after="0" w:line="360" w:lineRule="auto"/>
              <w:ind w:left="0" w:leftChars="0" w:right="0" w:rightChars="0" w:firstLine="480" w:firstLineChars="200"/>
              <w:rPr>
                <w:color w:val="auto"/>
                <w:sz w:val="24"/>
              </w:rPr>
            </w:pPr>
            <w:r>
              <w:rPr>
                <w:rFonts w:hint="eastAsia"/>
                <w:color w:val="auto"/>
                <w:sz w:val="24"/>
              </w:rPr>
              <w:t>项目运营期工作人员</w:t>
            </w:r>
            <w:r>
              <w:rPr>
                <w:rFonts w:hint="eastAsia"/>
                <w:color w:val="auto"/>
                <w:sz w:val="24"/>
                <w:lang w:val="en-US" w:eastAsia="zh-CN"/>
              </w:rPr>
              <w:t>20</w:t>
            </w:r>
            <w:r>
              <w:rPr>
                <w:rFonts w:hint="eastAsia"/>
                <w:color w:val="auto"/>
                <w:sz w:val="24"/>
              </w:rPr>
              <w:t>人，生活垃圾产生量按0.5kg/</w:t>
            </w:r>
            <w:r>
              <w:rPr>
                <w:color w:val="auto"/>
                <w:sz w:val="24"/>
              </w:rPr>
              <w:t>d·</w:t>
            </w:r>
            <w:r>
              <w:rPr>
                <w:rFonts w:hint="eastAsia"/>
                <w:color w:val="auto"/>
                <w:sz w:val="24"/>
              </w:rPr>
              <w:t>人计算，则生活垃圾产生量为</w:t>
            </w:r>
            <w:r>
              <w:rPr>
                <w:rFonts w:hint="eastAsia"/>
                <w:color w:val="auto"/>
                <w:sz w:val="24"/>
                <w:lang w:val="en-US" w:eastAsia="zh-CN"/>
              </w:rPr>
              <w:t>10</w:t>
            </w:r>
            <w:r>
              <w:rPr>
                <w:rFonts w:hint="eastAsia"/>
                <w:color w:val="auto"/>
                <w:sz w:val="24"/>
              </w:rPr>
              <w:t>kg/d（</w:t>
            </w:r>
            <w:r>
              <w:rPr>
                <w:rFonts w:hint="eastAsia"/>
                <w:color w:val="auto"/>
                <w:sz w:val="24"/>
                <w:lang w:val="en-US" w:eastAsia="zh-CN"/>
              </w:rPr>
              <w:t>3.3</w:t>
            </w:r>
            <w:r>
              <w:rPr>
                <w:rFonts w:hint="eastAsia"/>
                <w:color w:val="auto"/>
                <w:sz w:val="24"/>
              </w:rPr>
              <w:t>t/a）。生活垃圾</w:t>
            </w:r>
            <w:r>
              <w:rPr>
                <w:rFonts w:hint="eastAsia"/>
                <w:color w:val="auto"/>
                <w:sz w:val="24"/>
                <w:lang w:val="en-US" w:eastAsia="zh-CN"/>
              </w:rPr>
              <w:t>依托高速公路生活区设置的垃圾箱，</w:t>
            </w:r>
            <w:r>
              <w:rPr>
                <w:rFonts w:hint="eastAsia"/>
                <w:color w:val="auto"/>
                <w:sz w:val="24"/>
              </w:rPr>
              <w:t>集中收集后定期清运</w:t>
            </w:r>
            <w:r>
              <w:rPr>
                <w:rFonts w:hint="eastAsia"/>
                <w:color w:val="auto"/>
                <w:sz w:val="24"/>
                <w:lang w:val="en-US" w:eastAsia="zh-CN"/>
              </w:rPr>
              <w:t>至生活垃圾填埋场处置</w:t>
            </w:r>
            <w:r>
              <w:rPr>
                <w:rFonts w:hint="eastAsia"/>
                <w:color w:val="auto"/>
                <w:sz w:val="24"/>
              </w:rPr>
              <w:t>。</w:t>
            </w:r>
          </w:p>
          <w:p w14:paraId="0F20EC6C">
            <w:pPr>
              <w:pStyle w:val="12"/>
              <w:spacing w:after="0" w:line="360" w:lineRule="auto"/>
              <w:ind w:left="0" w:leftChars="0" w:right="0" w:rightChars="0" w:firstLine="480" w:firstLineChars="200"/>
              <w:rPr>
                <w:rFonts w:hint="default" w:eastAsia="宋体"/>
                <w:color w:val="auto"/>
                <w:sz w:val="24"/>
                <w:lang w:val="en-US" w:eastAsia="zh-CN"/>
              </w:rPr>
            </w:pPr>
            <w:r>
              <w:rPr>
                <w:rFonts w:hint="eastAsia"/>
                <w:color w:val="auto"/>
                <w:sz w:val="24"/>
              </w:rPr>
              <w:t>（2）</w:t>
            </w:r>
            <w:r>
              <w:rPr>
                <w:rFonts w:hint="eastAsia"/>
                <w:color w:val="auto"/>
                <w:sz w:val="24"/>
                <w:lang w:val="en-US" w:eastAsia="zh-CN"/>
              </w:rPr>
              <w:t>除尘粉尘</w:t>
            </w:r>
          </w:p>
          <w:p w14:paraId="0048A50C">
            <w:pPr>
              <w:pStyle w:val="12"/>
              <w:spacing w:after="0" w:line="360" w:lineRule="auto"/>
              <w:ind w:left="0" w:leftChars="0" w:right="0" w:rightChars="0" w:firstLine="480" w:firstLineChars="200"/>
              <w:rPr>
                <w:color w:val="auto"/>
                <w:sz w:val="24"/>
              </w:rPr>
            </w:pPr>
            <w:r>
              <w:rPr>
                <w:rFonts w:hint="eastAsia"/>
                <w:color w:val="auto"/>
                <w:sz w:val="24"/>
              </w:rPr>
              <w:t>本项目除尘器收集的粉尘量为</w:t>
            </w:r>
            <w:r>
              <w:rPr>
                <w:rFonts w:hint="eastAsia"/>
                <w:color w:val="auto"/>
                <w:sz w:val="24"/>
                <w:lang w:val="en-US" w:eastAsia="zh-CN"/>
              </w:rPr>
              <w:t>4.526</w:t>
            </w:r>
            <w:r>
              <w:rPr>
                <w:rFonts w:hint="eastAsia"/>
                <w:color w:val="auto"/>
                <w:sz w:val="24"/>
              </w:rPr>
              <w:t>t/a，属于一般固体废物，收集后回用于生产。</w:t>
            </w:r>
          </w:p>
          <w:p w14:paraId="4C49516A">
            <w:pPr>
              <w:pStyle w:val="12"/>
              <w:spacing w:after="0" w:line="360" w:lineRule="auto"/>
              <w:ind w:left="0" w:leftChars="0" w:right="0" w:rightChars="0" w:firstLine="480" w:firstLineChars="200"/>
              <w:rPr>
                <w:rFonts w:hint="default"/>
                <w:color w:val="auto"/>
                <w:sz w:val="24"/>
                <w:lang w:val="en-US" w:eastAsia="zh-CN"/>
              </w:rPr>
            </w:pPr>
            <w:r>
              <w:rPr>
                <w:rFonts w:hint="eastAsia"/>
                <w:color w:val="auto"/>
                <w:sz w:val="24"/>
                <w:lang w:val="en-US" w:eastAsia="zh-CN"/>
              </w:rPr>
              <w:t>（3）沉渣</w:t>
            </w:r>
          </w:p>
          <w:p w14:paraId="0005DCDD">
            <w:pPr>
              <w:pStyle w:val="12"/>
              <w:spacing w:after="0" w:line="360" w:lineRule="auto"/>
              <w:ind w:left="0" w:leftChars="0" w:right="0" w:rightChars="0" w:firstLine="480" w:firstLineChars="200"/>
              <w:rPr>
                <w:rFonts w:hint="eastAsia"/>
                <w:color w:val="auto"/>
                <w:sz w:val="24"/>
              </w:rPr>
            </w:pPr>
            <w:r>
              <w:rPr>
                <w:rFonts w:hint="eastAsia"/>
                <w:color w:val="auto"/>
                <w:sz w:val="24"/>
                <w:lang w:val="en-US" w:eastAsia="zh-CN"/>
              </w:rPr>
              <w:t>三级沉淀</w:t>
            </w:r>
            <w:r>
              <w:rPr>
                <w:rFonts w:hint="eastAsia"/>
                <w:color w:val="auto"/>
                <w:sz w:val="24"/>
              </w:rPr>
              <w:t>的</w:t>
            </w:r>
            <w:r>
              <w:rPr>
                <w:rFonts w:hint="eastAsia"/>
                <w:color w:val="auto"/>
                <w:sz w:val="24"/>
                <w:lang w:val="en-US" w:eastAsia="zh-CN"/>
              </w:rPr>
              <w:t>沉渣</w:t>
            </w:r>
            <w:r>
              <w:rPr>
                <w:rFonts w:hint="eastAsia"/>
                <w:color w:val="auto"/>
                <w:sz w:val="24"/>
              </w:rPr>
              <w:t>产生量约</w:t>
            </w:r>
            <w:r>
              <w:rPr>
                <w:rFonts w:hint="eastAsia"/>
                <w:color w:val="auto"/>
                <w:sz w:val="24"/>
                <w:lang w:val="en-US" w:eastAsia="zh-CN"/>
              </w:rPr>
              <w:t>6.0</w:t>
            </w:r>
            <w:r>
              <w:rPr>
                <w:rFonts w:hint="eastAsia"/>
                <w:color w:val="auto"/>
                <w:sz w:val="24"/>
              </w:rPr>
              <w:t>t/a，收集后作为原辅料回用于混凝土搅拌环节。</w:t>
            </w:r>
          </w:p>
          <w:p w14:paraId="48EF0EEE">
            <w:pPr>
              <w:pStyle w:val="12"/>
              <w:spacing w:after="0" w:line="360" w:lineRule="auto"/>
              <w:ind w:left="0" w:leftChars="0" w:right="0" w:rightChars="0"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废砼</w:t>
            </w:r>
          </w:p>
          <w:p w14:paraId="70A66EA6">
            <w:pPr>
              <w:pStyle w:val="12"/>
              <w:spacing w:after="0" w:line="360" w:lineRule="auto"/>
              <w:ind w:left="0" w:leftChars="0" w:right="0" w:rightChars="0" w:firstLine="480" w:firstLineChars="200"/>
              <w:rPr>
                <w:rFonts w:hint="eastAsia"/>
                <w:color w:val="auto"/>
                <w:sz w:val="24"/>
              </w:rPr>
            </w:pPr>
            <w:r>
              <w:rPr>
                <w:rFonts w:ascii="Times New Roman" w:hAnsi="Times New Roman" w:eastAsia="宋体" w:cs="Times New Roman"/>
                <w:color w:val="auto"/>
                <w:sz w:val="24"/>
              </w:rPr>
              <w:t>根据建设单位提供的资料，</w:t>
            </w:r>
            <w:r>
              <w:rPr>
                <w:rFonts w:hint="eastAsia" w:ascii="Times New Roman" w:hAnsi="Times New Roman" w:eastAsia="宋体" w:cs="Times New Roman"/>
                <w:color w:val="auto"/>
                <w:sz w:val="24"/>
                <w:lang w:val="en-US" w:eastAsia="zh-CN"/>
              </w:rPr>
              <w:t>力学室产生的废砼量约0.8</w:t>
            </w:r>
            <w:r>
              <w:rPr>
                <w:rFonts w:ascii="Times New Roman" w:hAnsi="Times New Roman" w:eastAsia="宋体" w:cs="Times New Roman"/>
                <w:color w:val="auto"/>
                <w:sz w:val="24"/>
              </w:rPr>
              <w:t>t/a，属于一般固废，</w:t>
            </w:r>
            <w:r>
              <w:rPr>
                <w:rFonts w:hint="default" w:ascii="Times New Roman" w:hAnsi="Times New Roman" w:eastAsia="宋体" w:cs="Times New Roman"/>
                <w:color w:val="auto"/>
                <w:sz w:val="24"/>
                <w:lang w:val="en-US" w:eastAsia="zh-CN"/>
              </w:rPr>
              <w:t>收集</w:t>
            </w:r>
            <w:r>
              <w:rPr>
                <w:rFonts w:hint="eastAsia" w:ascii="Times New Roman" w:hAnsi="Times New Roman" w:eastAsia="宋体" w:cs="Times New Roman"/>
                <w:color w:val="auto"/>
                <w:sz w:val="24"/>
                <w:lang w:val="en-US" w:eastAsia="zh-CN"/>
              </w:rPr>
              <w:t>暂存至废砼区后拉运至一般固废填埋场处置</w:t>
            </w:r>
            <w:r>
              <w:rPr>
                <w:rFonts w:ascii="Times New Roman" w:hAnsi="Times New Roman" w:eastAsia="宋体" w:cs="Times New Roman"/>
                <w:color w:val="auto"/>
                <w:sz w:val="24"/>
              </w:rPr>
              <w:t>。</w:t>
            </w:r>
          </w:p>
          <w:p w14:paraId="157B11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本项目固体废物产生及处置情况见表4-8。</w:t>
            </w:r>
          </w:p>
          <w:p w14:paraId="35512ED5">
            <w:pPr>
              <w:bidi w:val="0"/>
              <w:jc w:val="center"/>
              <w:rPr>
                <w:rFonts w:hint="default"/>
                <w:b/>
                <w:bCs/>
                <w:color w:val="auto"/>
                <w:lang w:val="en-US" w:eastAsia="zh-CN"/>
              </w:rPr>
            </w:pPr>
            <w:r>
              <w:rPr>
                <w:rFonts w:hint="eastAsia"/>
                <w:b/>
                <w:bCs/>
                <w:color w:val="auto"/>
                <w:lang w:val="en-US" w:eastAsia="zh-CN"/>
              </w:rPr>
              <w:t>表4-8  固体废物产生情况一览表</w:t>
            </w:r>
          </w:p>
          <w:tbl>
            <w:tblPr>
              <w:tblStyle w:val="29"/>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1234"/>
              <w:gridCol w:w="1515"/>
              <w:gridCol w:w="1519"/>
              <w:gridCol w:w="2601"/>
            </w:tblGrid>
            <w:tr w14:paraId="44E6C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3" w:type="dxa"/>
                  <w:tcBorders>
                    <w:tl2br w:val="nil"/>
                    <w:tr2bl w:val="nil"/>
                  </w:tcBorders>
                  <w:noWrap w:val="0"/>
                  <w:vAlign w:val="center"/>
                </w:tcPr>
                <w:p w14:paraId="37EC84F6">
                  <w:pPr>
                    <w:bidi w:val="0"/>
                    <w:jc w:val="center"/>
                    <w:rPr>
                      <w:rFonts w:hint="default"/>
                      <w:b/>
                      <w:bCs/>
                      <w:color w:val="auto"/>
                      <w:lang w:val="en-US" w:eastAsia="zh-CN"/>
                    </w:rPr>
                  </w:pPr>
                  <w:r>
                    <w:rPr>
                      <w:rFonts w:hint="eastAsia"/>
                      <w:b/>
                      <w:bCs/>
                      <w:color w:val="auto"/>
                      <w:lang w:val="en-US" w:eastAsia="zh-CN"/>
                    </w:rPr>
                    <w:t>产生环节</w:t>
                  </w:r>
                </w:p>
              </w:tc>
              <w:tc>
                <w:tcPr>
                  <w:tcW w:w="1234" w:type="dxa"/>
                  <w:tcBorders>
                    <w:tl2br w:val="nil"/>
                    <w:tr2bl w:val="nil"/>
                  </w:tcBorders>
                  <w:noWrap w:val="0"/>
                  <w:vAlign w:val="center"/>
                </w:tcPr>
                <w:p w14:paraId="29BA2ECD">
                  <w:pPr>
                    <w:bidi w:val="0"/>
                    <w:jc w:val="center"/>
                    <w:rPr>
                      <w:rFonts w:hint="default"/>
                      <w:b/>
                      <w:bCs/>
                      <w:color w:val="auto"/>
                      <w:lang w:val="en-US" w:eastAsia="zh-CN"/>
                    </w:rPr>
                  </w:pPr>
                  <w:r>
                    <w:rPr>
                      <w:rFonts w:hint="eastAsia"/>
                      <w:b/>
                      <w:bCs/>
                      <w:color w:val="auto"/>
                      <w:lang w:val="en-US" w:eastAsia="zh-CN"/>
                    </w:rPr>
                    <w:t>名称</w:t>
                  </w:r>
                </w:p>
              </w:tc>
              <w:tc>
                <w:tcPr>
                  <w:tcW w:w="1515" w:type="dxa"/>
                  <w:tcBorders>
                    <w:tl2br w:val="nil"/>
                    <w:tr2bl w:val="nil"/>
                  </w:tcBorders>
                  <w:noWrap w:val="0"/>
                  <w:vAlign w:val="center"/>
                </w:tcPr>
                <w:p w14:paraId="37330E73">
                  <w:pPr>
                    <w:bidi w:val="0"/>
                    <w:jc w:val="center"/>
                    <w:rPr>
                      <w:rFonts w:hint="default"/>
                      <w:b/>
                      <w:bCs/>
                      <w:color w:val="auto"/>
                      <w:lang w:val="en-US" w:eastAsia="zh-CN"/>
                    </w:rPr>
                  </w:pPr>
                  <w:r>
                    <w:rPr>
                      <w:rFonts w:hint="eastAsia"/>
                      <w:b/>
                      <w:bCs/>
                      <w:color w:val="auto"/>
                      <w:lang w:val="en-US" w:eastAsia="zh-CN"/>
                    </w:rPr>
                    <w:t>属性/代码</w:t>
                  </w:r>
                </w:p>
              </w:tc>
              <w:tc>
                <w:tcPr>
                  <w:tcW w:w="1519" w:type="dxa"/>
                  <w:tcBorders>
                    <w:tl2br w:val="nil"/>
                    <w:tr2bl w:val="nil"/>
                  </w:tcBorders>
                  <w:noWrap w:val="0"/>
                  <w:vAlign w:val="center"/>
                </w:tcPr>
                <w:p w14:paraId="11115DEB">
                  <w:pPr>
                    <w:bidi w:val="0"/>
                    <w:jc w:val="center"/>
                    <w:rPr>
                      <w:rFonts w:hint="default"/>
                      <w:b/>
                      <w:bCs/>
                      <w:color w:val="auto"/>
                      <w:lang w:val="en-US" w:eastAsia="zh-CN"/>
                    </w:rPr>
                  </w:pPr>
                  <w:r>
                    <w:rPr>
                      <w:rFonts w:hint="eastAsia"/>
                      <w:b/>
                      <w:bCs/>
                      <w:color w:val="auto"/>
                      <w:lang w:val="en-US" w:eastAsia="zh-CN"/>
                    </w:rPr>
                    <w:t>产生量t/a</w:t>
                  </w:r>
                </w:p>
              </w:tc>
              <w:tc>
                <w:tcPr>
                  <w:tcW w:w="2601" w:type="dxa"/>
                  <w:tcBorders>
                    <w:tl2br w:val="nil"/>
                    <w:tr2bl w:val="nil"/>
                  </w:tcBorders>
                  <w:noWrap w:val="0"/>
                  <w:vAlign w:val="center"/>
                </w:tcPr>
                <w:p w14:paraId="13DC6DDF">
                  <w:pPr>
                    <w:bidi w:val="0"/>
                    <w:jc w:val="center"/>
                    <w:rPr>
                      <w:rFonts w:hint="default"/>
                      <w:b/>
                      <w:bCs/>
                      <w:color w:val="auto"/>
                      <w:lang w:val="en-US" w:eastAsia="zh-CN"/>
                    </w:rPr>
                  </w:pPr>
                  <w:r>
                    <w:rPr>
                      <w:rFonts w:hint="eastAsia"/>
                      <w:b/>
                      <w:bCs/>
                      <w:color w:val="auto"/>
                      <w:lang w:val="en-US" w:eastAsia="zh-CN"/>
                    </w:rPr>
                    <w:t>处置方式</w:t>
                  </w:r>
                </w:p>
              </w:tc>
            </w:tr>
            <w:tr w14:paraId="2CA793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3" w:type="dxa"/>
                  <w:tcBorders>
                    <w:tl2br w:val="nil"/>
                    <w:tr2bl w:val="nil"/>
                  </w:tcBorders>
                  <w:noWrap w:val="0"/>
                  <w:vAlign w:val="center"/>
                </w:tcPr>
                <w:p w14:paraId="57625D42">
                  <w:pPr>
                    <w:bidi w:val="0"/>
                    <w:jc w:val="center"/>
                    <w:rPr>
                      <w:rFonts w:hint="default"/>
                      <w:color w:val="auto"/>
                      <w:lang w:val="en-US" w:eastAsia="zh-CN"/>
                    </w:rPr>
                  </w:pPr>
                  <w:r>
                    <w:rPr>
                      <w:rFonts w:hint="eastAsia"/>
                      <w:color w:val="auto"/>
                      <w:lang w:val="en-US" w:eastAsia="zh-CN"/>
                    </w:rPr>
                    <w:t>生活区</w:t>
                  </w:r>
                </w:p>
              </w:tc>
              <w:tc>
                <w:tcPr>
                  <w:tcW w:w="1234" w:type="dxa"/>
                  <w:tcBorders>
                    <w:tl2br w:val="nil"/>
                    <w:tr2bl w:val="nil"/>
                  </w:tcBorders>
                  <w:noWrap w:val="0"/>
                  <w:vAlign w:val="center"/>
                </w:tcPr>
                <w:p w14:paraId="6EB71CF6">
                  <w:pPr>
                    <w:bidi w:val="0"/>
                    <w:jc w:val="center"/>
                    <w:rPr>
                      <w:rFonts w:hint="default"/>
                      <w:color w:val="auto"/>
                      <w:lang w:val="en-US" w:eastAsia="zh-CN"/>
                    </w:rPr>
                  </w:pPr>
                  <w:r>
                    <w:rPr>
                      <w:rFonts w:hint="eastAsia"/>
                      <w:color w:val="auto"/>
                      <w:lang w:val="en-US" w:eastAsia="zh-CN"/>
                    </w:rPr>
                    <w:t>生活垃圾</w:t>
                  </w:r>
                </w:p>
              </w:tc>
              <w:tc>
                <w:tcPr>
                  <w:tcW w:w="1515" w:type="dxa"/>
                  <w:tcBorders>
                    <w:tl2br w:val="nil"/>
                    <w:tr2bl w:val="nil"/>
                  </w:tcBorders>
                  <w:noWrap w:val="0"/>
                  <w:vAlign w:val="center"/>
                </w:tcPr>
                <w:p w14:paraId="69D07EEE">
                  <w:pPr>
                    <w:bidi w:val="0"/>
                    <w:jc w:val="center"/>
                    <w:rPr>
                      <w:rFonts w:hint="default"/>
                      <w:color w:val="auto"/>
                      <w:lang w:val="en-US" w:eastAsia="zh-CN"/>
                    </w:rPr>
                  </w:pPr>
                  <w:r>
                    <w:rPr>
                      <w:rFonts w:hint="eastAsia"/>
                      <w:color w:val="auto"/>
                      <w:lang w:val="en-US" w:eastAsia="zh-CN"/>
                    </w:rPr>
                    <w:t>900-002-S61</w:t>
                  </w:r>
                </w:p>
              </w:tc>
              <w:tc>
                <w:tcPr>
                  <w:tcW w:w="1519" w:type="dxa"/>
                  <w:tcBorders>
                    <w:tl2br w:val="nil"/>
                    <w:tr2bl w:val="nil"/>
                  </w:tcBorders>
                  <w:noWrap w:val="0"/>
                  <w:vAlign w:val="center"/>
                </w:tcPr>
                <w:p w14:paraId="61AB33B7">
                  <w:pPr>
                    <w:bidi w:val="0"/>
                    <w:jc w:val="center"/>
                    <w:rPr>
                      <w:rFonts w:hint="default"/>
                      <w:color w:val="auto"/>
                      <w:lang w:val="en-US" w:eastAsia="zh-CN"/>
                    </w:rPr>
                  </w:pPr>
                  <w:r>
                    <w:rPr>
                      <w:rFonts w:hint="eastAsia"/>
                      <w:color w:val="auto"/>
                      <w:lang w:val="en-US" w:eastAsia="zh-CN"/>
                    </w:rPr>
                    <w:t>3.3</w:t>
                  </w:r>
                </w:p>
              </w:tc>
              <w:tc>
                <w:tcPr>
                  <w:tcW w:w="2601" w:type="dxa"/>
                  <w:tcBorders>
                    <w:tl2br w:val="nil"/>
                    <w:tr2bl w:val="nil"/>
                  </w:tcBorders>
                  <w:noWrap w:val="0"/>
                  <w:vAlign w:val="center"/>
                </w:tcPr>
                <w:p w14:paraId="2EDA21A7">
                  <w:pPr>
                    <w:bidi w:val="0"/>
                    <w:jc w:val="center"/>
                    <w:rPr>
                      <w:rFonts w:hint="default"/>
                      <w:color w:val="auto"/>
                      <w:lang w:val="en-US" w:eastAsia="zh-CN"/>
                    </w:rPr>
                  </w:pPr>
                  <w:r>
                    <w:rPr>
                      <w:rFonts w:hint="eastAsia"/>
                      <w:color w:val="auto"/>
                      <w:lang w:val="en-US" w:eastAsia="zh-CN"/>
                    </w:rPr>
                    <w:t>收集后清运至生活垃圾填埋场处置</w:t>
                  </w:r>
                </w:p>
              </w:tc>
            </w:tr>
            <w:tr w14:paraId="0AA0A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3" w:type="dxa"/>
                  <w:tcBorders>
                    <w:tl2br w:val="nil"/>
                    <w:tr2bl w:val="nil"/>
                  </w:tcBorders>
                  <w:noWrap w:val="0"/>
                  <w:vAlign w:val="center"/>
                </w:tcPr>
                <w:p w14:paraId="3A9077D4">
                  <w:pPr>
                    <w:bidi w:val="0"/>
                    <w:jc w:val="center"/>
                    <w:rPr>
                      <w:rFonts w:hint="default"/>
                      <w:color w:val="auto"/>
                      <w:lang w:val="en-US" w:eastAsia="zh-CN"/>
                    </w:rPr>
                  </w:pPr>
                  <w:r>
                    <w:rPr>
                      <w:rFonts w:hint="eastAsia"/>
                      <w:color w:val="auto"/>
                      <w:lang w:val="en-US" w:eastAsia="zh-CN"/>
                    </w:rPr>
                    <w:t>除尘器</w:t>
                  </w:r>
                </w:p>
              </w:tc>
              <w:tc>
                <w:tcPr>
                  <w:tcW w:w="1234" w:type="dxa"/>
                  <w:tcBorders>
                    <w:tl2br w:val="nil"/>
                    <w:tr2bl w:val="nil"/>
                  </w:tcBorders>
                  <w:noWrap w:val="0"/>
                  <w:vAlign w:val="center"/>
                </w:tcPr>
                <w:p w14:paraId="173AE46E">
                  <w:pPr>
                    <w:bidi w:val="0"/>
                    <w:jc w:val="center"/>
                    <w:rPr>
                      <w:rFonts w:hint="default"/>
                      <w:color w:val="auto"/>
                      <w:lang w:val="en-US" w:eastAsia="zh-CN"/>
                    </w:rPr>
                  </w:pPr>
                  <w:r>
                    <w:rPr>
                      <w:rFonts w:hint="eastAsia"/>
                      <w:color w:val="auto"/>
                      <w:lang w:val="en-US" w:eastAsia="zh-CN"/>
                    </w:rPr>
                    <w:t>粉尘</w:t>
                  </w:r>
                </w:p>
              </w:tc>
              <w:tc>
                <w:tcPr>
                  <w:tcW w:w="1515" w:type="dxa"/>
                  <w:tcBorders>
                    <w:tl2br w:val="nil"/>
                    <w:tr2bl w:val="nil"/>
                  </w:tcBorders>
                  <w:noWrap w:val="0"/>
                  <w:vAlign w:val="center"/>
                </w:tcPr>
                <w:p w14:paraId="36B7F6A8">
                  <w:pPr>
                    <w:bidi w:val="0"/>
                    <w:jc w:val="center"/>
                    <w:rPr>
                      <w:rFonts w:hint="default"/>
                      <w:color w:val="auto"/>
                      <w:lang w:val="en-US" w:eastAsia="zh-CN"/>
                    </w:rPr>
                  </w:pPr>
                  <w:r>
                    <w:rPr>
                      <w:rFonts w:hint="eastAsia"/>
                      <w:color w:val="auto"/>
                      <w:lang w:val="en-US" w:eastAsia="zh-CN"/>
                    </w:rPr>
                    <w:t>一般固体废物900-099-S59</w:t>
                  </w:r>
                </w:p>
              </w:tc>
              <w:tc>
                <w:tcPr>
                  <w:tcW w:w="1519" w:type="dxa"/>
                  <w:tcBorders>
                    <w:tl2br w:val="nil"/>
                    <w:tr2bl w:val="nil"/>
                  </w:tcBorders>
                  <w:noWrap w:val="0"/>
                  <w:vAlign w:val="center"/>
                </w:tcPr>
                <w:p w14:paraId="7328DE5F">
                  <w:pPr>
                    <w:bidi w:val="0"/>
                    <w:jc w:val="center"/>
                    <w:rPr>
                      <w:rFonts w:hint="default"/>
                      <w:color w:val="auto"/>
                      <w:lang w:val="en-US" w:eastAsia="zh-CN"/>
                    </w:rPr>
                  </w:pPr>
                  <w:r>
                    <w:rPr>
                      <w:rFonts w:hint="eastAsia"/>
                      <w:color w:val="auto"/>
                      <w:lang w:val="en-US" w:eastAsia="zh-CN"/>
                    </w:rPr>
                    <w:t>4.526</w:t>
                  </w:r>
                </w:p>
              </w:tc>
              <w:tc>
                <w:tcPr>
                  <w:tcW w:w="2601" w:type="dxa"/>
                  <w:tcBorders>
                    <w:tl2br w:val="nil"/>
                    <w:tr2bl w:val="nil"/>
                  </w:tcBorders>
                  <w:noWrap w:val="0"/>
                  <w:vAlign w:val="center"/>
                </w:tcPr>
                <w:p w14:paraId="067F96CB">
                  <w:pPr>
                    <w:bidi w:val="0"/>
                    <w:jc w:val="center"/>
                    <w:rPr>
                      <w:rFonts w:hint="default"/>
                      <w:color w:val="auto"/>
                      <w:lang w:val="en-US" w:eastAsia="zh-CN"/>
                    </w:rPr>
                  </w:pPr>
                  <w:r>
                    <w:rPr>
                      <w:rFonts w:hint="eastAsia"/>
                      <w:color w:val="auto"/>
                      <w:lang w:val="en-US" w:eastAsia="zh-CN"/>
                    </w:rPr>
                    <w:t>作为生产原料继续使用</w:t>
                  </w:r>
                </w:p>
              </w:tc>
            </w:tr>
            <w:tr w14:paraId="3DBF9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3" w:type="dxa"/>
                  <w:tcBorders>
                    <w:tl2br w:val="nil"/>
                    <w:tr2bl w:val="nil"/>
                  </w:tcBorders>
                  <w:noWrap w:val="0"/>
                  <w:vAlign w:val="center"/>
                </w:tcPr>
                <w:p w14:paraId="421A253C">
                  <w:pPr>
                    <w:bidi w:val="0"/>
                    <w:jc w:val="center"/>
                    <w:rPr>
                      <w:rFonts w:hint="default"/>
                      <w:color w:val="auto"/>
                      <w:lang w:val="en-US" w:eastAsia="zh-CN"/>
                    </w:rPr>
                  </w:pPr>
                  <w:r>
                    <w:rPr>
                      <w:rFonts w:hint="eastAsia"/>
                      <w:color w:val="auto"/>
                      <w:lang w:val="en-US" w:eastAsia="zh-CN"/>
                    </w:rPr>
                    <w:t>洗车池</w:t>
                  </w:r>
                </w:p>
              </w:tc>
              <w:tc>
                <w:tcPr>
                  <w:tcW w:w="1234" w:type="dxa"/>
                  <w:tcBorders>
                    <w:tl2br w:val="nil"/>
                    <w:tr2bl w:val="nil"/>
                  </w:tcBorders>
                  <w:noWrap w:val="0"/>
                  <w:vAlign w:val="center"/>
                </w:tcPr>
                <w:p w14:paraId="51D19FE8">
                  <w:pPr>
                    <w:bidi w:val="0"/>
                    <w:jc w:val="center"/>
                    <w:rPr>
                      <w:rFonts w:hint="default"/>
                      <w:color w:val="auto"/>
                      <w:lang w:val="en-US" w:eastAsia="zh-CN"/>
                    </w:rPr>
                  </w:pPr>
                  <w:r>
                    <w:rPr>
                      <w:rFonts w:hint="eastAsia"/>
                      <w:color w:val="auto"/>
                      <w:lang w:val="en-US" w:eastAsia="zh-CN"/>
                    </w:rPr>
                    <w:t>沉渣</w:t>
                  </w:r>
                </w:p>
              </w:tc>
              <w:tc>
                <w:tcPr>
                  <w:tcW w:w="1515" w:type="dxa"/>
                  <w:tcBorders>
                    <w:tl2br w:val="nil"/>
                    <w:tr2bl w:val="nil"/>
                  </w:tcBorders>
                  <w:noWrap w:val="0"/>
                  <w:vAlign w:val="center"/>
                </w:tcPr>
                <w:p w14:paraId="3A43391C">
                  <w:pPr>
                    <w:bidi w:val="0"/>
                    <w:jc w:val="center"/>
                    <w:rPr>
                      <w:rFonts w:hint="eastAsia"/>
                      <w:color w:val="auto"/>
                      <w:lang w:val="en-US" w:eastAsia="zh-CN"/>
                    </w:rPr>
                  </w:pPr>
                  <w:r>
                    <w:rPr>
                      <w:rFonts w:hint="eastAsia"/>
                      <w:color w:val="auto"/>
                      <w:lang w:val="en-US" w:eastAsia="zh-CN"/>
                    </w:rPr>
                    <w:t>一般固体废物900-099-S59</w:t>
                  </w:r>
                </w:p>
              </w:tc>
              <w:tc>
                <w:tcPr>
                  <w:tcW w:w="1519" w:type="dxa"/>
                  <w:tcBorders>
                    <w:tl2br w:val="nil"/>
                    <w:tr2bl w:val="nil"/>
                  </w:tcBorders>
                  <w:noWrap w:val="0"/>
                  <w:vAlign w:val="center"/>
                </w:tcPr>
                <w:p w14:paraId="04D929D6">
                  <w:pPr>
                    <w:bidi w:val="0"/>
                    <w:jc w:val="center"/>
                    <w:rPr>
                      <w:rFonts w:hint="default"/>
                      <w:color w:val="auto"/>
                      <w:lang w:val="en-US" w:eastAsia="zh-CN"/>
                    </w:rPr>
                  </w:pPr>
                  <w:r>
                    <w:rPr>
                      <w:rFonts w:hint="eastAsia"/>
                      <w:color w:val="auto"/>
                      <w:lang w:val="en-US" w:eastAsia="zh-CN"/>
                    </w:rPr>
                    <w:t>6.0</w:t>
                  </w:r>
                </w:p>
              </w:tc>
              <w:tc>
                <w:tcPr>
                  <w:tcW w:w="2601" w:type="dxa"/>
                  <w:tcBorders>
                    <w:tl2br w:val="nil"/>
                    <w:tr2bl w:val="nil"/>
                  </w:tcBorders>
                  <w:noWrap w:val="0"/>
                  <w:vAlign w:val="center"/>
                </w:tcPr>
                <w:p w14:paraId="4D807DE1">
                  <w:pPr>
                    <w:bidi w:val="0"/>
                    <w:jc w:val="center"/>
                    <w:rPr>
                      <w:rFonts w:hint="default"/>
                      <w:color w:val="auto"/>
                      <w:lang w:val="en-US" w:eastAsia="zh-CN"/>
                    </w:rPr>
                  </w:pPr>
                  <w:r>
                    <w:rPr>
                      <w:rFonts w:hint="eastAsia"/>
                      <w:color w:val="auto"/>
                      <w:lang w:val="en-US" w:eastAsia="zh-CN"/>
                    </w:rPr>
                    <w:t>作为生产原料继续使用</w:t>
                  </w:r>
                </w:p>
              </w:tc>
            </w:tr>
            <w:tr w14:paraId="437599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3" w:type="dxa"/>
                  <w:tcBorders>
                    <w:tl2br w:val="nil"/>
                    <w:tr2bl w:val="nil"/>
                  </w:tcBorders>
                  <w:noWrap w:val="0"/>
                  <w:vAlign w:val="center"/>
                </w:tcPr>
                <w:p w14:paraId="025F7DAC">
                  <w:pPr>
                    <w:bidi w:val="0"/>
                    <w:jc w:val="center"/>
                    <w:rPr>
                      <w:rFonts w:hint="default"/>
                      <w:color w:val="auto"/>
                      <w:lang w:val="en-US" w:eastAsia="zh-CN"/>
                    </w:rPr>
                  </w:pPr>
                  <w:r>
                    <w:rPr>
                      <w:rFonts w:hint="eastAsia"/>
                      <w:color w:val="auto"/>
                      <w:lang w:val="en-US" w:eastAsia="zh-CN"/>
                    </w:rPr>
                    <w:t>力学室</w:t>
                  </w:r>
                </w:p>
              </w:tc>
              <w:tc>
                <w:tcPr>
                  <w:tcW w:w="1234" w:type="dxa"/>
                  <w:tcBorders>
                    <w:tl2br w:val="nil"/>
                    <w:tr2bl w:val="nil"/>
                  </w:tcBorders>
                  <w:noWrap w:val="0"/>
                  <w:vAlign w:val="center"/>
                </w:tcPr>
                <w:p w14:paraId="33AC557D">
                  <w:pPr>
                    <w:bidi w:val="0"/>
                    <w:jc w:val="center"/>
                    <w:rPr>
                      <w:rFonts w:hint="eastAsia"/>
                      <w:color w:val="auto"/>
                      <w:lang w:val="en-US" w:eastAsia="zh-CN"/>
                    </w:rPr>
                  </w:pPr>
                  <w:r>
                    <w:rPr>
                      <w:rFonts w:hint="eastAsia"/>
                      <w:color w:val="auto"/>
                      <w:lang w:val="en-US" w:eastAsia="zh-CN"/>
                    </w:rPr>
                    <w:t>废砼</w:t>
                  </w:r>
                </w:p>
              </w:tc>
              <w:tc>
                <w:tcPr>
                  <w:tcW w:w="1515" w:type="dxa"/>
                  <w:tcBorders>
                    <w:tl2br w:val="nil"/>
                    <w:tr2bl w:val="nil"/>
                  </w:tcBorders>
                  <w:noWrap w:val="0"/>
                  <w:vAlign w:val="center"/>
                </w:tcPr>
                <w:p w14:paraId="636235B7">
                  <w:pPr>
                    <w:bidi w:val="0"/>
                    <w:jc w:val="center"/>
                    <w:rPr>
                      <w:rFonts w:hint="eastAsia"/>
                      <w:color w:val="auto"/>
                      <w:lang w:val="en-US" w:eastAsia="zh-CN"/>
                    </w:rPr>
                  </w:pPr>
                  <w:r>
                    <w:rPr>
                      <w:rFonts w:hint="eastAsia"/>
                      <w:color w:val="auto"/>
                      <w:lang w:val="en-US" w:eastAsia="zh-CN"/>
                    </w:rPr>
                    <w:t>一般固体废物900-099-S59</w:t>
                  </w:r>
                </w:p>
              </w:tc>
              <w:tc>
                <w:tcPr>
                  <w:tcW w:w="1519" w:type="dxa"/>
                  <w:tcBorders>
                    <w:tl2br w:val="nil"/>
                    <w:tr2bl w:val="nil"/>
                  </w:tcBorders>
                  <w:noWrap w:val="0"/>
                  <w:vAlign w:val="center"/>
                </w:tcPr>
                <w:p w14:paraId="4F70CB6A">
                  <w:pPr>
                    <w:bidi w:val="0"/>
                    <w:jc w:val="center"/>
                    <w:rPr>
                      <w:rFonts w:hint="default"/>
                      <w:color w:val="auto"/>
                      <w:lang w:val="en-US" w:eastAsia="zh-CN"/>
                    </w:rPr>
                  </w:pPr>
                  <w:r>
                    <w:rPr>
                      <w:rFonts w:hint="eastAsia"/>
                      <w:color w:val="auto"/>
                      <w:lang w:val="en-US" w:eastAsia="zh-CN"/>
                    </w:rPr>
                    <w:t>0.8</w:t>
                  </w:r>
                </w:p>
              </w:tc>
              <w:tc>
                <w:tcPr>
                  <w:tcW w:w="2601" w:type="dxa"/>
                  <w:tcBorders>
                    <w:tl2br w:val="nil"/>
                    <w:tr2bl w:val="nil"/>
                  </w:tcBorders>
                  <w:noWrap w:val="0"/>
                  <w:vAlign w:val="center"/>
                </w:tcPr>
                <w:p w14:paraId="3752F884">
                  <w:pPr>
                    <w:bidi w:val="0"/>
                    <w:jc w:val="center"/>
                    <w:rPr>
                      <w:rFonts w:hint="default"/>
                      <w:color w:val="auto"/>
                      <w:lang w:val="en-US" w:eastAsia="zh-CN"/>
                    </w:rPr>
                  </w:pPr>
                  <w:r>
                    <w:rPr>
                      <w:rFonts w:hint="eastAsia"/>
                      <w:color w:val="auto"/>
                      <w:lang w:val="en-US" w:eastAsia="zh-CN"/>
                    </w:rPr>
                    <w:t>收集后运至一般固废填埋场处置</w:t>
                  </w:r>
                </w:p>
              </w:tc>
            </w:tr>
          </w:tbl>
          <w:p w14:paraId="469484A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sz w:val="24"/>
                <w:szCs w:val="32"/>
                <w:lang w:val="en-US" w:eastAsia="zh-CN"/>
              </w:rPr>
            </w:pPr>
            <w:r>
              <w:rPr>
                <w:rFonts w:hint="eastAsia"/>
                <w:b/>
                <w:bCs/>
                <w:color w:val="auto"/>
                <w:sz w:val="24"/>
                <w:szCs w:val="32"/>
                <w:lang w:val="en-US" w:eastAsia="zh-CN"/>
              </w:rPr>
              <w:t>4.10地下水、土壤环境影响分析</w:t>
            </w:r>
          </w:p>
          <w:p w14:paraId="249356A7">
            <w:pPr>
              <w:pStyle w:val="12"/>
              <w:spacing w:after="0" w:line="360" w:lineRule="auto"/>
              <w:ind w:left="0" w:leftChars="0" w:right="0" w:rightChars="0" w:firstLine="482" w:firstLineChars="200"/>
              <w:rPr>
                <w:b/>
                <w:bCs/>
                <w:color w:val="auto"/>
                <w:sz w:val="24"/>
              </w:rPr>
            </w:pPr>
            <w:r>
              <w:rPr>
                <w:rFonts w:hint="eastAsia"/>
                <w:b/>
                <w:bCs/>
                <w:color w:val="auto"/>
                <w:sz w:val="24"/>
              </w:rPr>
              <w:t>（1）地下水</w:t>
            </w:r>
          </w:p>
          <w:p w14:paraId="23AA0724">
            <w:pPr>
              <w:pStyle w:val="12"/>
              <w:spacing w:after="0" w:line="360" w:lineRule="auto"/>
              <w:ind w:left="0" w:leftChars="0" w:right="0" w:rightChars="0" w:firstLine="480" w:firstLineChars="200"/>
              <w:rPr>
                <w:color w:val="auto"/>
                <w:sz w:val="24"/>
              </w:rPr>
            </w:pPr>
            <w:r>
              <w:rPr>
                <w:rFonts w:hint="eastAsia"/>
                <w:color w:val="auto"/>
                <w:sz w:val="24"/>
              </w:rPr>
              <w:t>1）地下水污染途径</w:t>
            </w:r>
          </w:p>
          <w:p w14:paraId="54D4F4E5">
            <w:pPr>
              <w:pStyle w:val="12"/>
              <w:spacing w:after="0" w:line="360" w:lineRule="auto"/>
              <w:ind w:left="0" w:leftChars="0" w:right="0" w:rightChars="0" w:firstLine="480" w:firstLineChars="200"/>
              <w:rPr>
                <w:color w:val="auto"/>
                <w:sz w:val="24"/>
              </w:rPr>
            </w:pPr>
            <w:r>
              <w:rPr>
                <w:rFonts w:hint="eastAsia"/>
                <w:color w:val="auto"/>
                <w:sz w:val="24"/>
              </w:rPr>
              <w:t>根据项目区排放的主要污染物，分析项目区对地下水的污染途径主要有以下几种：</w:t>
            </w:r>
          </w:p>
          <w:p w14:paraId="15BB746B">
            <w:pPr>
              <w:pStyle w:val="12"/>
              <w:spacing w:after="0" w:line="360" w:lineRule="auto"/>
              <w:ind w:left="0" w:leftChars="0" w:right="0" w:rightChars="0" w:firstLine="480" w:firstLineChars="200"/>
              <w:rPr>
                <w:color w:val="auto"/>
                <w:sz w:val="24"/>
              </w:rPr>
            </w:pPr>
            <w:r>
              <w:rPr>
                <w:rFonts w:hint="eastAsia"/>
                <w:color w:val="auto"/>
                <w:sz w:val="24"/>
              </w:rPr>
              <w:t>①物料或固体废物堆放场所处置不当，通过大气降水淋滤作用污染浅层水。</w:t>
            </w:r>
          </w:p>
          <w:p w14:paraId="6131EA3B">
            <w:pPr>
              <w:pStyle w:val="12"/>
              <w:spacing w:after="0" w:line="360" w:lineRule="auto"/>
              <w:ind w:left="0" w:leftChars="0" w:right="0" w:rightChars="0" w:firstLine="480" w:firstLineChars="200"/>
              <w:rPr>
                <w:color w:val="auto"/>
                <w:sz w:val="24"/>
              </w:rPr>
            </w:pPr>
            <w:r>
              <w:rPr>
                <w:rFonts w:hint="eastAsia"/>
                <w:color w:val="auto"/>
                <w:sz w:val="24"/>
              </w:rPr>
              <w:t>②</w:t>
            </w:r>
            <w:r>
              <w:rPr>
                <w:rFonts w:hint="eastAsia"/>
                <w:color w:val="auto"/>
                <w:sz w:val="24"/>
                <w:lang w:val="en-US" w:eastAsia="zh-CN"/>
              </w:rPr>
              <w:t>洗车池</w:t>
            </w:r>
            <w:r>
              <w:rPr>
                <w:rFonts w:hint="eastAsia"/>
                <w:color w:val="auto"/>
                <w:sz w:val="24"/>
              </w:rPr>
              <w:t>泄漏，对地下水产生影响。</w:t>
            </w:r>
          </w:p>
          <w:p w14:paraId="5EE94B8A">
            <w:pPr>
              <w:pStyle w:val="12"/>
              <w:spacing w:after="0" w:line="360" w:lineRule="auto"/>
              <w:ind w:left="0" w:leftChars="0" w:right="0" w:rightChars="0" w:firstLine="480" w:firstLineChars="200"/>
              <w:rPr>
                <w:color w:val="auto"/>
                <w:sz w:val="24"/>
              </w:rPr>
            </w:pPr>
            <w:r>
              <w:rPr>
                <w:rFonts w:hint="eastAsia"/>
                <w:color w:val="auto"/>
                <w:sz w:val="24"/>
              </w:rPr>
              <w:t>2）地下水环境影响分析</w:t>
            </w:r>
          </w:p>
          <w:p w14:paraId="592B8501">
            <w:pPr>
              <w:widowControl/>
              <w:spacing w:line="360" w:lineRule="auto"/>
              <w:ind w:firstLine="480" w:firstLineChars="200"/>
              <w:jc w:val="left"/>
              <w:rPr>
                <w:color w:val="auto"/>
                <w:sz w:val="24"/>
              </w:rPr>
            </w:pPr>
            <w:r>
              <w:rPr>
                <w:rFonts w:hint="eastAsia"/>
                <w:color w:val="auto"/>
                <w:kern w:val="0"/>
                <w:sz w:val="24"/>
                <w:lang w:val="en-US" w:eastAsia="zh-CN" w:bidi="ar"/>
              </w:rPr>
              <w:t>洗车池</w:t>
            </w:r>
            <w:r>
              <w:rPr>
                <w:color w:val="auto"/>
                <w:kern w:val="0"/>
                <w:sz w:val="24"/>
                <w:lang w:bidi="ar"/>
              </w:rPr>
              <w:t>出现跑冒滴漏或泄漏后，需通过地面径流，可以及时发现，及时处理。因此，不会对地下水环境产生直接影响。</w:t>
            </w:r>
          </w:p>
          <w:p w14:paraId="745D56BC">
            <w:pPr>
              <w:pStyle w:val="12"/>
              <w:spacing w:after="0" w:line="360" w:lineRule="auto"/>
              <w:ind w:left="0" w:leftChars="0" w:right="0" w:rightChars="0" w:firstLine="480" w:firstLineChars="200"/>
              <w:rPr>
                <w:color w:val="auto"/>
                <w:sz w:val="24"/>
              </w:rPr>
            </w:pPr>
            <w:r>
              <w:rPr>
                <w:rFonts w:hint="eastAsia"/>
                <w:color w:val="auto"/>
                <w:sz w:val="24"/>
              </w:rPr>
              <w:t>3）地下水环境保护措施</w:t>
            </w:r>
          </w:p>
          <w:p w14:paraId="415FC9D6">
            <w:pPr>
              <w:widowControl/>
              <w:spacing w:line="360" w:lineRule="auto"/>
              <w:ind w:firstLine="480" w:firstLineChars="200"/>
              <w:jc w:val="left"/>
              <w:rPr>
                <w:color w:val="auto"/>
                <w:kern w:val="0"/>
                <w:sz w:val="24"/>
                <w:lang w:bidi="ar"/>
              </w:rPr>
            </w:pPr>
            <w:r>
              <w:rPr>
                <w:rFonts w:hint="eastAsia"/>
                <w:color w:val="auto"/>
                <w:kern w:val="0"/>
                <w:sz w:val="24"/>
                <w:lang w:bidi="ar"/>
              </w:rPr>
              <w:t>按照</w:t>
            </w:r>
            <w:r>
              <w:rPr>
                <w:color w:val="auto"/>
                <w:kern w:val="0"/>
                <w:sz w:val="24"/>
                <w:lang w:bidi="ar"/>
              </w:rPr>
              <w:t>“</w:t>
            </w:r>
            <w:r>
              <w:rPr>
                <w:rFonts w:hint="eastAsia"/>
                <w:color w:val="auto"/>
                <w:kern w:val="0"/>
                <w:sz w:val="24"/>
                <w:lang w:bidi="ar"/>
              </w:rPr>
              <w:t>源头控制、分区防控、污染监控、应急响应</w:t>
            </w:r>
            <w:r>
              <w:rPr>
                <w:color w:val="auto"/>
                <w:kern w:val="0"/>
                <w:sz w:val="24"/>
                <w:lang w:bidi="ar"/>
              </w:rPr>
              <w:t>”</w:t>
            </w:r>
            <w:r>
              <w:rPr>
                <w:rFonts w:hint="eastAsia"/>
                <w:color w:val="auto"/>
                <w:kern w:val="0"/>
                <w:sz w:val="24"/>
                <w:lang w:bidi="ar"/>
              </w:rPr>
              <w:t>，重点突出饮用水水质安全的原则。</w:t>
            </w:r>
          </w:p>
          <w:p w14:paraId="6A0F4C4A">
            <w:pPr>
              <w:widowControl/>
              <w:spacing w:line="360" w:lineRule="auto"/>
              <w:ind w:firstLine="480" w:firstLineChars="200"/>
              <w:jc w:val="left"/>
              <w:rPr>
                <w:color w:val="auto"/>
                <w:sz w:val="24"/>
              </w:rPr>
            </w:pPr>
            <w:r>
              <w:rPr>
                <w:rFonts w:hint="eastAsia"/>
                <w:color w:val="auto"/>
                <w:kern w:val="0"/>
                <w:sz w:val="24"/>
                <w:lang w:bidi="ar"/>
              </w:rPr>
              <w:t>①</w:t>
            </w:r>
            <w:r>
              <w:rPr>
                <w:color w:val="auto"/>
                <w:kern w:val="0"/>
                <w:sz w:val="24"/>
                <w:lang w:bidi="ar"/>
              </w:rPr>
              <w:t>源头控制</w:t>
            </w:r>
          </w:p>
          <w:p w14:paraId="5A4C6EF6">
            <w:pPr>
              <w:widowControl/>
              <w:spacing w:line="360" w:lineRule="auto"/>
              <w:ind w:firstLine="480" w:firstLineChars="200"/>
              <w:jc w:val="left"/>
              <w:rPr>
                <w:color w:val="auto"/>
                <w:sz w:val="24"/>
              </w:rPr>
            </w:pPr>
            <w:r>
              <w:rPr>
                <w:color w:val="auto"/>
                <w:kern w:val="0"/>
                <w:sz w:val="24"/>
                <w:lang w:bidi="ar"/>
              </w:rPr>
              <w:t>源头控制措施主要包括对</w:t>
            </w:r>
            <w:r>
              <w:rPr>
                <w:rFonts w:hint="eastAsia"/>
                <w:color w:val="auto"/>
                <w:kern w:val="0"/>
                <w:sz w:val="24"/>
                <w:lang w:val="en-US" w:eastAsia="zh-CN" w:bidi="ar"/>
              </w:rPr>
              <w:t>洗车池</w:t>
            </w:r>
            <w:r>
              <w:rPr>
                <w:color w:val="auto"/>
                <w:kern w:val="0"/>
                <w:sz w:val="24"/>
                <w:lang w:bidi="ar"/>
              </w:rPr>
              <w:t>采取相应措施，防止和降低污染物跑、冒、滴、漏，将污染物泄漏的环境风险事故降到最低程度。</w:t>
            </w:r>
          </w:p>
          <w:p w14:paraId="094A27E0">
            <w:pPr>
              <w:widowControl/>
              <w:spacing w:line="360" w:lineRule="auto"/>
              <w:ind w:firstLine="480" w:firstLineChars="200"/>
              <w:jc w:val="left"/>
              <w:rPr>
                <w:color w:val="auto"/>
                <w:sz w:val="24"/>
              </w:rPr>
            </w:pPr>
            <w:r>
              <w:rPr>
                <w:color w:val="auto"/>
                <w:kern w:val="0"/>
                <w:sz w:val="24"/>
                <w:lang w:bidi="ar"/>
              </w:rPr>
              <w:t>对</w:t>
            </w:r>
            <w:r>
              <w:rPr>
                <w:rFonts w:hint="eastAsia"/>
                <w:color w:val="auto"/>
                <w:kern w:val="0"/>
                <w:sz w:val="24"/>
                <w:lang w:val="en-US" w:eastAsia="zh-CN" w:bidi="ar"/>
              </w:rPr>
              <w:t>洗车池采取防渗措施</w:t>
            </w:r>
            <w:r>
              <w:rPr>
                <w:color w:val="auto"/>
                <w:kern w:val="0"/>
                <w:sz w:val="24"/>
                <w:lang w:bidi="ar"/>
              </w:rPr>
              <w:t>。</w:t>
            </w:r>
          </w:p>
          <w:p w14:paraId="4DBC6384">
            <w:pPr>
              <w:widowControl/>
              <w:spacing w:line="360" w:lineRule="auto"/>
              <w:ind w:firstLine="480" w:firstLineChars="200"/>
              <w:jc w:val="left"/>
              <w:rPr>
                <w:color w:val="auto"/>
                <w:sz w:val="24"/>
              </w:rPr>
            </w:pPr>
            <w:r>
              <w:rPr>
                <w:rFonts w:hint="eastAsia"/>
                <w:color w:val="auto"/>
                <w:kern w:val="0"/>
                <w:sz w:val="24"/>
                <w:lang w:bidi="ar"/>
              </w:rPr>
              <w:t>②</w:t>
            </w:r>
            <w:r>
              <w:rPr>
                <w:color w:val="auto"/>
                <w:kern w:val="0"/>
                <w:sz w:val="24"/>
                <w:lang w:bidi="ar"/>
              </w:rPr>
              <w:t>分区防控</w:t>
            </w:r>
          </w:p>
          <w:p w14:paraId="15389BEE">
            <w:pPr>
              <w:widowControl/>
              <w:spacing w:line="360" w:lineRule="auto"/>
              <w:ind w:firstLine="480" w:firstLineChars="200"/>
              <w:jc w:val="left"/>
              <w:rPr>
                <w:color w:val="auto"/>
                <w:sz w:val="24"/>
              </w:rPr>
            </w:pPr>
            <w:r>
              <w:rPr>
                <w:color w:val="auto"/>
                <w:kern w:val="0"/>
                <w:sz w:val="24"/>
                <w:lang w:bidi="ar"/>
              </w:rPr>
              <w:t>根据厂区各功能单元可能产生污染的地区，将项目区划分为重点污染防治区、一般污染防治区和非污染防治区，并按要求进行地表防渗。</w:t>
            </w:r>
          </w:p>
          <w:p w14:paraId="16C3318D">
            <w:pPr>
              <w:widowControl/>
              <w:spacing w:line="360" w:lineRule="auto"/>
              <w:ind w:firstLine="480" w:firstLineChars="200"/>
              <w:jc w:val="left"/>
              <w:rPr>
                <w:color w:val="auto"/>
                <w:sz w:val="24"/>
              </w:rPr>
            </w:pPr>
            <w:r>
              <w:rPr>
                <w:rFonts w:hint="eastAsia"/>
                <w:color w:val="auto"/>
                <w:kern w:val="0"/>
                <w:sz w:val="24"/>
                <w:lang w:bidi="ar"/>
              </w:rPr>
              <w:t>a.</w:t>
            </w:r>
            <w:r>
              <w:rPr>
                <w:color w:val="auto"/>
                <w:kern w:val="0"/>
                <w:sz w:val="24"/>
                <w:lang w:bidi="ar"/>
              </w:rPr>
              <w:t>重点污染防治区</w:t>
            </w:r>
          </w:p>
          <w:p w14:paraId="3205BBE4">
            <w:pPr>
              <w:widowControl/>
              <w:spacing w:line="360" w:lineRule="auto"/>
              <w:ind w:firstLine="480" w:firstLineChars="200"/>
              <w:jc w:val="left"/>
              <w:rPr>
                <w:color w:val="auto"/>
                <w:sz w:val="24"/>
              </w:rPr>
            </w:pPr>
            <w:r>
              <w:rPr>
                <w:color w:val="auto"/>
                <w:kern w:val="0"/>
                <w:sz w:val="24"/>
                <w:lang w:bidi="ar"/>
              </w:rPr>
              <w:t>重点污染防治区是指对地下水环境有污染的物料或污染物泄漏后，不能及时发现和处理的区域或部位。</w:t>
            </w:r>
          </w:p>
          <w:p w14:paraId="13A37383">
            <w:pPr>
              <w:widowControl/>
              <w:spacing w:line="360" w:lineRule="auto"/>
              <w:ind w:firstLine="480" w:firstLineChars="200"/>
              <w:jc w:val="left"/>
              <w:rPr>
                <w:color w:val="auto"/>
                <w:sz w:val="24"/>
              </w:rPr>
            </w:pPr>
            <w:r>
              <w:rPr>
                <w:rFonts w:hint="eastAsia"/>
                <w:color w:val="auto"/>
                <w:kern w:val="0"/>
                <w:sz w:val="24"/>
                <w:lang w:bidi="ar"/>
              </w:rPr>
              <w:t>b.</w:t>
            </w:r>
            <w:r>
              <w:rPr>
                <w:color w:val="auto"/>
                <w:kern w:val="0"/>
                <w:sz w:val="24"/>
                <w:lang w:bidi="ar"/>
              </w:rPr>
              <w:t>简单污染防治区</w:t>
            </w:r>
          </w:p>
          <w:p w14:paraId="3E7D35DD">
            <w:pPr>
              <w:widowControl/>
              <w:spacing w:line="360" w:lineRule="auto"/>
              <w:ind w:firstLine="480" w:firstLineChars="200"/>
              <w:jc w:val="left"/>
              <w:rPr>
                <w:color w:val="auto"/>
                <w:sz w:val="24"/>
              </w:rPr>
            </w:pPr>
            <w:r>
              <w:rPr>
                <w:color w:val="auto"/>
                <w:kern w:val="0"/>
                <w:sz w:val="24"/>
                <w:lang w:bidi="ar"/>
              </w:rPr>
              <w:t>一般污染防治区是指对地下水环境有污染的物料或污染物泄漏后，可及时发现和处理的区域或部位。</w:t>
            </w:r>
          </w:p>
          <w:p w14:paraId="13F2EFF6">
            <w:pPr>
              <w:widowControl/>
              <w:spacing w:line="360" w:lineRule="auto"/>
              <w:ind w:firstLine="480" w:firstLineChars="200"/>
              <w:jc w:val="left"/>
              <w:rPr>
                <w:color w:val="auto"/>
                <w:sz w:val="24"/>
              </w:rPr>
            </w:pPr>
            <w:r>
              <w:rPr>
                <w:rFonts w:hint="eastAsia"/>
                <w:color w:val="auto"/>
                <w:kern w:val="0"/>
                <w:sz w:val="24"/>
                <w:lang w:bidi="ar"/>
              </w:rPr>
              <w:t>c.</w:t>
            </w:r>
            <w:r>
              <w:rPr>
                <w:color w:val="auto"/>
                <w:kern w:val="0"/>
                <w:sz w:val="24"/>
                <w:lang w:bidi="ar"/>
              </w:rPr>
              <w:t>一般污染防治区</w:t>
            </w:r>
          </w:p>
          <w:p w14:paraId="50A187A8">
            <w:pPr>
              <w:widowControl/>
              <w:spacing w:line="360" w:lineRule="auto"/>
              <w:ind w:firstLine="480" w:firstLineChars="200"/>
              <w:jc w:val="left"/>
              <w:rPr>
                <w:color w:val="auto"/>
                <w:sz w:val="24"/>
              </w:rPr>
            </w:pPr>
            <w:r>
              <w:rPr>
                <w:color w:val="auto"/>
                <w:kern w:val="0"/>
                <w:sz w:val="24"/>
                <w:lang w:bidi="ar"/>
              </w:rPr>
              <w:t>一般污染防治区是指简单和重点污染防治区以外的区域或部位。</w:t>
            </w:r>
          </w:p>
          <w:p w14:paraId="16786A54">
            <w:pPr>
              <w:pStyle w:val="12"/>
              <w:spacing w:after="0"/>
              <w:ind w:left="0" w:leftChars="0" w:right="0" w:rightChars="0"/>
              <w:jc w:val="center"/>
              <w:rPr>
                <w:b/>
                <w:bCs/>
                <w:color w:val="auto"/>
                <w:szCs w:val="21"/>
              </w:rPr>
            </w:pPr>
            <w:r>
              <w:rPr>
                <w:rFonts w:hint="eastAsia"/>
                <w:b/>
                <w:bCs/>
                <w:color w:val="auto"/>
                <w:szCs w:val="21"/>
              </w:rPr>
              <w:t>表4-</w:t>
            </w:r>
            <w:r>
              <w:rPr>
                <w:rFonts w:hint="eastAsia"/>
                <w:b/>
                <w:bCs/>
                <w:color w:val="auto"/>
                <w:szCs w:val="21"/>
                <w:lang w:val="en-US" w:eastAsia="zh-CN"/>
              </w:rPr>
              <w:t>9</w:t>
            </w:r>
            <w:r>
              <w:rPr>
                <w:rFonts w:hint="eastAsia"/>
                <w:b/>
                <w:bCs/>
                <w:color w:val="auto"/>
                <w:szCs w:val="21"/>
              </w:rPr>
              <w:t xml:space="preserve">  本项目各区域防渗具体要求</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2038"/>
              <w:gridCol w:w="1761"/>
              <w:gridCol w:w="2914"/>
            </w:tblGrid>
            <w:tr w14:paraId="5A8C84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1" w:type="pct"/>
                  <w:noWrap w:val="0"/>
                  <w:vAlign w:val="center"/>
                </w:tcPr>
                <w:p w14:paraId="5310B378">
                  <w:pPr>
                    <w:pStyle w:val="12"/>
                    <w:spacing w:after="0"/>
                    <w:ind w:left="0" w:leftChars="0" w:right="0" w:rightChars="0"/>
                    <w:jc w:val="center"/>
                    <w:rPr>
                      <w:b/>
                      <w:bCs/>
                      <w:color w:val="auto"/>
                      <w:szCs w:val="21"/>
                    </w:rPr>
                  </w:pPr>
                  <w:r>
                    <w:rPr>
                      <w:rFonts w:hint="eastAsia"/>
                      <w:b/>
                      <w:bCs/>
                      <w:color w:val="auto"/>
                      <w:szCs w:val="21"/>
                    </w:rPr>
                    <w:t>功能单元</w:t>
                  </w:r>
                </w:p>
              </w:tc>
              <w:tc>
                <w:tcPr>
                  <w:tcW w:w="1274" w:type="pct"/>
                  <w:noWrap w:val="0"/>
                  <w:vAlign w:val="center"/>
                </w:tcPr>
                <w:p w14:paraId="243411F3">
                  <w:pPr>
                    <w:pStyle w:val="12"/>
                    <w:spacing w:after="0"/>
                    <w:ind w:left="0" w:leftChars="0" w:right="0" w:rightChars="0"/>
                    <w:jc w:val="center"/>
                    <w:rPr>
                      <w:b/>
                      <w:bCs/>
                      <w:color w:val="auto"/>
                      <w:szCs w:val="21"/>
                    </w:rPr>
                  </w:pPr>
                  <w:r>
                    <w:rPr>
                      <w:rFonts w:hint="eastAsia"/>
                      <w:b/>
                      <w:bCs/>
                      <w:color w:val="auto"/>
                      <w:szCs w:val="21"/>
                    </w:rPr>
                    <w:t>防渗区域</w:t>
                  </w:r>
                </w:p>
              </w:tc>
              <w:tc>
                <w:tcPr>
                  <w:tcW w:w="1101" w:type="pct"/>
                  <w:noWrap w:val="0"/>
                  <w:vAlign w:val="center"/>
                </w:tcPr>
                <w:p w14:paraId="42B5E54B">
                  <w:pPr>
                    <w:pStyle w:val="12"/>
                    <w:spacing w:after="0"/>
                    <w:ind w:left="0" w:leftChars="0" w:right="0" w:rightChars="0"/>
                    <w:jc w:val="center"/>
                    <w:rPr>
                      <w:b/>
                      <w:bCs/>
                      <w:color w:val="auto"/>
                      <w:szCs w:val="21"/>
                    </w:rPr>
                  </w:pPr>
                  <w:r>
                    <w:rPr>
                      <w:rFonts w:hint="eastAsia"/>
                      <w:b/>
                      <w:bCs/>
                      <w:color w:val="auto"/>
                      <w:szCs w:val="21"/>
                    </w:rPr>
                    <w:t>污染物类型</w:t>
                  </w:r>
                </w:p>
              </w:tc>
              <w:tc>
                <w:tcPr>
                  <w:tcW w:w="1821" w:type="pct"/>
                  <w:noWrap w:val="0"/>
                  <w:vAlign w:val="center"/>
                </w:tcPr>
                <w:p w14:paraId="08C4C319">
                  <w:pPr>
                    <w:pStyle w:val="12"/>
                    <w:spacing w:after="0"/>
                    <w:ind w:left="0" w:leftChars="0" w:right="0" w:rightChars="0"/>
                    <w:jc w:val="center"/>
                    <w:rPr>
                      <w:b/>
                      <w:bCs/>
                      <w:color w:val="auto"/>
                      <w:szCs w:val="21"/>
                    </w:rPr>
                  </w:pPr>
                  <w:r>
                    <w:rPr>
                      <w:rFonts w:hint="eastAsia"/>
                      <w:b/>
                      <w:bCs/>
                      <w:color w:val="auto"/>
                      <w:szCs w:val="21"/>
                    </w:rPr>
                    <w:t>具体要求</w:t>
                  </w:r>
                </w:p>
              </w:tc>
            </w:tr>
            <w:tr w14:paraId="0A84B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1" w:type="pct"/>
                  <w:noWrap w:val="0"/>
                  <w:vAlign w:val="center"/>
                </w:tcPr>
                <w:p w14:paraId="37582513">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一般防渗区</w:t>
                  </w:r>
                </w:p>
              </w:tc>
              <w:tc>
                <w:tcPr>
                  <w:tcW w:w="1274" w:type="pct"/>
                  <w:noWrap w:val="0"/>
                  <w:vAlign w:val="center"/>
                </w:tcPr>
                <w:p w14:paraId="5EC70F39">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洗车池</w:t>
                  </w:r>
                </w:p>
              </w:tc>
              <w:tc>
                <w:tcPr>
                  <w:tcW w:w="1101" w:type="pct"/>
                  <w:noWrap w:val="0"/>
                  <w:vAlign w:val="center"/>
                </w:tcPr>
                <w:p w14:paraId="1E57EA8F">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SS</w:t>
                  </w:r>
                </w:p>
              </w:tc>
              <w:tc>
                <w:tcPr>
                  <w:tcW w:w="1821" w:type="pct"/>
                  <w:noWrap w:val="0"/>
                  <w:vAlign w:val="center"/>
                </w:tcPr>
                <w:p w14:paraId="6325B350">
                  <w:pPr>
                    <w:pStyle w:val="12"/>
                    <w:spacing w:after="0"/>
                    <w:ind w:left="0" w:leftChars="0" w:right="0" w:rightChars="0"/>
                    <w:jc w:val="center"/>
                    <w:rPr>
                      <w:rFonts w:hint="default" w:eastAsia="宋体"/>
                      <w:color w:val="auto"/>
                      <w:szCs w:val="21"/>
                      <w:lang w:val="en-US" w:eastAsia="zh-CN"/>
                    </w:rPr>
                  </w:pPr>
                  <w:r>
                    <w:rPr>
                      <w:rFonts w:hint="eastAsia"/>
                      <w:color w:val="auto"/>
                      <w:szCs w:val="21"/>
                      <w:lang w:val="en-US" w:eastAsia="zh-CN"/>
                    </w:rPr>
                    <w:t>等效粘土防渗层Mb</w:t>
                  </w:r>
                  <w:r>
                    <w:rPr>
                      <w:rFonts w:hint="default" w:ascii="Arial" w:hAnsi="Arial" w:cs="Arial"/>
                      <w:color w:val="auto"/>
                      <w:szCs w:val="21"/>
                      <w:lang w:val="en-US" w:eastAsia="zh-CN"/>
                    </w:rPr>
                    <w:t>≥</w:t>
                  </w:r>
                  <w:r>
                    <w:rPr>
                      <w:rFonts w:hint="eastAsia"/>
                      <w:color w:val="auto"/>
                      <w:szCs w:val="21"/>
                      <w:lang w:val="en-US" w:eastAsia="zh-CN"/>
                    </w:rPr>
                    <w:t>1.5m，K</w:t>
                  </w:r>
                  <w:r>
                    <w:rPr>
                      <w:rFonts w:hint="default" w:ascii="Arial" w:hAnsi="Arial" w:cs="Arial"/>
                      <w:color w:val="auto"/>
                      <w:szCs w:val="21"/>
                      <w:lang w:val="en-US" w:eastAsia="zh-CN"/>
                    </w:rPr>
                    <w:t>≤</w:t>
                  </w:r>
                  <w:r>
                    <w:rPr>
                      <w:rFonts w:hint="eastAsia"/>
                      <w:color w:val="auto"/>
                      <w:szCs w:val="21"/>
                      <w:lang w:val="en-US" w:eastAsia="zh-CN"/>
                    </w:rPr>
                    <w:t>10</w:t>
                  </w:r>
                  <w:r>
                    <w:rPr>
                      <w:rFonts w:hint="eastAsia"/>
                      <w:color w:val="auto"/>
                      <w:szCs w:val="21"/>
                      <w:vertAlign w:val="superscript"/>
                      <w:lang w:val="en-US" w:eastAsia="zh-CN"/>
                    </w:rPr>
                    <w:t>-7</w:t>
                  </w:r>
                  <w:r>
                    <w:rPr>
                      <w:rFonts w:hint="eastAsia"/>
                      <w:color w:val="auto"/>
                      <w:szCs w:val="21"/>
                      <w:lang w:val="en-US" w:eastAsia="zh-CN"/>
                    </w:rPr>
                    <w:t>cm/s</w:t>
                  </w:r>
                </w:p>
              </w:tc>
            </w:tr>
            <w:tr w14:paraId="60930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81" w:type="dxa"/>
                  <w:noWrap w:val="0"/>
                  <w:vAlign w:val="center"/>
                </w:tcPr>
                <w:p w14:paraId="638BBA3E">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简单防渗区</w:t>
                  </w:r>
                </w:p>
              </w:tc>
              <w:tc>
                <w:tcPr>
                  <w:tcW w:w="2038" w:type="dxa"/>
                  <w:noWrap w:val="0"/>
                  <w:vAlign w:val="center"/>
                </w:tcPr>
                <w:p w14:paraId="1498F9B5">
                  <w:pPr>
                    <w:pStyle w:val="12"/>
                    <w:spacing w:after="0"/>
                    <w:ind w:left="0" w:leftChars="0" w:right="0" w:rightChars="0"/>
                    <w:jc w:val="center"/>
                    <w:rPr>
                      <w:rFonts w:hint="eastAsia"/>
                      <w:color w:val="auto"/>
                      <w:szCs w:val="21"/>
                      <w:lang w:val="en-US" w:eastAsia="zh-CN"/>
                    </w:rPr>
                  </w:pPr>
                  <w:r>
                    <w:rPr>
                      <w:rFonts w:hint="eastAsia"/>
                      <w:color w:val="auto"/>
                      <w:szCs w:val="21"/>
                      <w:lang w:val="en-US" w:eastAsia="zh-CN"/>
                    </w:rPr>
                    <w:t>商混搅拌站生产区</w:t>
                  </w:r>
                </w:p>
              </w:tc>
              <w:tc>
                <w:tcPr>
                  <w:tcW w:w="1761" w:type="dxa"/>
                  <w:noWrap w:val="0"/>
                  <w:vAlign w:val="center"/>
                </w:tcPr>
                <w:p w14:paraId="08E0302B">
                  <w:pPr>
                    <w:pStyle w:val="12"/>
                    <w:spacing w:after="0"/>
                    <w:ind w:left="0" w:leftChars="0" w:right="0" w:rightChars="0"/>
                    <w:jc w:val="center"/>
                    <w:rPr>
                      <w:rFonts w:hint="eastAsia"/>
                      <w:color w:val="auto"/>
                      <w:szCs w:val="21"/>
                    </w:rPr>
                  </w:pPr>
                  <w:r>
                    <w:rPr>
                      <w:rFonts w:hint="eastAsia"/>
                      <w:color w:val="auto"/>
                      <w:szCs w:val="21"/>
                    </w:rPr>
                    <w:t>/</w:t>
                  </w:r>
                </w:p>
              </w:tc>
              <w:tc>
                <w:tcPr>
                  <w:tcW w:w="2914" w:type="dxa"/>
                  <w:noWrap w:val="0"/>
                  <w:vAlign w:val="center"/>
                </w:tcPr>
                <w:p w14:paraId="7B0058A7">
                  <w:pPr>
                    <w:pStyle w:val="12"/>
                    <w:spacing w:after="0"/>
                    <w:ind w:left="0" w:leftChars="0" w:right="0" w:rightChars="0"/>
                    <w:jc w:val="center"/>
                    <w:rPr>
                      <w:rFonts w:hint="eastAsia"/>
                      <w:color w:val="auto"/>
                      <w:szCs w:val="21"/>
                    </w:rPr>
                  </w:pPr>
                  <w:r>
                    <w:rPr>
                      <w:rFonts w:hint="eastAsia"/>
                      <w:color w:val="auto"/>
                      <w:szCs w:val="21"/>
                    </w:rPr>
                    <w:t>一般地面硬化</w:t>
                  </w:r>
                </w:p>
              </w:tc>
            </w:tr>
          </w:tbl>
          <w:p w14:paraId="09814A69">
            <w:pPr>
              <w:pStyle w:val="12"/>
              <w:spacing w:after="0" w:line="360" w:lineRule="auto"/>
              <w:ind w:left="0" w:leftChars="0" w:right="0" w:rightChars="0" w:firstLine="482" w:firstLineChars="200"/>
              <w:rPr>
                <w:b/>
                <w:bCs/>
                <w:color w:val="auto"/>
                <w:sz w:val="24"/>
              </w:rPr>
            </w:pPr>
            <w:r>
              <w:rPr>
                <w:rFonts w:hint="eastAsia"/>
                <w:b/>
                <w:bCs/>
                <w:color w:val="auto"/>
                <w:sz w:val="24"/>
              </w:rPr>
              <w:t>（2）土壤</w:t>
            </w:r>
          </w:p>
          <w:p w14:paraId="6A6B263B">
            <w:pPr>
              <w:pStyle w:val="12"/>
              <w:spacing w:after="0" w:line="360" w:lineRule="auto"/>
              <w:ind w:left="0" w:leftChars="0" w:right="0" w:rightChars="0" w:firstLine="480" w:firstLineChars="200"/>
              <w:rPr>
                <w:color w:val="auto"/>
                <w:sz w:val="24"/>
              </w:rPr>
            </w:pPr>
            <w:r>
              <w:rPr>
                <w:rFonts w:hint="eastAsia"/>
                <w:color w:val="auto"/>
                <w:sz w:val="24"/>
              </w:rPr>
              <w:t>1）土壤污染途径分析</w:t>
            </w:r>
          </w:p>
          <w:p w14:paraId="5492B27E">
            <w:pPr>
              <w:pStyle w:val="12"/>
              <w:spacing w:after="0" w:line="360" w:lineRule="auto"/>
              <w:ind w:left="0" w:leftChars="0" w:right="0" w:rightChars="0" w:firstLine="480" w:firstLineChars="200"/>
              <w:rPr>
                <w:color w:val="auto"/>
                <w:sz w:val="24"/>
              </w:rPr>
            </w:pPr>
            <w:r>
              <w:rPr>
                <w:rFonts w:hint="eastAsia"/>
                <w:color w:val="auto"/>
                <w:sz w:val="24"/>
              </w:rPr>
              <w:t>根据项目工程分析，本项目考虑</w:t>
            </w:r>
            <w:r>
              <w:rPr>
                <w:rFonts w:hint="eastAsia"/>
                <w:color w:val="auto"/>
                <w:sz w:val="24"/>
                <w:lang w:val="en-US" w:eastAsia="zh-CN"/>
              </w:rPr>
              <w:t>洗车池</w:t>
            </w:r>
            <w:r>
              <w:rPr>
                <w:rFonts w:hint="eastAsia"/>
                <w:color w:val="auto"/>
                <w:sz w:val="24"/>
              </w:rPr>
              <w:t>防渗破损或因腐蚀防渗完全失效通过垂直入渗对土壤的污染。</w:t>
            </w:r>
          </w:p>
          <w:p w14:paraId="6530ADF8">
            <w:pPr>
              <w:pStyle w:val="12"/>
              <w:spacing w:after="0" w:line="360" w:lineRule="auto"/>
              <w:ind w:left="0" w:leftChars="0" w:right="0" w:rightChars="0" w:firstLine="480" w:firstLineChars="200"/>
              <w:rPr>
                <w:color w:val="auto"/>
                <w:sz w:val="24"/>
              </w:rPr>
            </w:pPr>
            <w:r>
              <w:rPr>
                <w:rFonts w:hint="eastAsia"/>
                <w:color w:val="auto"/>
                <w:sz w:val="24"/>
              </w:rPr>
              <w:t>2）土壤环境影响识别</w:t>
            </w:r>
          </w:p>
          <w:p w14:paraId="72A426F1">
            <w:pPr>
              <w:pStyle w:val="12"/>
              <w:spacing w:after="0" w:line="360" w:lineRule="auto"/>
              <w:ind w:left="0" w:leftChars="0" w:right="0" w:rightChars="0" w:firstLine="480" w:firstLineChars="200"/>
              <w:rPr>
                <w:color w:val="auto"/>
                <w:sz w:val="24"/>
              </w:rPr>
            </w:pPr>
            <w:r>
              <w:rPr>
                <w:rFonts w:hint="eastAsia"/>
                <w:color w:val="auto"/>
                <w:sz w:val="24"/>
              </w:rPr>
              <w:t>土壤环境影响源及影响因子识别见下表。</w:t>
            </w:r>
          </w:p>
          <w:p w14:paraId="5BAA60CF">
            <w:pPr>
              <w:pStyle w:val="12"/>
              <w:spacing w:after="0"/>
              <w:ind w:left="0" w:leftChars="0" w:right="0" w:rightChars="0"/>
              <w:jc w:val="center"/>
              <w:rPr>
                <w:color w:val="auto"/>
                <w:sz w:val="24"/>
              </w:rPr>
            </w:pPr>
            <w:r>
              <w:rPr>
                <w:rFonts w:hint="eastAsia"/>
                <w:b/>
                <w:bCs/>
                <w:color w:val="auto"/>
                <w:szCs w:val="21"/>
              </w:rPr>
              <w:t>表4-</w:t>
            </w:r>
            <w:r>
              <w:rPr>
                <w:rFonts w:hint="eastAsia"/>
                <w:b/>
                <w:bCs/>
                <w:color w:val="auto"/>
                <w:szCs w:val="21"/>
                <w:lang w:val="en-US" w:eastAsia="zh-CN"/>
              </w:rPr>
              <w:t xml:space="preserve">10 </w:t>
            </w:r>
            <w:r>
              <w:rPr>
                <w:rFonts w:hint="eastAsia"/>
                <w:b/>
                <w:bCs/>
                <w:color w:val="auto"/>
                <w:szCs w:val="21"/>
              </w:rPr>
              <w:t xml:space="preserve"> 土壤环境影响源及影响因子识别表</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1599"/>
              <w:gridCol w:w="1599"/>
              <w:gridCol w:w="1600"/>
              <w:gridCol w:w="1600"/>
            </w:tblGrid>
            <w:tr w14:paraId="1BAB6E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9" w:type="pct"/>
                  <w:noWrap w:val="0"/>
                  <w:vAlign w:val="center"/>
                </w:tcPr>
                <w:p w14:paraId="42D7683A">
                  <w:pPr>
                    <w:pStyle w:val="12"/>
                    <w:spacing w:after="0"/>
                    <w:ind w:left="0" w:leftChars="0" w:right="0" w:rightChars="0"/>
                    <w:jc w:val="center"/>
                    <w:rPr>
                      <w:b/>
                      <w:bCs/>
                      <w:color w:val="auto"/>
                      <w:sz w:val="21"/>
                      <w:szCs w:val="21"/>
                    </w:rPr>
                  </w:pPr>
                  <w:r>
                    <w:rPr>
                      <w:rFonts w:hint="eastAsia"/>
                      <w:b/>
                      <w:bCs/>
                      <w:color w:val="auto"/>
                      <w:sz w:val="21"/>
                      <w:szCs w:val="21"/>
                    </w:rPr>
                    <w:t>污染源</w:t>
                  </w:r>
                </w:p>
              </w:tc>
              <w:tc>
                <w:tcPr>
                  <w:tcW w:w="999" w:type="pct"/>
                  <w:noWrap w:val="0"/>
                  <w:vAlign w:val="center"/>
                </w:tcPr>
                <w:p w14:paraId="2F632F70">
                  <w:pPr>
                    <w:pStyle w:val="12"/>
                    <w:spacing w:after="0"/>
                    <w:ind w:left="0" w:leftChars="0" w:right="0" w:rightChars="0"/>
                    <w:jc w:val="center"/>
                    <w:rPr>
                      <w:b/>
                      <w:bCs/>
                      <w:color w:val="auto"/>
                      <w:sz w:val="21"/>
                      <w:szCs w:val="21"/>
                    </w:rPr>
                  </w:pPr>
                  <w:r>
                    <w:rPr>
                      <w:rFonts w:hint="eastAsia"/>
                      <w:b/>
                      <w:bCs/>
                      <w:color w:val="auto"/>
                      <w:sz w:val="21"/>
                      <w:szCs w:val="21"/>
                    </w:rPr>
                    <w:t>污染途径</w:t>
                  </w:r>
                </w:p>
              </w:tc>
              <w:tc>
                <w:tcPr>
                  <w:tcW w:w="999" w:type="pct"/>
                  <w:noWrap w:val="0"/>
                  <w:vAlign w:val="center"/>
                </w:tcPr>
                <w:p w14:paraId="71B5EC83">
                  <w:pPr>
                    <w:pStyle w:val="12"/>
                    <w:spacing w:after="0"/>
                    <w:ind w:left="0" w:leftChars="0" w:right="0" w:rightChars="0"/>
                    <w:jc w:val="center"/>
                    <w:rPr>
                      <w:b/>
                      <w:bCs/>
                      <w:color w:val="auto"/>
                      <w:sz w:val="21"/>
                      <w:szCs w:val="21"/>
                    </w:rPr>
                  </w:pPr>
                  <w:r>
                    <w:rPr>
                      <w:rFonts w:hint="eastAsia"/>
                      <w:b/>
                      <w:bCs/>
                      <w:color w:val="auto"/>
                      <w:sz w:val="21"/>
                      <w:szCs w:val="21"/>
                    </w:rPr>
                    <w:t>污染物指标</w:t>
                  </w:r>
                </w:p>
              </w:tc>
              <w:tc>
                <w:tcPr>
                  <w:tcW w:w="1000" w:type="pct"/>
                  <w:noWrap w:val="0"/>
                  <w:vAlign w:val="center"/>
                </w:tcPr>
                <w:p w14:paraId="59FA0A81">
                  <w:pPr>
                    <w:pStyle w:val="12"/>
                    <w:spacing w:after="0"/>
                    <w:ind w:left="0" w:leftChars="0" w:right="0" w:rightChars="0"/>
                    <w:jc w:val="center"/>
                    <w:rPr>
                      <w:b/>
                      <w:bCs/>
                      <w:color w:val="auto"/>
                      <w:sz w:val="21"/>
                      <w:szCs w:val="21"/>
                    </w:rPr>
                  </w:pPr>
                  <w:r>
                    <w:rPr>
                      <w:rFonts w:hint="eastAsia"/>
                      <w:b/>
                      <w:bCs/>
                      <w:color w:val="auto"/>
                      <w:sz w:val="21"/>
                      <w:szCs w:val="21"/>
                    </w:rPr>
                    <w:t>特征因子</w:t>
                  </w:r>
                </w:p>
              </w:tc>
              <w:tc>
                <w:tcPr>
                  <w:tcW w:w="1000" w:type="pct"/>
                  <w:noWrap w:val="0"/>
                  <w:vAlign w:val="center"/>
                </w:tcPr>
                <w:p w14:paraId="3392E0E6">
                  <w:pPr>
                    <w:pStyle w:val="12"/>
                    <w:spacing w:after="0"/>
                    <w:ind w:left="0" w:leftChars="0" w:right="0" w:rightChars="0"/>
                    <w:jc w:val="center"/>
                    <w:rPr>
                      <w:b/>
                      <w:bCs/>
                      <w:color w:val="auto"/>
                      <w:sz w:val="21"/>
                      <w:szCs w:val="21"/>
                    </w:rPr>
                  </w:pPr>
                  <w:r>
                    <w:rPr>
                      <w:rFonts w:hint="eastAsia"/>
                      <w:b/>
                      <w:bCs/>
                      <w:color w:val="auto"/>
                      <w:sz w:val="21"/>
                      <w:szCs w:val="21"/>
                    </w:rPr>
                    <w:t>备注</w:t>
                  </w:r>
                </w:p>
              </w:tc>
            </w:tr>
            <w:tr w14:paraId="045ED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9" w:type="pct"/>
                  <w:noWrap w:val="0"/>
                  <w:vAlign w:val="center"/>
                </w:tcPr>
                <w:p w14:paraId="386DFED6">
                  <w:pPr>
                    <w:pStyle w:val="12"/>
                    <w:spacing w:after="0"/>
                    <w:ind w:left="0" w:leftChars="0" w:right="0" w:rightChars="0"/>
                    <w:jc w:val="center"/>
                    <w:rPr>
                      <w:rFonts w:hint="default" w:eastAsia="宋体"/>
                      <w:color w:val="auto"/>
                      <w:sz w:val="21"/>
                      <w:szCs w:val="21"/>
                      <w:lang w:val="en-US" w:eastAsia="zh-CN"/>
                    </w:rPr>
                  </w:pPr>
                  <w:r>
                    <w:rPr>
                      <w:rFonts w:hint="eastAsia"/>
                      <w:color w:val="auto"/>
                      <w:sz w:val="21"/>
                      <w:szCs w:val="21"/>
                      <w:lang w:val="en-US" w:eastAsia="zh-CN"/>
                    </w:rPr>
                    <w:t>洗车池</w:t>
                  </w:r>
                </w:p>
              </w:tc>
              <w:tc>
                <w:tcPr>
                  <w:tcW w:w="999" w:type="pct"/>
                  <w:noWrap w:val="0"/>
                  <w:vAlign w:val="center"/>
                </w:tcPr>
                <w:p w14:paraId="481A6BC6">
                  <w:pPr>
                    <w:pStyle w:val="12"/>
                    <w:spacing w:after="0"/>
                    <w:ind w:left="0" w:leftChars="0" w:right="0" w:rightChars="0"/>
                    <w:jc w:val="center"/>
                    <w:rPr>
                      <w:color w:val="auto"/>
                      <w:sz w:val="21"/>
                      <w:szCs w:val="21"/>
                    </w:rPr>
                  </w:pPr>
                  <w:r>
                    <w:rPr>
                      <w:rFonts w:hint="eastAsia"/>
                      <w:color w:val="auto"/>
                      <w:sz w:val="21"/>
                      <w:szCs w:val="21"/>
                    </w:rPr>
                    <w:t>垂直下渗</w:t>
                  </w:r>
                </w:p>
              </w:tc>
              <w:tc>
                <w:tcPr>
                  <w:tcW w:w="999" w:type="pct"/>
                  <w:noWrap w:val="0"/>
                  <w:vAlign w:val="center"/>
                </w:tcPr>
                <w:p w14:paraId="70D86456">
                  <w:pPr>
                    <w:pStyle w:val="12"/>
                    <w:spacing w:after="0"/>
                    <w:ind w:left="0" w:leftChars="0" w:right="0" w:rightChars="0"/>
                    <w:jc w:val="center"/>
                    <w:rPr>
                      <w:rFonts w:hint="default"/>
                      <w:color w:val="auto"/>
                      <w:sz w:val="21"/>
                      <w:szCs w:val="21"/>
                      <w:lang w:val="en-US"/>
                    </w:rPr>
                  </w:pPr>
                  <w:r>
                    <w:rPr>
                      <w:rFonts w:hint="eastAsia"/>
                      <w:color w:val="auto"/>
                      <w:szCs w:val="21"/>
                      <w:lang w:val="en-US" w:eastAsia="zh-CN"/>
                    </w:rPr>
                    <w:t>SS</w:t>
                  </w:r>
                </w:p>
              </w:tc>
              <w:tc>
                <w:tcPr>
                  <w:tcW w:w="1000" w:type="pct"/>
                  <w:noWrap w:val="0"/>
                  <w:vAlign w:val="center"/>
                </w:tcPr>
                <w:p w14:paraId="5136F689">
                  <w:pPr>
                    <w:pStyle w:val="12"/>
                    <w:spacing w:after="0"/>
                    <w:ind w:left="0" w:leftChars="0" w:right="0" w:rightChars="0"/>
                    <w:jc w:val="center"/>
                    <w:rPr>
                      <w:rFonts w:hint="default"/>
                      <w:color w:val="auto"/>
                      <w:sz w:val="21"/>
                      <w:szCs w:val="21"/>
                      <w:lang w:val="en-US"/>
                    </w:rPr>
                  </w:pPr>
                  <w:r>
                    <w:rPr>
                      <w:rFonts w:hint="eastAsia"/>
                      <w:color w:val="auto"/>
                      <w:szCs w:val="21"/>
                      <w:lang w:val="en-US" w:eastAsia="zh-CN"/>
                    </w:rPr>
                    <w:t>SS</w:t>
                  </w:r>
                </w:p>
              </w:tc>
              <w:tc>
                <w:tcPr>
                  <w:tcW w:w="1000" w:type="pct"/>
                  <w:noWrap w:val="0"/>
                  <w:vAlign w:val="center"/>
                </w:tcPr>
                <w:p w14:paraId="5928A9BB">
                  <w:pPr>
                    <w:pStyle w:val="12"/>
                    <w:spacing w:after="0"/>
                    <w:ind w:left="0" w:leftChars="0" w:right="0" w:rightChars="0"/>
                    <w:jc w:val="center"/>
                    <w:rPr>
                      <w:color w:val="auto"/>
                      <w:sz w:val="21"/>
                      <w:szCs w:val="21"/>
                    </w:rPr>
                  </w:pPr>
                  <w:r>
                    <w:rPr>
                      <w:rFonts w:hint="eastAsia"/>
                      <w:color w:val="auto"/>
                      <w:sz w:val="21"/>
                      <w:szCs w:val="21"/>
                    </w:rPr>
                    <w:t>间断</w:t>
                  </w:r>
                </w:p>
              </w:tc>
            </w:tr>
          </w:tbl>
          <w:p w14:paraId="2CDFF9D0">
            <w:pPr>
              <w:pStyle w:val="12"/>
              <w:spacing w:after="0" w:line="360" w:lineRule="auto"/>
              <w:ind w:left="0" w:leftChars="0" w:right="0" w:rightChars="0" w:firstLine="480" w:firstLineChars="200"/>
              <w:rPr>
                <w:color w:val="auto"/>
                <w:sz w:val="24"/>
              </w:rPr>
            </w:pPr>
            <w:r>
              <w:rPr>
                <w:rFonts w:hint="eastAsia"/>
                <w:color w:val="auto"/>
                <w:sz w:val="24"/>
              </w:rPr>
              <w:t>3）土壤防治措施</w:t>
            </w:r>
          </w:p>
          <w:p w14:paraId="41AC0BEA">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①源头控制</w:t>
            </w:r>
          </w:p>
          <w:p w14:paraId="461D57A1">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建设单位在项目运行期做好对</w:t>
            </w:r>
            <w:r>
              <w:rPr>
                <w:rFonts w:hint="eastAsia" w:ascii="宋体" w:hAnsi="宋体" w:cs="宋体"/>
                <w:color w:val="auto"/>
                <w:kern w:val="0"/>
                <w:sz w:val="24"/>
                <w:lang w:val="en-US" w:eastAsia="zh-CN" w:bidi="ar"/>
              </w:rPr>
              <w:t>洗车池</w:t>
            </w:r>
            <w:r>
              <w:rPr>
                <w:rFonts w:hint="eastAsia" w:ascii="宋体" w:hAnsi="宋体" w:cs="宋体"/>
                <w:color w:val="auto"/>
                <w:kern w:val="0"/>
                <w:sz w:val="24"/>
                <w:lang w:bidi="ar"/>
              </w:rPr>
              <w:t>的维护。</w:t>
            </w:r>
          </w:p>
          <w:p w14:paraId="6A6DFCDA">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②过程控制</w:t>
            </w:r>
          </w:p>
          <w:p w14:paraId="0B667152">
            <w:pPr>
              <w:pStyle w:val="12"/>
              <w:spacing w:after="0" w:line="360" w:lineRule="auto"/>
              <w:ind w:left="0" w:leftChars="0" w:right="0" w:rightChars="0" w:firstLine="480" w:firstLineChars="200"/>
              <w:rPr>
                <w:rFonts w:hint="eastAsia"/>
                <w:color w:val="auto"/>
                <w:sz w:val="24"/>
              </w:rPr>
            </w:pPr>
            <w:r>
              <w:rPr>
                <w:rFonts w:hint="eastAsia" w:ascii="宋体" w:hAnsi="宋体" w:cs="宋体"/>
                <w:color w:val="auto"/>
                <w:kern w:val="0"/>
                <w:sz w:val="24"/>
                <w:lang w:bidi="ar"/>
              </w:rPr>
              <w:t>加强对</w:t>
            </w:r>
            <w:r>
              <w:rPr>
                <w:rFonts w:hint="eastAsia" w:ascii="宋体" w:hAnsi="宋体" w:cs="宋体"/>
                <w:color w:val="auto"/>
                <w:kern w:val="0"/>
                <w:sz w:val="24"/>
                <w:lang w:val="en-US" w:eastAsia="zh-CN" w:bidi="ar"/>
              </w:rPr>
              <w:t>洗车池</w:t>
            </w:r>
            <w:r>
              <w:rPr>
                <w:rFonts w:hint="eastAsia" w:ascii="宋体" w:hAnsi="宋体" w:cs="宋体"/>
                <w:color w:val="auto"/>
                <w:kern w:val="0"/>
                <w:sz w:val="24"/>
                <w:lang w:bidi="ar"/>
              </w:rPr>
              <w:t>防渗进行定期监督检查，保证其安全储存，无泄漏。</w:t>
            </w:r>
          </w:p>
          <w:p w14:paraId="04A3E5B7">
            <w:pPr>
              <w:pStyle w:val="12"/>
              <w:spacing w:after="0" w:line="360" w:lineRule="auto"/>
              <w:ind w:left="0" w:leftChars="0" w:right="0" w:rightChars="0" w:firstLine="480" w:firstLineChars="200"/>
              <w:rPr>
                <w:color w:val="auto"/>
                <w:sz w:val="24"/>
              </w:rPr>
            </w:pPr>
            <w:r>
              <w:rPr>
                <w:rFonts w:hint="eastAsia"/>
                <w:color w:val="auto"/>
                <w:sz w:val="24"/>
              </w:rPr>
              <w:t>（3）跟踪监测</w:t>
            </w:r>
          </w:p>
          <w:p w14:paraId="7D81A7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lang w:bidi="ar"/>
              </w:rPr>
            </w:pPr>
            <w:r>
              <w:rPr>
                <w:rFonts w:hint="eastAsia" w:ascii="宋体" w:hAnsi="宋体" w:cs="宋体"/>
                <w:color w:val="auto"/>
                <w:kern w:val="0"/>
                <w:sz w:val="24"/>
                <w:lang w:bidi="ar"/>
              </w:rPr>
              <w:t>在运营期间加强管理，严格遵循地下水、土壤环境保护措施的前提下，本工程生产不会对地下水、土壤造成直接影响，本建设项目地下水环境影响可以接受的，可不进行跟踪监测。</w:t>
            </w:r>
          </w:p>
          <w:p w14:paraId="0B24B0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0"/>
                <w:sz w:val="24"/>
                <w:lang w:val="en-US" w:eastAsia="zh-CN" w:bidi="ar"/>
              </w:rPr>
            </w:pPr>
            <w:r>
              <w:rPr>
                <w:rFonts w:hint="default" w:ascii="Times New Roman" w:hAnsi="Times New Roman" w:cs="Times New Roman"/>
                <w:b/>
                <w:bCs/>
                <w:color w:val="auto"/>
                <w:kern w:val="0"/>
                <w:sz w:val="24"/>
                <w:lang w:val="en-US" w:eastAsia="zh-CN" w:bidi="ar"/>
              </w:rPr>
              <w:t>4.1</w:t>
            </w:r>
            <w:r>
              <w:rPr>
                <w:rFonts w:hint="eastAsia" w:ascii="Times New Roman" w:hAnsi="Times New Roman" w:cs="Times New Roman"/>
                <w:b/>
                <w:bCs/>
                <w:color w:val="auto"/>
                <w:kern w:val="0"/>
                <w:sz w:val="24"/>
                <w:lang w:val="en-US" w:eastAsia="zh-CN" w:bidi="ar"/>
              </w:rPr>
              <w:t>1生态环境影响分析</w:t>
            </w:r>
          </w:p>
          <w:p w14:paraId="3900F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kern w:val="0"/>
                <w:sz w:val="24"/>
                <w:lang w:val="en-US" w:eastAsia="zh-CN" w:bidi="ar"/>
              </w:rPr>
              <w:t>1.影响分析</w:t>
            </w:r>
          </w:p>
          <w:p w14:paraId="63C2EB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kern w:val="0"/>
                <w:sz w:val="24"/>
                <w:lang w:val="en-US" w:eastAsia="zh-CN" w:bidi="ar"/>
              </w:rPr>
              <w:t>（1）对土地利用的影响</w:t>
            </w:r>
          </w:p>
          <w:p w14:paraId="5B0610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sz w:val="24"/>
                <w:szCs w:val="24"/>
                <w:lang w:val="en-US" w:eastAsia="zh-CN"/>
              </w:rPr>
              <w:t>本项目属于</w:t>
            </w:r>
            <w:r>
              <w:rPr>
                <w:rFonts w:hint="default" w:ascii="Times New Roman" w:hAnsi="Times New Roman" w:cs="Times New Roman"/>
                <w:color w:val="auto"/>
                <w:sz w:val="24"/>
                <w:szCs w:val="24"/>
                <w:lang w:val="en-US" w:eastAsia="zh-CN"/>
              </w:rPr>
              <w:t>G3033奎屯-独山子-库车高速公路</w:t>
            </w:r>
            <w:r>
              <w:rPr>
                <w:rFonts w:hint="eastAsia" w:ascii="Times New Roman" w:hAnsi="Times New Roman" w:cs="Times New Roman"/>
                <w:color w:val="auto"/>
                <w:sz w:val="24"/>
                <w:szCs w:val="24"/>
                <w:lang w:val="en-US" w:eastAsia="zh-CN"/>
              </w:rPr>
              <w:t>的辅助设施，占地属于临时占地，占地类型有裸岩石砾地和高覆盖度草地，项目用地结束后进行土地平整及复垦后对区域土地利用影响较小。</w:t>
            </w:r>
          </w:p>
          <w:p w14:paraId="0C527D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kern w:val="0"/>
                <w:sz w:val="24"/>
                <w:lang w:val="en-US" w:eastAsia="zh-CN" w:bidi="ar"/>
              </w:rPr>
              <w:t>（2）对植物物种多样性的影响</w:t>
            </w:r>
          </w:p>
          <w:p w14:paraId="7646DB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default" w:ascii="Times New Roman" w:hAnsi="Times New Roman" w:eastAsia="宋体" w:cs="Times New Roman"/>
                <w:color w:val="auto"/>
                <w:kern w:val="0"/>
                <w:sz w:val="24"/>
                <w:szCs w:val="24"/>
                <w:lang w:val="en-US" w:eastAsia="zh-CN" w:bidi="ar"/>
              </w:rPr>
              <w:t>项目建设占用地上植物多为分布较广的植物，无珍稀植物分布，不会因项目建设而使某个植物种类消失，只是一定程度上的数量减少。因此，占用地对植物物种丰富度几乎没有影响。</w:t>
            </w:r>
          </w:p>
          <w:p w14:paraId="47F5AF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kern w:val="0"/>
                <w:sz w:val="24"/>
                <w:lang w:val="en-US" w:eastAsia="zh-CN" w:bidi="ar"/>
              </w:rPr>
              <w:t>（3）对野生动物的影响</w:t>
            </w:r>
          </w:p>
          <w:p w14:paraId="1AE992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color w:val="auto"/>
                <w:sz w:val="24"/>
              </w:rPr>
              <w:t>机械设备噪声、人员的活动等将会对周围局部范围内野生动物的活动和栖息产生一定影响。</w:t>
            </w:r>
          </w:p>
          <w:p w14:paraId="3D484D01">
            <w:pPr>
              <w:adjustRightInd w:val="0"/>
              <w:snapToGrid w:val="0"/>
              <w:spacing w:line="360" w:lineRule="auto"/>
              <w:ind w:firstLine="480" w:firstLineChars="200"/>
              <w:rPr>
                <w:color w:val="auto"/>
                <w:sz w:val="24"/>
                <w:highlight w:val="none"/>
              </w:rPr>
            </w:pPr>
            <w:r>
              <w:rPr>
                <w:rFonts w:hint="eastAsia" w:ascii="Times New Roman" w:hAnsi="Times New Roman" w:cs="Times New Roman"/>
                <w:color w:val="auto"/>
                <w:kern w:val="0"/>
                <w:sz w:val="24"/>
                <w:lang w:val="en-US" w:eastAsia="zh-CN" w:bidi="ar"/>
              </w:rPr>
              <w:t>（4）</w:t>
            </w:r>
            <w:r>
              <w:rPr>
                <w:rFonts w:hint="eastAsia"/>
                <w:color w:val="auto"/>
                <w:sz w:val="24"/>
                <w:highlight w:val="none"/>
              </w:rPr>
              <w:t>土地的沙化影响分析</w:t>
            </w:r>
          </w:p>
          <w:p w14:paraId="2BB6D8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b w:val="0"/>
                <w:bCs w:val="0"/>
                <w:color w:val="auto"/>
                <w:sz w:val="24"/>
                <w:szCs w:val="24"/>
                <w:highlight w:val="none"/>
                <w:lang w:val="en-US" w:eastAsia="zh-CN"/>
              </w:rPr>
              <w:t>项目</w:t>
            </w:r>
            <w:r>
              <w:rPr>
                <w:rFonts w:hint="default" w:ascii="Times New Roman" w:hAnsi="Times New Roman" w:cs="Times New Roman"/>
                <w:b w:val="0"/>
                <w:bCs w:val="0"/>
                <w:color w:val="auto"/>
                <w:sz w:val="24"/>
                <w:szCs w:val="24"/>
                <w:highlight w:val="none"/>
              </w:rPr>
              <w:t>建设过程中将会破坏占地范围内的土壤表层稳定砾幕和地表荒漠植被，施工会使占地范围内的土地就地起沙。但由于</w:t>
            </w:r>
            <w:r>
              <w:rPr>
                <w:rFonts w:ascii="Times New Roman" w:hAnsi="Times New Roman" w:cs="Times New Roman"/>
                <w:b w:val="0"/>
                <w:bCs w:val="0"/>
                <w:color w:val="auto"/>
                <w:sz w:val="24"/>
                <w:szCs w:val="24"/>
                <w:highlight w:val="none"/>
              </w:rPr>
              <w:t>施工</w:t>
            </w:r>
            <w:r>
              <w:rPr>
                <w:rFonts w:hint="default" w:ascii="Times New Roman" w:hAnsi="Times New Roman" w:cs="Times New Roman"/>
                <w:b w:val="0"/>
                <w:bCs w:val="0"/>
                <w:color w:val="auto"/>
                <w:sz w:val="24"/>
                <w:szCs w:val="24"/>
                <w:highlight w:val="none"/>
              </w:rPr>
              <w:t>占地范围较小，</w:t>
            </w:r>
            <w:r>
              <w:rPr>
                <w:rFonts w:hint="eastAsia" w:ascii="Times New Roman" w:hAnsi="Times New Roman" w:cs="Times New Roman"/>
                <w:b w:val="0"/>
                <w:bCs w:val="0"/>
                <w:color w:val="auto"/>
                <w:sz w:val="24"/>
                <w:szCs w:val="24"/>
                <w:highlight w:val="none"/>
                <w:lang w:val="en-US" w:eastAsia="zh-CN"/>
              </w:rPr>
              <w:t>G3033高速公路</w:t>
            </w:r>
            <w:r>
              <w:rPr>
                <w:rFonts w:hint="default" w:ascii="Times New Roman" w:hAnsi="Times New Roman" w:cs="Times New Roman"/>
                <w:b w:val="0"/>
                <w:bCs w:val="0"/>
                <w:color w:val="auto"/>
                <w:sz w:val="24"/>
                <w:szCs w:val="24"/>
                <w:highlight w:val="none"/>
              </w:rPr>
              <w:t>施工结束后对临时占地范围内场地进行平整和清理，采用</w:t>
            </w:r>
            <w:r>
              <w:rPr>
                <w:rFonts w:hint="eastAsia" w:ascii="Times New Roman" w:hAnsi="Times New Roman" w:cs="Times New Roman"/>
                <w:b w:val="0"/>
                <w:bCs w:val="0"/>
                <w:color w:val="auto"/>
                <w:sz w:val="24"/>
                <w:szCs w:val="24"/>
                <w:highlight w:val="none"/>
                <w:lang w:val="en-US" w:eastAsia="zh-CN"/>
              </w:rPr>
              <w:t>人工播撒草籽</w:t>
            </w:r>
            <w:r>
              <w:rPr>
                <w:rFonts w:hint="default" w:ascii="Times New Roman" w:hAnsi="Times New Roman" w:cs="Times New Roman"/>
                <w:b w:val="0"/>
                <w:bCs w:val="0"/>
                <w:color w:val="auto"/>
                <w:sz w:val="24"/>
                <w:szCs w:val="24"/>
                <w:highlight w:val="none"/>
              </w:rPr>
              <w:t>的方式对区域植被进行恢复，项目对项目所在区域土地沙化影响不大。</w:t>
            </w:r>
          </w:p>
          <w:p w14:paraId="0779A0CF">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5</w:t>
            </w:r>
            <w:r>
              <w:rPr>
                <w:rFonts w:hint="eastAsia"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生态系统及生物多样性影响</w:t>
            </w:r>
          </w:p>
          <w:p w14:paraId="60149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项目</w:t>
            </w:r>
            <w:r>
              <w:rPr>
                <w:rFonts w:ascii="宋体" w:hAnsi="宋体" w:eastAsia="宋体" w:cs="宋体"/>
                <w:color w:val="auto"/>
                <w:sz w:val="24"/>
                <w:szCs w:val="24"/>
                <w:highlight w:val="none"/>
              </w:rPr>
              <w:t>临时占地将会对生态系统的结构和功能产生一定影响，但本</w:t>
            </w:r>
            <w:r>
              <w:rPr>
                <w:rFonts w:hint="eastAsia" w:ascii="宋体" w:hAnsi="宋体" w:eastAsia="宋体" w:cs="宋体"/>
                <w:color w:val="auto"/>
                <w:sz w:val="24"/>
                <w:szCs w:val="24"/>
                <w:highlight w:val="none"/>
                <w:lang w:val="en-US" w:eastAsia="zh-CN"/>
              </w:rPr>
              <w:t>项目</w:t>
            </w:r>
            <w:r>
              <w:rPr>
                <w:rFonts w:ascii="宋体" w:hAnsi="宋体" w:eastAsia="宋体" w:cs="宋体"/>
                <w:color w:val="auto"/>
                <w:sz w:val="24"/>
                <w:szCs w:val="24"/>
                <w:highlight w:val="none"/>
              </w:rPr>
              <w:t>占地面积较小，仅对局部生态系统的结构和功能产生临时性</w:t>
            </w:r>
            <w:r>
              <w:rPr>
                <w:rFonts w:hint="default" w:ascii="Times New Roman" w:hAnsi="Times New Roman" w:eastAsia="宋体" w:cs="Times New Roman"/>
                <w:color w:val="auto"/>
                <w:sz w:val="24"/>
                <w:szCs w:val="24"/>
                <w:highlight w:val="none"/>
              </w:rPr>
              <w:t>影响，且随着</w:t>
            </w:r>
            <w:r>
              <w:rPr>
                <w:rFonts w:hint="default" w:ascii="Times New Roman" w:hAnsi="Times New Roman" w:eastAsia="宋体" w:cs="Times New Roman"/>
                <w:color w:val="auto"/>
                <w:sz w:val="24"/>
                <w:szCs w:val="24"/>
                <w:highlight w:val="none"/>
                <w:lang w:val="en-US" w:eastAsia="zh-CN"/>
              </w:rPr>
              <w:t>G3033高速公路</w:t>
            </w:r>
            <w:r>
              <w:rPr>
                <w:rFonts w:hint="default" w:ascii="Times New Roman" w:hAnsi="Times New Roman" w:eastAsia="宋体" w:cs="Times New Roman"/>
                <w:color w:val="auto"/>
                <w:sz w:val="24"/>
                <w:szCs w:val="24"/>
                <w:highlight w:val="none"/>
              </w:rPr>
              <w:t>施工结束后进行植被恢复，将恢复原有生态系统。</w:t>
            </w:r>
            <w:r>
              <w:rPr>
                <w:rFonts w:hint="eastAsia" w:ascii="Times New Roman" w:hAnsi="Times New Roman" w:eastAsia="宋体" w:cs="Times New Roman"/>
                <w:color w:val="auto"/>
                <w:sz w:val="24"/>
                <w:szCs w:val="24"/>
                <w:highlight w:val="none"/>
                <w:lang w:val="en-US" w:eastAsia="zh-CN"/>
              </w:rPr>
              <w:t>项目</w:t>
            </w:r>
            <w:r>
              <w:rPr>
                <w:rFonts w:ascii="宋体" w:hAnsi="宋体" w:eastAsia="宋体" w:cs="宋体"/>
                <w:color w:val="auto"/>
                <w:sz w:val="24"/>
                <w:szCs w:val="24"/>
                <w:highlight w:val="none"/>
              </w:rPr>
              <w:t>建设开挖将会对区域植被分布产生</w:t>
            </w:r>
            <w:r>
              <w:rPr>
                <w:rFonts w:hint="eastAsia" w:ascii="宋体" w:hAnsi="宋体" w:eastAsia="宋体" w:cs="宋体"/>
                <w:color w:val="auto"/>
                <w:sz w:val="24"/>
                <w:szCs w:val="24"/>
                <w:highlight w:val="none"/>
                <w:lang w:val="en-US" w:eastAsia="zh-CN"/>
              </w:rPr>
              <w:t>点</w:t>
            </w:r>
            <w:r>
              <w:rPr>
                <w:rFonts w:ascii="宋体" w:hAnsi="宋体" w:eastAsia="宋体" w:cs="宋体"/>
                <w:color w:val="auto"/>
                <w:sz w:val="24"/>
                <w:szCs w:val="24"/>
                <w:highlight w:val="none"/>
              </w:rPr>
              <w:t>状和破碎化影响，致使局部区域植被覆盖率、生物量有所降低，从占地的数量、比例和占地类型看，区域生物多样性不会因此改变</w:t>
            </w:r>
            <w:r>
              <w:rPr>
                <w:rFonts w:hint="eastAsia" w:ascii="宋体" w:hAnsi="宋体" w:eastAsia="宋体" w:cs="宋体"/>
                <w:color w:val="auto"/>
                <w:sz w:val="24"/>
                <w:szCs w:val="24"/>
                <w:highlight w:val="none"/>
                <w:lang w:eastAsia="zh-CN"/>
              </w:rPr>
              <w:t>。</w:t>
            </w:r>
          </w:p>
          <w:p w14:paraId="230976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2.生态环境保护措施</w:t>
            </w:r>
          </w:p>
          <w:p w14:paraId="0B7E33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（1）严格控制活动范围，严禁随意开辟道路及扩大扰动面积。</w:t>
            </w:r>
          </w:p>
          <w:p w14:paraId="467F23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color w:val="auto"/>
                <w:spacing w:val="10"/>
                <w:sz w:val="24"/>
                <w:szCs w:val="24"/>
                <w:lang w:val="en-US" w:eastAsia="zh-CN"/>
              </w:rPr>
            </w:pP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cs="Times New Roman"/>
                <w:bCs/>
                <w:color w:val="auto"/>
                <w:spacing w:val="10"/>
                <w:sz w:val="24"/>
                <w:szCs w:val="24"/>
                <w:lang w:val="en-US" w:eastAsia="zh-CN"/>
              </w:rPr>
              <w:t>确保各环保设施正常运行，避免各类污染物对土壤环境的影响，防止进一步影响其上部生长的野生植被。</w:t>
            </w:r>
          </w:p>
          <w:p w14:paraId="4377D4FE">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color w:val="auto"/>
                <w:sz w:val="24"/>
              </w:rPr>
            </w:pPr>
            <w:r>
              <w:rPr>
                <w:rFonts w:hint="eastAsia" w:ascii="Times New Roman" w:hAnsi="Times New Roman" w:cs="Times New Roman"/>
                <w:bCs/>
                <w:color w:val="auto"/>
                <w:spacing w:val="10"/>
                <w:sz w:val="24"/>
                <w:szCs w:val="24"/>
                <w:lang w:val="en-US" w:eastAsia="zh-CN"/>
              </w:rPr>
              <w:t>（3）</w:t>
            </w:r>
            <w:r>
              <w:rPr>
                <w:rFonts w:hint="eastAsia"/>
                <w:color w:val="auto"/>
                <w:sz w:val="24"/>
              </w:rPr>
              <w:t>设置警示牌，并从管理上对作业人员加强宣传教育，切实</w:t>
            </w:r>
            <w:r>
              <w:rPr>
                <w:rFonts w:hint="eastAsia"/>
                <w:color w:val="auto"/>
                <w:sz w:val="24"/>
                <w:lang w:eastAsia="zh-CN"/>
              </w:rPr>
              <w:t>增强</w:t>
            </w:r>
            <w:r>
              <w:rPr>
                <w:rFonts w:hint="eastAsia"/>
                <w:color w:val="auto"/>
                <w:sz w:val="24"/>
              </w:rPr>
              <w:t>保护生态环境的意识。</w:t>
            </w:r>
          </w:p>
          <w:p w14:paraId="2CD689A3">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default"/>
                <w:color w:val="auto"/>
                <w:sz w:val="24"/>
                <w:lang w:val="en-US" w:eastAsia="zh-CN"/>
              </w:rPr>
            </w:pPr>
            <w:r>
              <w:rPr>
                <w:rFonts w:hint="eastAsia" w:ascii="Times New Roman" w:hAnsi="Times New Roman" w:cs="Times New Roman"/>
                <w:bCs/>
                <w:color w:val="auto"/>
                <w:spacing w:val="10"/>
                <w:sz w:val="24"/>
                <w:szCs w:val="24"/>
                <w:lang w:val="en-US" w:eastAsia="zh-CN"/>
              </w:rPr>
              <w:t>（4）严禁施工人员随意砍伐。</w:t>
            </w:r>
          </w:p>
          <w:p w14:paraId="668331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sz w:val="24"/>
                <w:szCs w:val="32"/>
                <w:lang w:val="en-US" w:eastAsia="zh-CN"/>
              </w:rPr>
            </w:pPr>
            <w:r>
              <w:rPr>
                <w:rFonts w:hint="eastAsia"/>
                <w:b/>
                <w:bCs/>
                <w:color w:val="auto"/>
                <w:sz w:val="24"/>
                <w:szCs w:val="32"/>
                <w:lang w:val="en-US" w:eastAsia="zh-CN"/>
              </w:rPr>
              <w:t>4.12环境风险分析</w:t>
            </w:r>
          </w:p>
          <w:p w14:paraId="3E003722">
            <w:pPr>
              <w:pStyle w:val="12"/>
              <w:spacing w:after="0" w:line="360" w:lineRule="auto"/>
              <w:ind w:left="0" w:leftChars="0" w:right="0" w:rightChars="0" w:firstLine="480" w:firstLineChars="200"/>
              <w:rPr>
                <w:color w:val="auto"/>
                <w:sz w:val="24"/>
              </w:rPr>
            </w:pPr>
            <w:r>
              <w:rPr>
                <w:rFonts w:hint="eastAsia"/>
                <w:color w:val="auto"/>
                <w:sz w:val="24"/>
              </w:rPr>
              <w:t>（1）风险源调查</w:t>
            </w:r>
          </w:p>
          <w:p w14:paraId="0865F3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32"/>
                <w:highlight w:val="none"/>
                <w:lang w:val="en-US" w:eastAsia="zh-CN"/>
              </w:rPr>
            </w:pPr>
            <w:r>
              <w:rPr>
                <w:rFonts w:hint="eastAsia" w:ascii="Times New Roman" w:hAnsi="Times New Roman" w:eastAsia="宋体" w:cs="Times New Roman"/>
                <w:color w:val="auto"/>
                <w:sz w:val="24"/>
                <w:szCs w:val="32"/>
                <w:highlight w:val="none"/>
                <w:lang w:val="en-US" w:eastAsia="zh-CN"/>
              </w:rPr>
              <w:t>本项目危险物质主要包括</w:t>
            </w:r>
            <w:r>
              <w:rPr>
                <w:rFonts w:hint="eastAsia" w:cs="Times New Roman"/>
                <w:color w:val="auto"/>
                <w:sz w:val="24"/>
                <w:szCs w:val="32"/>
                <w:highlight w:val="none"/>
                <w:lang w:val="en-US" w:eastAsia="zh-CN"/>
              </w:rPr>
              <w:t>机油。</w:t>
            </w:r>
            <w:r>
              <w:rPr>
                <w:rFonts w:hint="eastAsia" w:ascii="Times New Roman" w:hAnsi="Times New Roman" w:eastAsia="宋体" w:cs="Times New Roman"/>
                <w:color w:val="auto"/>
                <w:sz w:val="24"/>
                <w:szCs w:val="32"/>
                <w:highlight w:val="none"/>
                <w:lang w:val="en-US" w:eastAsia="zh-CN"/>
              </w:rPr>
              <w:t>项目机械及运输车辆使用柴油，通过租用附近加油站小型加油罐车运输，随用随加，不在场区暂存。</w:t>
            </w:r>
          </w:p>
          <w:p w14:paraId="0EC3BC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highlight w:val="none"/>
                <w:lang w:val="en-US" w:eastAsia="zh-CN"/>
              </w:rPr>
            </w:pPr>
            <w:r>
              <w:rPr>
                <w:rFonts w:hint="eastAsia" w:cs="Times New Roman"/>
                <w:color w:val="auto"/>
                <w:sz w:val="24"/>
                <w:szCs w:val="32"/>
                <w:highlight w:val="none"/>
                <w:lang w:val="en-US" w:eastAsia="zh-CN"/>
              </w:rPr>
              <w:t>（2）风险潜势初判及评价等级</w:t>
            </w:r>
          </w:p>
          <w:p w14:paraId="2B373A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highlight w:val="none"/>
                <w:lang w:val="en-US" w:eastAsia="zh-CN"/>
              </w:rPr>
            </w:pPr>
            <w:r>
              <w:rPr>
                <w:rFonts w:hint="eastAsia" w:ascii="Times New Roman" w:hAnsi="Times New Roman" w:eastAsia="宋体" w:cs="Times New Roman"/>
                <w:color w:val="auto"/>
                <w:sz w:val="24"/>
                <w:szCs w:val="32"/>
                <w:highlight w:val="none"/>
                <w:lang w:val="en-US" w:eastAsia="zh-CN"/>
              </w:rPr>
              <w:t>根据《建设项目环境风险评价技术导则》（</w:t>
            </w:r>
            <w:r>
              <w:rPr>
                <w:rFonts w:hint="default" w:ascii="Times New Roman" w:hAnsi="Times New Roman" w:eastAsia="宋体" w:cs="Times New Roman"/>
                <w:color w:val="auto"/>
                <w:sz w:val="24"/>
                <w:szCs w:val="32"/>
                <w:highlight w:val="none"/>
                <w:lang w:val="en-US" w:eastAsia="zh-CN"/>
              </w:rPr>
              <w:t>HJ 169-2018</w:t>
            </w:r>
            <w:r>
              <w:rPr>
                <w:rFonts w:hint="eastAsia" w:ascii="Times New Roman" w:hAnsi="Times New Roman" w:eastAsia="宋体" w:cs="Times New Roman"/>
                <w:color w:val="auto"/>
                <w:sz w:val="24"/>
                <w:szCs w:val="32"/>
                <w:highlight w:val="none"/>
                <w:lang w:val="en-US" w:eastAsia="zh-CN"/>
              </w:rPr>
              <w:t>）附录</w:t>
            </w:r>
            <w:r>
              <w:rPr>
                <w:rFonts w:hint="default" w:ascii="Times New Roman" w:hAnsi="Times New Roman" w:eastAsia="宋体" w:cs="Times New Roman"/>
                <w:color w:val="auto"/>
                <w:sz w:val="24"/>
                <w:szCs w:val="32"/>
                <w:highlight w:val="none"/>
                <w:lang w:val="en-US" w:eastAsia="zh-CN"/>
              </w:rPr>
              <w:t>B</w:t>
            </w:r>
            <w:r>
              <w:rPr>
                <w:rFonts w:hint="eastAsia" w:ascii="Times New Roman" w:hAnsi="Times New Roman" w:eastAsia="宋体" w:cs="Times New Roman"/>
                <w:color w:val="auto"/>
                <w:sz w:val="24"/>
                <w:szCs w:val="32"/>
                <w:highlight w:val="none"/>
                <w:lang w:val="en-US" w:eastAsia="zh-CN"/>
              </w:rPr>
              <w:t>，项目危险物质与临界值的比值计算见表</w:t>
            </w:r>
            <w:r>
              <w:rPr>
                <w:rFonts w:hint="default" w:ascii="Times New Roman" w:hAnsi="Times New Roman" w:eastAsia="宋体" w:cs="Times New Roman"/>
                <w:color w:val="auto"/>
                <w:sz w:val="24"/>
                <w:szCs w:val="32"/>
                <w:highlight w:val="none"/>
                <w:lang w:val="en-US" w:eastAsia="zh-CN"/>
              </w:rPr>
              <w:t>4-</w:t>
            </w:r>
            <w:r>
              <w:rPr>
                <w:rFonts w:hint="eastAsia" w:cs="Times New Roman"/>
                <w:color w:val="auto"/>
                <w:sz w:val="24"/>
                <w:szCs w:val="32"/>
                <w:highlight w:val="none"/>
                <w:lang w:val="en-US" w:eastAsia="zh-CN"/>
              </w:rPr>
              <w:t>11</w:t>
            </w:r>
            <w:r>
              <w:rPr>
                <w:rFonts w:hint="eastAsia" w:ascii="Times New Roman" w:hAnsi="Times New Roman" w:eastAsia="宋体" w:cs="Times New Roman"/>
                <w:color w:val="auto"/>
                <w:sz w:val="24"/>
                <w:szCs w:val="32"/>
                <w:highlight w:val="none"/>
                <w:lang w:val="en-US" w:eastAsia="zh-CN"/>
              </w:rPr>
              <w:t>。</w:t>
            </w:r>
          </w:p>
          <w:p w14:paraId="1D2D7B89">
            <w:pPr>
              <w:bidi w:val="0"/>
              <w:jc w:val="center"/>
              <w:rPr>
                <w:rFonts w:hint="eastAsia"/>
                <w:b/>
                <w:bCs/>
                <w:color w:val="auto"/>
                <w:lang w:val="en-US" w:eastAsia="zh-CN"/>
              </w:rPr>
            </w:pPr>
            <w:r>
              <w:rPr>
                <w:rFonts w:hint="eastAsia"/>
                <w:b/>
                <w:bCs/>
                <w:color w:val="auto"/>
                <w:lang w:val="en-US" w:eastAsia="zh-CN"/>
              </w:rPr>
              <w:t>表4-11  环境风险识别一览表</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85" w:type="dxa"/>
                <w:bottom w:w="0" w:type="dxa"/>
                <w:right w:w="85" w:type="dxa"/>
              </w:tblCellMar>
            </w:tblPr>
            <w:tblGrid>
              <w:gridCol w:w="1486"/>
              <w:gridCol w:w="1778"/>
              <w:gridCol w:w="1698"/>
              <w:gridCol w:w="1476"/>
              <w:gridCol w:w="1553"/>
            </w:tblGrid>
            <w:tr w14:paraId="64F59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40" w:hRule="atLeast"/>
                <w:jc w:val="center"/>
              </w:trPr>
              <w:tc>
                <w:tcPr>
                  <w:tcW w:w="929" w:type="pct"/>
                  <w:tcBorders>
                    <w:tl2br w:val="nil"/>
                    <w:tr2bl w:val="nil"/>
                  </w:tcBorders>
                  <w:noWrap w:val="0"/>
                  <w:vAlign w:val="center"/>
                </w:tcPr>
                <w:p w14:paraId="0A663AB3">
                  <w:pPr>
                    <w:adjustRightInd w:val="0"/>
                    <w:snapToGrid w:val="0"/>
                    <w:spacing w:line="320" w:lineRule="exact"/>
                    <w:ind w:firstLine="0" w:firstLineChars="0"/>
                    <w:jc w:val="center"/>
                    <w:rPr>
                      <w:b/>
                      <w:bCs/>
                      <w:color w:val="auto"/>
                      <w:sz w:val="21"/>
                      <w:szCs w:val="21"/>
                    </w:rPr>
                  </w:pPr>
                  <w:r>
                    <w:rPr>
                      <w:rFonts w:hint="eastAsia"/>
                      <w:b/>
                      <w:bCs/>
                      <w:color w:val="auto"/>
                      <w:sz w:val="21"/>
                      <w:szCs w:val="21"/>
                      <w:lang w:val="en-US" w:eastAsia="zh-CN"/>
                    </w:rPr>
                    <w:t>物质</w:t>
                  </w:r>
                  <w:r>
                    <w:rPr>
                      <w:b/>
                      <w:bCs/>
                      <w:color w:val="auto"/>
                      <w:sz w:val="21"/>
                      <w:szCs w:val="21"/>
                    </w:rPr>
                    <w:t>名称</w:t>
                  </w:r>
                </w:p>
              </w:tc>
              <w:tc>
                <w:tcPr>
                  <w:tcW w:w="1112" w:type="pct"/>
                  <w:tcBorders>
                    <w:tl2br w:val="nil"/>
                    <w:tr2bl w:val="nil"/>
                  </w:tcBorders>
                  <w:noWrap w:val="0"/>
                  <w:vAlign w:val="center"/>
                </w:tcPr>
                <w:p w14:paraId="70F79C79">
                  <w:pPr>
                    <w:adjustRightInd w:val="0"/>
                    <w:snapToGrid w:val="0"/>
                    <w:spacing w:line="320" w:lineRule="exact"/>
                    <w:ind w:firstLine="0" w:firstLineChars="0"/>
                    <w:jc w:val="center"/>
                    <w:rPr>
                      <w:b/>
                      <w:bCs/>
                      <w:color w:val="auto"/>
                      <w:sz w:val="21"/>
                      <w:szCs w:val="21"/>
                    </w:rPr>
                  </w:pPr>
                  <w:r>
                    <w:rPr>
                      <w:rFonts w:hint="eastAsia"/>
                      <w:b/>
                      <w:bCs/>
                      <w:color w:val="auto"/>
                      <w:sz w:val="21"/>
                      <w:szCs w:val="21"/>
                    </w:rPr>
                    <w:t>储存位置</w:t>
                  </w:r>
                </w:p>
              </w:tc>
              <w:tc>
                <w:tcPr>
                  <w:tcW w:w="1062" w:type="pct"/>
                  <w:tcBorders>
                    <w:tl2br w:val="nil"/>
                    <w:tr2bl w:val="nil"/>
                  </w:tcBorders>
                  <w:noWrap w:val="0"/>
                  <w:vAlign w:val="center"/>
                </w:tcPr>
                <w:p w14:paraId="6D189FE9">
                  <w:pPr>
                    <w:adjustRightInd w:val="0"/>
                    <w:snapToGrid w:val="0"/>
                    <w:spacing w:line="320" w:lineRule="exact"/>
                    <w:ind w:firstLine="0" w:firstLineChars="0"/>
                    <w:jc w:val="center"/>
                    <w:rPr>
                      <w:b/>
                      <w:bCs/>
                      <w:color w:val="auto"/>
                      <w:sz w:val="21"/>
                      <w:szCs w:val="21"/>
                    </w:rPr>
                  </w:pPr>
                  <w:r>
                    <w:rPr>
                      <w:b/>
                      <w:bCs/>
                      <w:color w:val="auto"/>
                      <w:sz w:val="21"/>
                      <w:szCs w:val="21"/>
                    </w:rPr>
                    <w:t>最大储存量t</w:t>
                  </w:r>
                </w:p>
              </w:tc>
              <w:tc>
                <w:tcPr>
                  <w:tcW w:w="923" w:type="pct"/>
                  <w:tcBorders>
                    <w:tl2br w:val="nil"/>
                    <w:tr2bl w:val="nil"/>
                  </w:tcBorders>
                  <w:noWrap w:val="0"/>
                  <w:vAlign w:val="center"/>
                </w:tcPr>
                <w:p w14:paraId="46186111">
                  <w:pPr>
                    <w:adjustRightInd w:val="0"/>
                    <w:snapToGrid w:val="0"/>
                    <w:spacing w:line="320" w:lineRule="exact"/>
                    <w:ind w:firstLine="0" w:firstLineChars="0"/>
                    <w:jc w:val="center"/>
                    <w:rPr>
                      <w:b/>
                      <w:bCs/>
                      <w:color w:val="auto"/>
                      <w:sz w:val="21"/>
                      <w:szCs w:val="21"/>
                    </w:rPr>
                  </w:pPr>
                  <w:r>
                    <w:rPr>
                      <w:b/>
                      <w:bCs/>
                      <w:color w:val="auto"/>
                      <w:sz w:val="21"/>
                      <w:szCs w:val="21"/>
                    </w:rPr>
                    <w:t>临界量</w:t>
                  </w:r>
                </w:p>
              </w:tc>
              <w:tc>
                <w:tcPr>
                  <w:tcW w:w="971" w:type="pct"/>
                  <w:tcBorders>
                    <w:tl2br w:val="nil"/>
                    <w:tr2bl w:val="nil"/>
                  </w:tcBorders>
                  <w:noWrap w:val="0"/>
                  <w:vAlign w:val="center"/>
                </w:tcPr>
                <w:p w14:paraId="71EA9F1C">
                  <w:pPr>
                    <w:adjustRightInd w:val="0"/>
                    <w:snapToGrid w:val="0"/>
                    <w:spacing w:line="320" w:lineRule="exact"/>
                    <w:ind w:firstLine="0" w:firstLineChars="0"/>
                    <w:jc w:val="center"/>
                    <w:rPr>
                      <w:b/>
                      <w:bCs/>
                      <w:color w:val="auto"/>
                      <w:sz w:val="21"/>
                      <w:szCs w:val="21"/>
                    </w:rPr>
                  </w:pPr>
                  <w:r>
                    <w:rPr>
                      <w:b/>
                      <w:bCs/>
                      <w:color w:val="auto"/>
                      <w:sz w:val="21"/>
                      <w:szCs w:val="21"/>
                    </w:rPr>
                    <w:t>Q</w:t>
                  </w:r>
                </w:p>
              </w:tc>
            </w:tr>
            <w:tr w14:paraId="1268DB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40" w:hRule="atLeast"/>
                <w:jc w:val="center"/>
              </w:trPr>
              <w:tc>
                <w:tcPr>
                  <w:tcW w:w="929" w:type="pct"/>
                  <w:tcBorders>
                    <w:tl2br w:val="nil"/>
                    <w:tr2bl w:val="nil"/>
                  </w:tcBorders>
                  <w:noWrap w:val="0"/>
                  <w:vAlign w:val="center"/>
                </w:tcPr>
                <w:p w14:paraId="0068BBCF">
                  <w:pPr>
                    <w:adjustRightInd w:val="0"/>
                    <w:snapToGrid w:val="0"/>
                    <w:spacing w:line="320" w:lineRule="exact"/>
                    <w:ind w:firstLine="0" w:firstLineChars="0"/>
                    <w:jc w:val="center"/>
                    <w:rPr>
                      <w:rFonts w:hint="default" w:eastAsia="宋体"/>
                      <w:color w:val="auto"/>
                      <w:sz w:val="21"/>
                      <w:szCs w:val="21"/>
                      <w:lang w:val="en-US" w:eastAsia="zh-CN"/>
                    </w:rPr>
                  </w:pPr>
                  <w:r>
                    <w:rPr>
                      <w:rFonts w:hint="eastAsia"/>
                      <w:color w:val="auto"/>
                      <w:sz w:val="21"/>
                      <w:szCs w:val="21"/>
                      <w:lang w:val="en-US" w:eastAsia="zh-CN"/>
                    </w:rPr>
                    <w:t>机油</w:t>
                  </w:r>
                </w:p>
              </w:tc>
              <w:tc>
                <w:tcPr>
                  <w:tcW w:w="1112" w:type="pct"/>
                  <w:tcBorders>
                    <w:tl2br w:val="nil"/>
                    <w:tr2bl w:val="nil"/>
                  </w:tcBorders>
                  <w:noWrap w:val="0"/>
                  <w:vAlign w:val="center"/>
                </w:tcPr>
                <w:p w14:paraId="71502FAA">
                  <w:pPr>
                    <w:adjustRightInd w:val="0"/>
                    <w:snapToGrid w:val="0"/>
                    <w:spacing w:line="320" w:lineRule="exact"/>
                    <w:ind w:firstLine="0" w:firstLineChars="0"/>
                    <w:jc w:val="center"/>
                    <w:rPr>
                      <w:rFonts w:hint="default" w:eastAsia="宋体"/>
                      <w:color w:val="auto"/>
                      <w:sz w:val="21"/>
                      <w:szCs w:val="21"/>
                      <w:lang w:val="en-US" w:eastAsia="zh-CN"/>
                    </w:rPr>
                  </w:pPr>
                  <w:r>
                    <w:rPr>
                      <w:rFonts w:hint="eastAsia"/>
                      <w:color w:val="auto"/>
                      <w:sz w:val="21"/>
                      <w:szCs w:val="21"/>
                      <w:lang w:val="en-US" w:eastAsia="zh-CN"/>
                    </w:rPr>
                    <w:t>厂区设备和车辆</w:t>
                  </w:r>
                </w:p>
              </w:tc>
              <w:tc>
                <w:tcPr>
                  <w:tcW w:w="1062" w:type="pct"/>
                  <w:tcBorders>
                    <w:tl2br w:val="nil"/>
                    <w:tr2bl w:val="nil"/>
                  </w:tcBorders>
                  <w:noWrap w:val="0"/>
                  <w:vAlign w:val="center"/>
                </w:tcPr>
                <w:p w14:paraId="31C9BF5D">
                  <w:pPr>
                    <w:adjustRightInd w:val="0"/>
                    <w:snapToGrid w:val="0"/>
                    <w:spacing w:line="320" w:lineRule="exact"/>
                    <w:ind w:firstLine="0" w:firstLineChars="0"/>
                    <w:jc w:val="center"/>
                    <w:rPr>
                      <w:rFonts w:hint="default" w:eastAsia="宋体"/>
                      <w:color w:val="auto"/>
                      <w:sz w:val="21"/>
                      <w:szCs w:val="21"/>
                      <w:lang w:val="en-US" w:eastAsia="zh-CN"/>
                    </w:rPr>
                  </w:pPr>
                  <w:r>
                    <w:rPr>
                      <w:rFonts w:hint="eastAsia"/>
                      <w:color w:val="auto"/>
                      <w:sz w:val="21"/>
                      <w:szCs w:val="21"/>
                      <w:lang w:val="en-US" w:eastAsia="zh-CN"/>
                    </w:rPr>
                    <w:t>0.5</w:t>
                  </w:r>
                </w:p>
              </w:tc>
              <w:tc>
                <w:tcPr>
                  <w:tcW w:w="923" w:type="pct"/>
                  <w:tcBorders>
                    <w:tl2br w:val="nil"/>
                    <w:tr2bl w:val="nil"/>
                  </w:tcBorders>
                  <w:noWrap w:val="0"/>
                  <w:vAlign w:val="center"/>
                </w:tcPr>
                <w:p w14:paraId="48F6105E">
                  <w:pPr>
                    <w:adjustRightInd w:val="0"/>
                    <w:snapToGrid w:val="0"/>
                    <w:spacing w:line="320" w:lineRule="exact"/>
                    <w:ind w:firstLine="0" w:firstLineChars="0"/>
                    <w:jc w:val="center"/>
                    <w:rPr>
                      <w:rFonts w:hint="default" w:eastAsia="宋体"/>
                      <w:color w:val="auto"/>
                      <w:sz w:val="21"/>
                      <w:szCs w:val="21"/>
                      <w:lang w:val="en-US" w:eastAsia="zh-CN"/>
                    </w:rPr>
                  </w:pPr>
                  <w:r>
                    <w:rPr>
                      <w:rFonts w:hint="eastAsia"/>
                      <w:color w:val="auto"/>
                      <w:sz w:val="21"/>
                      <w:szCs w:val="21"/>
                      <w:lang w:val="en-US" w:eastAsia="zh-CN"/>
                    </w:rPr>
                    <w:t>2500</w:t>
                  </w:r>
                </w:p>
              </w:tc>
              <w:tc>
                <w:tcPr>
                  <w:tcW w:w="971" w:type="pct"/>
                  <w:tcBorders>
                    <w:tl2br w:val="nil"/>
                    <w:tr2bl w:val="nil"/>
                  </w:tcBorders>
                  <w:noWrap w:val="0"/>
                  <w:vAlign w:val="center"/>
                </w:tcPr>
                <w:p w14:paraId="6A5D0CEE">
                  <w:pPr>
                    <w:adjustRightInd w:val="0"/>
                    <w:snapToGrid w:val="0"/>
                    <w:spacing w:line="320" w:lineRule="exact"/>
                    <w:ind w:firstLine="0" w:firstLineChars="0"/>
                    <w:jc w:val="center"/>
                    <w:rPr>
                      <w:rFonts w:hint="default" w:eastAsia="宋体"/>
                      <w:color w:val="auto"/>
                      <w:sz w:val="21"/>
                      <w:szCs w:val="21"/>
                      <w:lang w:val="en-US" w:eastAsia="zh-CN"/>
                    </w:rPr>
                  </w:pPr>
                  <w:r>
                    <w:rPr>
                      <w:rFonts w:hint="eastAsia"/>
                      <w:color w:val="auto"/>
                      <w:sz w:val="21"/>
                      <w:szCs w:val="21"/>
                      <w:lang w:val="en-US" w:eastAsia="zh-CN"/>
                    </w:rPr>
                    <w:t>0.0002</w:t>
                  </w:r>
                </w:p>
              </w:tc>
            </w:tr>
          </w:tbl>
          <w:p w14:paraId="2ADB12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综上，项目Q=</w:t>
            </w:r>
            <w:r>
              <w:rPr>
                <w:rFonts w:hint="default" w:ascii="Times New Roman" w:hAnsi="Times New Roman" w:cs="Times New Roman"/>
                <w:color w:val="auto"/>
                <w:sz w:val="24"/>
                <w:szCs w:val="32"/>
                <w:highlight w:val="none"/>
                <w:lang w:val="en-US" w:eastAsia="zh-CN"/>
              </w:rPr>
              <w:t>0.0002</w:t>
            </w:r>
            <w:r>
              <w:rPr>
                <w:rFonts w:hint="default" w:ascii="Times New Roman" w:hAnsi="Times New Roman" w:eastAsia="宋体" w:cs="Times New Roman"/>
                <w:color w:val="auto"/>
                <w:sz w:val="24"/>
                <w:szCs w:val="32"/>
                <w:highlight w:val="none"/>
                <w:lang w:val="en-US" w:eastAsia="zh-CN"/>
              </w:rPr>
              <w:t>＜1，环境风险潜势划分为Ⅰ级，对环境风险开展简单分析。</w:t>
            </w:r>
          </w:p>
          <w:p w14:paraId="2307F860">
            <w:pPr>
              <w:spacing w:line="360" w:lineRule="auto"/>
              <w:ind w:firstLine="480" w:firstLineChars="200"/>
              <w:rPr>
                <w:rFonts w:hint="default" w:ascii="Times New Roman" w:hAnsi="Times New Roman" w:eastAsia="宋体" w:cs="Times New Roman"/>
                <w:color w:val="auto"/>
                <w:sz w:val="24"/>
                <w:szCs w:val="32"/>
                <w:lang w:val="en-US" w:eastAsia="zh-CN"/>
              </w:rPr>
            </w:pPr>
            <w:r>
              <w:rPr>
                <w:rFonts w:hint="eastAsia" w:cs="Times New Roman"/>
                <w:color w:val="auto"/>
                <w:sz w:val="24"/>
                <w:szCs w:val="32"/>
                <w:lang w:eastAsia="zh-CN"/>
              </w:rPr>
              <w:t>（</w:t>
            </w:r>
            <w:r>
              <w:rPr>
                <w:rFonts w:hint="eastAsia" w:cs="Times New Roman"/>
                <w:color w:val="auto"/>
                <w:sz w:val="24"/>
                <w:szCs w:val="32"/>
                <w:lang w:val="en-US" w:eastAsia="zh-CN"/>
              </w:rPr>
              <w:t>3</w:t>
            </w:r>
            <w:r>
              <w:rPr>
                <w:rFonts w:hint="eastAsia" w:cs="Times New Roman"/>
                <w:color w:val="auto"/>
                <w:sz w:val="24"/>
                <w:szCs w:val="32"/>
                <w:lang w:eastAsia="zh-CN"/>
              </w:rPr>
              <w:t>）</w:t>
            </w:r>
            <w:r>
              <w:rPr>
                <w:rFonts w:hint="eastAsia" w:cs="Times New Roman"/>
                <w:color w:val="auto"/>
                <w:sz w:val="24"/>
                <w:szCs w:val="32"/>
                <w:lang w:val="en-US" w:eastAsia="zh-CN"/>
              </w:rPr>
              <w:t>环境敏感目标概况</w:t>
            </w:r>
          </w:p>
          <w:p w14:paraId="35B273CA">
            <w:pPr>
              <w:spacing w:line="360" w:lineRule="auto"/>
              <w:ind w:firstLine="480" w:firstLineChars="200"/>
              <w:rPr>
                <w:rFonts w:hint="default" w:ascii="Times New Roman" w:hAnsi="Times New Roman" w:eastAsia="宋体" w:cs="Times New Roman"/>
                <w:color w:val="auto"/>
                <w:sz w:val="24"/>
                <w:szCs w:val="32"/>
                <w:lang w:val="en-US" w:eastAsia="zh-CN"/>
              </w:rPr>
            </w:pPr>
            <w:r>
              <w:rPr>
                <w:rFonts w:hint="eastAsia" w:cs="Times New Roman"/>
                <w:color w:val="auto"/>
                <w:sz w:val="24"/>
                <w:szCs w:val="32"/>
                <w:lang w:val="en-US" w:eastAsia="zh-CN"/>
              </w:rPr>
              <w:t>项目区不涉及国家公园、自然保护区、基本草原、自然公园以及居住、医疗卫生为主要功能的区域。</w:t>
            </w:r>
          </w:p>
          <w:p w14:paraId="348A4FA3">
            <w:pPr>
              <w:spacing w:line="360" w:lineRule="auto"/>
              <w:ind w:firstLine="480" w:firstLineChars="200"/>
              <w:rPr>
                <w:rFonts w:hint="default" w:ascii="Times New Roman" w:hAnsi="Times New Roman" w:eastAsia="宋体" w:cs="Times New Roman"/>
                <w:color w:val="auto"/>
                <w:sz w:val="24"/>
                <w:szCs w:val="32"/>
                <w:lang w:val="en-US" w:eastAsia="zh-CN"/>
              </w:rPr>
            </w:pPr>
            <w:r>
              <w:rPr>
                <w:rFonts w:hint="default" w:ascii="Times New Roman" w:hAnsi="Times New Roman" w:cs="Times New Roman"/>
                <w:color w:val="auto"/>
                <w:sz w:val="24"/>
                <w:szCs w:val="32"/>
              </w:rPr>
              <w:t>（</w:t>
            </w:r>
            <w:r>
              <w:rPr>
                <w:rFonts w:hint="eastAsia" w:cs="Times New Roman"/>
                <w:color w:val="auto"/>
                <w:sz w:val="24"/>
                <w:szCs w:val="32"/>
                <w:lang w:val="en-US" w:eastAsia="zh-CN"/>
              </w:rPr>
              <w:t>4</w:t>
            </w:r>
            <w:r>
              <w:rPr>
                <w:rFonts w:hint="default" w:ascii="Times New Roman" w:hAnsi="Times New Roman" w:cs="Times New Roman"/>
                <w:color w:val="auto"/>
                <w:sz w:val="24"/>
                <w:szCs w:val="32"/>
              </w:rPr>
              <w:t>）</w:t>
            </w:r>
            <w:r>
              <w:rPr>
                <w:rFonts w:hint="eastAsia" w:cs="Times New Roman"/>
                <w:color w:val="auto"/>
                <w:sz w:val="24"/>
                <w:szCs w:val="32"/>
                <w:lang w:val="en-US" w:eastAsia="zh-CN"/>
              </w:rPr>
              <w:t>环境风险识别</w:t>
            </w:r>
          </w:p>
          <w:p w14:paraId="22E66B70">
            <w:pPr>
              <w:spacing w:line="360" w:lineRule="auto"/>
              <w:ind w:firstLine="480" w:firstLineChars="200"/>
              <w:rPr>
                <w:rFonts w:hint="default" w:eastAsia="宋体"/>
                <w:color w:val="auto"/>
                <w:sz w:val="24"/>
                <w:szCs w:val="32"/>
                <w:highlight w:val="none"/>
                <w:lang w:val="en-US" w:eastAsia="zh-CN"/>
              </w:rPr>
            </w:pPr>
            <w:r>
              <w:rPr>
                <w:rFonts w:hint="eastAsia"/>
                <w:color w:val="auto"/>
                <w:sz w:val="24"/>
                <w:szCs w:val="32"/>
                <w:highlight w:val="none"/>
                <w:lang w:val="en-US" w:eastAsia="zh-CN"/>
              </w:rPr>
              <w:t>机油理化性质见表4-12。</w:t>
            </w:r>
          </w:p>
          <w:p w14:paraId="1FF7C3CA">
            <w:pPr>
              <w:spacing w:line="240" w:lineRule="auto"/>
              <w:jc w:val="center"/>
              <w:rPr>
                <w:rFonts w:hint="default" w:eastAsia="宋体"/>
                <w:b/>
                <w:bCs/>
                <w:color w:val="auto"/>
                <w:sz w:val="21"/>
                <w:szCs w:val="24"/>
                <w:highlight w:val="none"/>
                <w:lang w:val="en-US" w:eastAsia="zh-CN"/>
              </w:rPr>
            </w:pPr>
            <w:r>
              <w:rPr>
                <w:rFonts w:hint="eastAsia"/>
                <w:b/>
                <w:bCs/>
                <w:color w:val="auto"/>
                <w:sz w:val="21"/>
                <w:szCs w:val="24"/>
                <w:highlight w:val="none"/>
                <w:lang w:val="en-US" w:eastAsia="zh-CN"/>
              </w:rPr>
              <w:t>表4-12  机油理化性质一览表</w:t>
            </w:r>
          </w:p>
          <w:tbl>
            <w:tblPr>
              <w:tblStyle w:val="28"/>
              <w:tblW w:w="496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383"/>
              <w:gridCol w:w="3212"/>
              <w:gridCol w:w="1315"/>
              <w:gridCol w:w="2026"/>
            </w:tblGrid>
            <w:tr w14:paraId="3DB29C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vAlign w:val="center"/>
                </w:tcPr>
                <w:p w14:paraId="7FF0B6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化学品名称</w:t>
                  </w:r>
                </w:p>
              </w:tc>
              <w:tc>
                <w:tcPr>
                  <w:tcW w:w="2023" w:type="pct"/>
                  <w:tcBorders>
                    <w:tl2br w:val="nil"/>
                    <w:tr2bl w:val="nil"/>
                  </w:tcBorders>
                  <w:vAlign w:val="center"/>
                </w:tcPr>
                <w:p w14:paraId="58A7E6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润滑油</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机油</w:t>
                  </w:r>
                </w:p>
              </w:tc>
              <w:tc>
                <w:tcPr>
                  <w:tcW w:w="828" w:type="pct"/>
                  <w:tcBorders>
                    <w:tl2br w:val="nil"/>
                    <w:tr2bl w:val="nil"/>
                  </w:tcBorders>
                  <w:vAlign w:val="center"/>
                </w:tcPr>
                <w:p w14:paraId="0A0223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英文名称</w:t>
                  </w:r>
                </w:p>
              </w:tc>
              <w:tc>
                <w:tcPr>
                  <w:tcW w:w="1275" w:type="pct"/>
                  <w:tcBorders>
                    <w:tl2br w:val="nil"/>
                    <w:tr2bl w:val="nil"/>
                  </w:tcBorders>
                  <w:vAlign w:val="center"/>
                </w:tcPr>
                <w:p w14:paraId="09A3123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lubricating oil</w:t>
                  </w:r>
                </w:p>
              </w:tc>
            </w:tr>
            <w:tr w14:paraId="540870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vAlign w:val="center"/>
                </w:tcPr>
                <w:p w14:paraId="36A35F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CAS号</w:t>
                  </w:r>
                </w:p>
              </w:tc>
              <w:tc>
                <w:tcPr>
                  <w:tcW w:w="2023" w:type="pct"/>
                  <w:tcBorders>
                    <w:tl2br w:val="nil"/>
                    <w:tr2bl w:val="nil"/>
                  </w:tcBorders>
                  <w:vAlign w:val="center"/>
                </w:tcPr>
                <w:p w14:paraId="70D85C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74869-22-0</w:t>
                  </w:r>
                </w:p>
              </w:tc>
              <w:tc>
                <w:tcPr>
                  <w:tcW w:w="828" w:type="pct"/>
                  <w:tcBorders>
                    <w:tl2br w:val="nil"/>
                    <w:tr2bl w:val="nil"/>
                  </w:tcBorders>
                  <w:vAlign w:val="center"/>
                </w:tcPr>
                <w:p w14:paraId="16905AD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UN号</w:t>
                  </w:r>
                </w:p>
              </w:tc>
              <w:tc>
                <w:tcPr>
                  <w:tcW w:w="1275" w:type="pct"/>
                  <w:tcBorders>
                    <w:tl2br w:val="nil"/>
                    <w:tr2bl w:val="nil"/>
                  </w:tcBorders>
                  <w:vAlign w:val="center"/>
                </w:tcPr>
                <w:p w14:paraId="1F2E58E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1869</w:t>
                  </w:r>
                </w:p>
              </w:tc>
            </w:tr>
            <w:tr w14:paraId="094025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55748B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外观与性状</w:t>
                  </w:r>
                </w:p>
              </w:tc>
              <w:tc>
                <w:tcPr>
                  <w:tcW w:w="2023" w:type="pct"/>
                  <w:tcBorders>
                    <w:tl2br w:val="nil"/>
                    <w:tr2bl w:val="nil"/>
                  </w:tcBorders>
                  <w:shd w:val="clear" w:color="auto" w:fill="auto"/>
                  <w:vAlign w:val="center"/>
                </w:tcPr>
                <w:p w14:paraId="503B318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油状液体</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淡黄色至褐色</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无气味或略带异味。</w:t>
                  </w:r>
                </w:p>
              </w:tc>
              <w:tc>
                <w:tcPr>
                  <w:tcW w:w="828" w:type="pct"/>
                  <w:tcBorders>
                    <w:tl2br w:val="nil"/>
                    <w:tr2bl w:val="nil"/>
                  </w:tcBorders>
                  <w:shd w:val="clear" w:color="auto" w:fill="auto"/>
                  <w:vAlign w:val="center"/>
                </w:tcPr>
                <w:p w14:paraId="73F3FD0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pH</w:t>
                  </w:r>
                </w:p>
              </w:tc>
              <w:tc>
                <w:tcPr>
                  <w:tcW w:w="1275" w:type="pct"/>
                  <w:tcBorders>
                    <w:tl2br w:val="nil"/>
                    <w:tr2bl w:val="nil"/>
                  </w:tcBorders>
                  <w:shd w:val="clear" w:color="auto" w:fill="auto"/>
                  <w:vAlign w:val="center"/>
                </w:tcPr>
                <w:p w14:paraId="31ADA0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445161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391451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焰点（℃）</w:t>
                  </w:r>
                </w:p>
              </w:tc>
              <w:tc>
                <w:tcPr>
                  <w:tcW w:w="2023" w:type="pct"/>
                  <w:tcBorders>
                    <w:tl2br w:val="nil"/>
                    <w:tr2bl w:val="nil"/>
                  </w:tcBorders>
                  <w:shd w:val="clear" w:color="auto" w:fill="auto"/>
                  <w:vAlign w:val="center"/>
                </w:tcPr>
                <w:p w14:paraId="6FBD43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c>
                <w:tcPr>
                  <w:tcW w:w="828" w:type="pct"/>
                  <w:tcBorders>
                    <w:tl2br w:val="nil"/>
                    <w:tr2bl w:val="nil"/>
                  </w:tcBorders>
                  <w:shd w:val="clear" w:color="auto" w:fill="auto"/>
                  <w:vAlign w:val="center"/>
                </w:tcPr>
                <w:p w14:paraId="3BE647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沸点/沸程（℃）</w:t>
                  </w:r>
                </w:p>
              </w:tc>
              <w:tc>
                <w:tcPr>
                  <w:tcW w:w="1275" w:type="pct"/>
                  <w:tcBorders>
                    <w:tl2br w:val="nil"/>
                    <w:tr2bl w:val="nil"/>
                  </w:tcBorders>
                  <w:shd w:val="clear" w:color="auto" w:fill="auto"/>
                  <w:vAlign w:val="center"/>
                </w:tcPr>
                <w:p w14:paraId="65FCC6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366ECD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239516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相对密度（水=1）</w:t>
                  </w:r>
                </w:p>
              </w:tc>
              <w:tc>
                <w:tcPr>
                  <w:tcW w:w="2023" w:type="pct"/>
                  <w:tcBorders>
                    <w:tl2br w:val="nil"/>
                    <w:tr2bl w:val="nil"/>
                  </w:tcBorders>
                  <w:shd w:val="clear" w:color="auto" w:fill="auto"/>
                  <w:vAlign w:val="center"/>
                </w:tcPr>
                <w:p w14:paraId="4066777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0.82~0.93</w:t>
                  </w:r>
                </w:p>
              </w:tc>
              <w:tc>
                <w:tcPr>
                  <w:tcW w:w="828" w:type="pct"/>
                  <w:tcBorders>
                    <w:tl2br w:val="nil"/>
                    <w:tr2bl w:val="nil"/>
                  </w:tcBorders>
                  <w:shd w:val="clear" w:color="auto" w:fill="auto"/>
                  <w:vAlign w:val="center"/>
                </w:tcPr>
                <w:p w14:paraId="0C564E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相对蒸汽密度（空气=1）</w:t>
                  </w:r>
                </w:p>
              </w:tc>
              <w:tc>
                <w:tcPr>
                  <w:tcW w:w="1275" w:type="pct"/>
                  <w:tcBorders>
                    <w:tl2br w:val="nil"/>
                    <w:tr2bl w:val="nil"/>
                  </w:tcBorders>
                  <w:shd w:val="clear" w:color="auto" w:fill="auto"/>
                  <w:vAlign w:val="center"/>
                </w:tcPr>
                <w:p w14:paraId="518E41C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04DF22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7B0694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饱和蒸气压（kPa）</w:t>
                  </w:r>
                </w:p>
              </w:tc>
              <w:tc>
                <w:tcPr>
                  <w:tcW w:w="2023" w:type="pct"/>
                  <w:tcBorders>
                    <w:tl2br w:val="nil"/>
                    <w:tr2bl w:val="nil"/>
                  </w:tcBorders>
                  <w:shd w:val="clear" w:color="auto" w:fill="auto"/>
                  <w:vAlign w:val="center"/>
                </w:tcPr>
                <w:p w14:paraId="0A4919E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c>
                <w:tcPr>
                  <w:tcW w:w="828" w:type="pct"/>
                  <w:tcBorders>
                    <w:tl2br w:val="nil"/>
                    <w:tr2bl w:val="nil"/>
                  </w:tcBorders>
                  <w:shd w:val="clear" w:color="auto" w:fill="auto"/>
                  <w:vAlign w:val="center"/>
                </w:tcPr>
                <w:p w14:paraId="50CE55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燃烧热（KJ/mol）</w:t>
                  </w:r>
                </w:p>
              </w:tc>
              <w:tc>
                <w:tcPr>
                  <w:tcW w:w="1275" w:type="pct"/>
                  <w:tcBorders>
                    <w:tl2br w:val="nil"/>
                    <w:tr2bl w:val="nil"/>
                  </w:tcBorders>
                  <w:shd w:val="clear" w:color="auto" w:fill="auto"/>
                  <w:vAlign w:val="center"/>
                </w:tcPr>
                <w:p w14:paraId="4780727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2AB28C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13A027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临界温度（℃）</w:t>
                  </w:r>
                </w:p>
              </w:tc>
              <w:tc>
                <w:tcPr>
                  <w:tcW w:w="2023" w:type="pct"/>
                  <w:tcBorders>
                    <w:tl2br w:val="nil"/>
                    <w:tr2bl w:val="nil"/>
                  </w:tcBorders>
                  <w:shd w:val="clear" w:color="auto" w:fill="auto"/>
                  <w:vAlign w:val="center"/>
                </w:tcPr>
                <w:p w14:paraId="3CECA6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c>
                <w:tcPr>
                  <w:tcW w:w="828" w:type="pct"/>
                  <w:tcBorders>
                    <w:tl2br w:val="nil"/>
                    <w:tr2bl w:val="nil"/>
                  </w:tcBorders>
                  <w:shd w:val="clear" w:color="auto" w:fill="auto"/>
                  <w:vAlign w:val="center"/>
                </w:tcPr>
                <w:p w14:paraId="14F9B72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临界压力（MPa）</w:t>
                  </w:r>
                </w:p>
              </w:tc>
              <w:tc>
                <w:tcPr>
                  <w:tcW w:w="1275" w:type="pct"/>
                  <w:tcBorders>
                    <w:tl2br w:val="nil"/>
                    <w:tr2bl w:val="nil"/>
                  </w:tcBorders>
                  <w:shd w:val="clear" w:color="auto" w:fill="auto"/>
                  <w:vAlign w:val="center"/>
                </w:tcPr>
                <w:p w14:paraId="0CD8A0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15C34D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7A08CA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辛醇/水分配系数（LogKow）</w:t>
                  </w:r>
                </w:p>
              </w:tc>
              <w:tc>
                <w:tcPr>
                  <w:tcW w:w="2023" w:type="pct"/>
                  <w:tcBorders>
                    <w:tl2br w:val="nil"/>
                    <w:tr2bl w:val="nil"/>
                  </w:tcBorders>
                  <w:shd w:val="clear" w:color="auto" w:fill="auto"/>
                  <w:vAlign w:val="center"/>
                </w:tcPr>
                <w:p w14:paraId="6770DE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c>
                <w:tcPr>
                  <w:tcW w:w="828" w:type="pct"/>
                  <w:tcBorders>
                    <w:tl2br w:val="nil"/>
                    <w:tr2bl w:val="nil"/>
                  </w:tcBorders>
                  <w:shd w:val="clear" w:color="auto" w:fill="auto"/>
                  <w:vAlign w:val="center"/>
                </w:tcPr>
                <w:p w14:paraId="0EDE9E9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闪点（℃）</w:t>
                  </w:r>
                </w:p>
              </w:tc>
              <w:tc>
                <w:tcPr>
                  <w:tcW w:w="1275" w:type="pct"/>
                  <w:tcBorders>
                    <w:tl2br w:val="nil"/>
                    <w:tr2bl w:val="nil"/>
                  </w:tcBorders>
                  <w:shd w:val="clear" w:color="auto" w:fill="auto"/>
                  <w:vAlign w:val="center"/>
                </w:tcPr>
                <w:p w14:paraId="44F706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&gt;61</w:t>
                  </w:r>
                </w:p>
              </w:tc>
            </w:tr>
            <w:tr w14:paraId="2D7DB0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4DC1C7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自燃温度（℃）</w:t>
                  </w:r>
                </w:p>
              </w:tc>
              <w:tc>
                <w:tcPr>
                  <w:tcW w:w="2023" w:type="pct"/>
                  <w:tcBorders>
                    <w:tl2br w:val="nil"/>
                    <w:tr2bl w:val="nil"/>
                  </w:tcBorders>
                  <w:shd w:val="clear" w:color="auto" w:fill="auto"/>
                  <w:vAlign w:val="center"/>
                </w:tcPr>
                <w:p w14:paraId="5E407B2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828" w:type="pct"/>
                  <w:tcBorders>
                    <w:tl2br w:val="nil"/>
                    <w:tr2bl w:val="nil"/>
                  </w:tcBorders>
                  <w:shd w:val="clear" w:color="auto" w:fill="auto"/>
                  <w:vAlign w:val="center"/>
                </w:tcPr>
                <w:p w14:paraId="12E339A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爆炸下限（%）</w:t>
                  </w:r>
                </w:p>
              </w:tc>
              <w:tc>
                <w:tcPr>
                  <w:tcW w:w="1275" w:type="pct"/>
                  <w:tcBorders>
                    <w:tl2br w:val="nil"/>
                    <w:tr2bl w:val="nil"/>
                  </w:tcBorders>
                  <w:shd w:val="clear" w:color="auto" w:fill="auto"/>
                  <w:vAlign w:val="center"/>
                </w:tcPr>
                <w:p w14:paraId="6D032C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r>
            <w:tr w14:paraId="7FB182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76F9D5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爆炸上限（%）</w:t>
                  </w:r>
                </w:p>
              </w:tc>
              <w:tc>
                <w:tcPr>
                  <w:tcW w:w="2023" w:type="pct"/>
                  <w:tcBorders>
                    <w:tl2br w:val="nil"/>
                    <w:tr2bl w:val="nil"/>
                  </w:tcBorders>
                  <w:shd w:val="clear" w:color="auto" w:fill="auto"/>
                  <w:vAlign w:val="center"/>
                </w:tcPr>
                <w:p w14:paraId="4139E4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无资料</w:t>
                  </w:r>
                </w:p>
              </w:tc>
              <w:tc>
                <w:tcPr>
                  <w:tcW w:w="828" w:type="pct"/>
                  <w:tcBorders>
                    <w:tl2br w:val="nil"/>
                    <w:tr2bl w:val="nil"/>
                  </w:tcBorders>
                  <w:shd w:val="clear" w:color="auto" w:fill="auto"/>
                  <w:vAlign w:val="center"/>
                </w:tcPr>
                <w:p w14:paraId="4EEA36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分解温度（℃）</w:t>
                  </w:r>
                </w:p>
              </w:tc>
              <w:tc>
                <w:tcPr>
                  <w:tcW w:w="1275" w:type="pct"/>
                  <w:tcBorders>
                    <w:tl2br w:val="nil"/>
                    <w:tr2bl w:val="nil"/>
                  </w:tcBorders>
                  <w:shd w:val="clear" w:color="auto" w:fill="auto"/>
                  <w:vAlign w:val="center"/>
                </w:tcPr>
                <w:p w14:paraId="499C41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779108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53C8D0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粘度（mPa.s）</w:t>
                  </w:r>
                </w:p>
              </w:tc>
              <w:tc>
                <w:tcPr>
                  <w:tcW w:w="2023" w:type="pct"/>
                  <w:tcBorders>
                    <w:tl2br w:val="nil"/>
                    <w:tr2bl w:val="nil"/>
                  </w:tcBorders>
                  <w:shd w:val="clear" w:color="auto" w:fill="auto"/>
                  <w:vAlign w:val="center"/>
                </w:tcPr>
                <w:p w14:paraId="6145A2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Temp</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40℃ Parameter:other:mm2/s Value:&gt;=1.99 - &lt;=847</w:t>
                  </w:r>
                </w:p>
              </w:tc>
              <w:tc>
                <w:tcPr>
                  <w:tcW w:w="828" w:type="pct"/>
                  <w:tcBorders>
                    <w:tl2br w:val="nil"/>
                    <w:tr2bl w:val="nil"/>
                  </w:tcBorders>
                  <w:shd w:val="clear" w:color="auto" w:fill="auto"/>
                  <w:vAlign w:val="center"/>
                </w:tcPr>
                <w:p w14:paraId="00B8E0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溶解性</w:t>
                  </w:r>
                </w:p>
              </w:tc>
              <w:tc>
                <w:tcPr>
                  <w:tcW w:w="1275" w:type="pct"/>
                  <w:tcBorders>
                    <w:tl2br w:val="nil"/>
                    <w:tr2bl w:val="nil"/>
                  </w:tcBorders>
                  <w:shd w:val="clear" w:color="auto" w:fill="auto"/>
                  <w:vAlign w:val="center"/>
                </w:tcPr>
                <w:p w14:paraId="24948C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(20 ℃)</w:t>
                  </w:r>
                </w:p>
              </w:tc>
            </w:tr>
            <w:tr w14:paraId="3C4AD3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6B21189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密度（kg/m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4127" w:type="pct"/>
                  <w:gridSpan w:val="3"/>
                  <w:tcBorders>
                    <w:tl2br w:val="nil"/>
                    <w:tr2bl w:val="nil"/>
                  </w:tcBorders>
                  <w:shd w:val="clear" w:color="auto" w:fill="auto"/>
                  <w:vAlign w:val="center"/>
                </w:tcPr>
                <w:p w14:paraId="5420DB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kern w:val="2"/>
                      <w:sz w:val="21"/>
                      <w:szCs w:val="21"/>
                      <w:lang w:val="en-US" w:eastAsia="zh-CN" w:bidi="ar-SA"/>
                    </w:rPr>
                    <w:t>/</w:t>
                  </w:r>
                </w:p>
              </w:tc>
            </w:tr>
            <w:tr w14:paraId="33A731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67928AA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燃烧与爆炸危险性</w:t>
                  </w:r>
                </w:p>
              </w:tc>
              <w:tc>
                <w:tcPr>
                  <w:tcW w:w="4127" w:type="pct"/>
                  <w:gridSpan w:val="3"/>
                  <w:tcBorders>
                    <w:tl2br w:val="nil"/>
                    <w:tr2bl w:val="nil"/>
                  </w:tcBorders>
                  <w:shd w:val="clear" w:color="auto" w:fill="auto"/>
                  <w:vAlign w:val="center"/>
                </w:tcPr>
                <w:p w14:paraId="762B09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可燃，其蒸气与空气混合，能形成爆炸性混合物。</w:t>
                  </w:r>
                </w:p>
              </w:tc>
            </w:tr>
            <w:tr w14:paraId="5A057B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4061D6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活性反应</w:t>
                  </w:r>
                </w:p>
              </w:tc>
              <w:tc>
                <w:tcPr>
                  <w:tcW w:w="4127" w:type="pct"/>
                  <w:gridSpan w:val="3"/>
                  <w:tcBorders>
                    <w:tl2br w:val="nil"/>
                    <w:tr2bl w:val="nil"/>
                  </w:tcBorders>
                  <w:shd w:val="clear" w:color="auto" w:fill="auto"/>
                  <w:vAlign w:val="center"/>
                </w:tcPr>
                <w:p w14:paraId="5A820C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不聚合</w:t>
                  </w:r>
                </w:p>
              </w:tc>
            </w:tr>
            <w:tr w14:paraId="53A22D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3F3F3C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禁忌物</w:t>
                  </w:r>
                </w:p>
              </w:tc>
              <w:tc>
                <w:tcPr>
                  <w:tcW w:w="4127" w:type="pct"/>
                  <w:gridSpan w:val="3"/>
                  <w:tcBorders>
                    <w:tl2br w:val="nil"/>
                    <w:tr2bl w:val="nil"/>
                  </w:tcBorders>
                  <w:shd w:val="clear" w:color="auto" w:fill="auto"/>
                  <w:vAlign w:val="center"/>
                </w:tcPr>
                <w:p w14:paraId="36DCBA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强氧化剂。</w:t>
                  </w:r>
                </w:p>
              </w:tc>
            </w:tr>
            <w:tr w14:paraId="6A276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091781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毒性</w:t>
                  </w:r>
                </w:p>
              </w:tc>
              <w:tc>
                <w:tcPr>
                  <w:tcW w:w="4127" w:type="pct"/>
                  <w:gridSpan w:val="3"/>
                  <w:tcBorders>
                    <w:tl2br w:val="nil"/>
                    <w:tr2bl w:val="nil"/>
                  </w:tcBorders>
                  <w:shd w:val="clear" w:color="auto" w:fill="auto"/>
                  <w:vAlign w:val="center"/>
                </w:tcPr>
                <w:p w14:paraId="65AEB6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25BE0C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2858022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中毒表现</w:t>
                  </w:r>
                </w:p>
              </w:tc>
              <w:tc>
                <w:tcPr>
                  <w:tcW w:w="4127" w:type="pct"/>
                  <w:gridSpan w:val="3"/>
                  <w:tcBorders>
                    <w:tl2br w:val="nil"/>
                    <w:tr2bl w:val="nil"/>
                  </w:tcBorders>
                  <w:shd w:val="clear" w:color="auto" w:fill="auto"/>
                  <w:vAlign w:val="center"/>
                </w:tcPr>
                <w:p w14:paraId="34FB4F6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急性吸入，可出现乏力、头晕、头痛、恶心，严重者可引起油脂性肺炎。</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长期接触者，暴露部位可发生油性痤疮和接触性皮炎。可引起神经衰弱综合征，呼吸道和眼刺激症状及慢性油脂性肺炎。</w:t>
                  </w:r>
                </w:p>
              </w:tc>
            </w:tr>
            <w:tr w14:paraId="2D14B9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147149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职业接触限值</w:t>
                  </w:r>
                </w:p>
              </w:tc>
              <w:tc>
                <w:tcPr>
                  <w:tcW w:w="4127" w:type="pct"/>
                  <w:gridSpan w:val="3"/>
                  <w:tcBorders>
                    <w:tl2br w:val="nil"/>
                    <w:tr2bl w:val="nil"/>
                  </w:tcBorders>
                  <w:shd w:val="clear" w:color="auto" w:fill="auto"/>
                  <w:vAlign w:val="center"/>
                </w:tcPr>
                <w:p w14:paraId="0BB74F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603811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729D31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环境危害</w:t>
                  </w:r>
                </w:p>
              </w:tc>
              <w:tc>
                <w:tcPr>
                  <w:tcW w:w="4127" w:type="pct"/>
                  <w:gridSpan w:val="3"/>
                  <w:tcBorders>
                    <w:tl2br w:val="nil"/>
                    <w:tr2bl w:val="nil"/>
                  </w:tcBorders>
                  <w:shd w:val="clear" w:color="auto" w:fill="auto"/>
                  <w:vAlign w:val="center"/>
                </w:tcPr>
                <w:p w14:paraId="1EBE4B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对环境有害。</w:t>
                  </w:r>
                </w:p>
              </w:tc>
            </w:tr>
            <w:tr w14:paraId="39CC79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4CF4F3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急救措施</w:t>
                  </w:r>
                </w:p>
              </w:tc>
              <w:tc>
                <w:tcPr>
                  <w:tcW w:w="4127" w:type="pct"/>
                  <w:gridSpan w:val="3"/>
                  <w:tcBorders>
                    <w:tl2br w:val="nil"/>
                    <w:tr2bl w:val="nil"/>
                  </w:tcBorders>
                  <w:shd w:val="clear" w:color="auto" w:fill="auto"/>
                  <w:vAlign w:val="center"/>
                </w:tcPr>
                <w:p w14:paraId="2735893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迅速脱离现场至空气新鲜处。保持呼吸道通畅。如呼吸困难，给输氧。呼吸、心跳停止，立即进行心肺复苏术。就医。饮足量温水，催吐。就医。脱去污染的衣着，用流动清水冲洗。如有不适感，就医。提起眼睑，用流动清水或生理盐水冲洗。如有不适感，就医。</w:t>
                  </w:r>
                </w:p>
              </w:tc>
            </w:tr>
            <w:tr w14:paraId="24A432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4DA016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泄漏应急处置</w:t>
                  </w:r>
                </w:p>
              </w:tc>
              <w:tc>
                <w:tcPr>
                  <w:tcW w:w="4127" w:type="pct"/>
                  <w:gridSpan w:val="3"/>
                  <w:tcBorders>
                    <w:tl2br w:val="nil"/>
                    <w:tr2bl w:val="nil"/>
                  </w:tcBorders>
                  <w:shd w:val="clear" w:color="auto" w:fill="auto"/>
                  <w:vAlign w:val="center"/>
                </w:tcPr>
                <w:p w14:paraId="109A472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小量泄漏：用干燥的砂土或其它不燃材料吸收或覆盖，收集于容器中。大量泄漏：构筑围堤或挖坑收容。用泵转移至槽车或专用收集器内。</w:t>
                  </w:r>
                </w:p>
              </w:tc>
            </w:tr>
            <w:tr w14:paraId="4CB9F6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72" w:type="pct"/>
                  <w:tcBorders>
                    <w:tl2br w:val="nil"/>
                    <w:tr2bl w:val="nil"/>
                  </w:tcBorders>
                  <w:shd w:val="clear" w:color="auto" w:fill="auto"/>
                  <w:vAlign w:val="center"/>
                </w:tcPr>
                <w:p w14:paraId="1B4B47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灭火方法</w:t>
                  </w:r>
                </w:p>
              </w:tc>
              <w:tc>
                <w:tcPr>
                  <w:tcW w:w="4127" w:type="pct"/>
                  <w:gridSpan w:val="3"/>
                  <w:tcBorders>
                    <w:tl2br w:val="nil"/>
                    <w:tr2bl w:val="nil"/>
                  </w:tcBorders>
                  <w:shd w:val="clear" w:color="auto" w:fill="auto"/>
                  <w:vAlign w:val="center"/>
                </w:tcPr>
                <w:p w14:paraId="610D503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消防人员须佩戴防毒面具，穿灭火防护服。根据化学品性质选择适用的灭火剂，在上风向灭火。在火灾区域设置围堰。喷水冷却容器，可能的话将容器从火场移至空旷处。处在火场中的容器若已变色或从安全泄压装置中产生异常声音，必须马上撤离。尽量使用低压灭火剂流或雾状水，避免化学品溅出。</w:t>
                  </w:r>
                </w:p>
              </w:tc>
            </w:tr>
          </w:tbl>
          <w:p w14:paraId="24C17C06">
            <w:pPr>
              <w:spacing w:line="360" w:lineRule="auto"/>
              <w:ind w:firstLine="480" w:firstLineChars="200"/>
              <w:rPr>
                <w:color w:val="auto"/>
                <w:sz w:val="24"/>
                <w:szCs w:val="32"/>
                <w:highlight w:val="none"/>
              </w:rPr>
            </w:pPr>
            <w:r>
              <w:rPr>
                <w:rFonts w:hint="eastAsia"/>
                <w:color w:val="auto"/>
                <w:sz w:val="24"/>
                <w:szCs w:val="32"/>
                <w:highlight w:val="none"/>
              </w:rPr>
              <w:t>项目在日常生产中车辆</w:t>
            </w:r>
            <w:r>
              <w:rPr>
                <w:rFonts w:hint="eastAsia"/>
                <w:color w:val="auto"/>
                <w:sz w:val="24"/>
                <w:szCs w:val="32"/>
                <w:highlight w:val="none"/>
                <w:lang w:val="en-US" w:eastAsia="zh-CN"/>
              </w:rPr>
              <w:t>和设备</w:t>
            </w:r>
            <w:r>
              <w:rPr>
                <w:rFonts w:hint="eastAsia"/>
                <w:color w:val="auto"/>
                <w:sz w:val="24"/>
                <w:szCs w:val="32"/>
                <w:highlight w:val="none"/>
              </w:rPr>
              <w:t>中的机油在厂区内停放过程中可能会造成泄漏或溢油的风险，造成土壤污染。</w:t>
            </w:r>
          </w:p>
          <w:p w14:paraId="67D0CBD9">
            <w:pPr>
              <w:spacing w:line="360" w:lineRule="auto"/>
              <w:ind w:firstLine="480" w:firstLineChars="200"/>
              <w:rPr>
                <w:color w:val="auto"/>
                <w:sz w:val="24"/>
                <w:szCs w:val="32"/>
              </w:rPr>
            </w:pPr>
            <w:r>
              <w:rPr>
                <w:rFonts w:hint="eastAsia"/>
                <w:color w:val="auto"/>
                <w:sz w:val="24"/>
                <w:szCs w:val="32"/>
                <w:highlight w:val="none"/>
              </w:rPr>
              <w:t>在机油贮存的过程中，若发生跑、冒、漏等情况，均可能导致环境风险发生，但本项目所</w:t>
            </w:r>
            <w:r>
              <w:rPr>
                <w:rFonts w:hint="eastAsia"/>
                <w:color w:val="auto"/>
                <w:sz w:val="24"/>
                <w:szCs w:val="32"/>
                <w:highlight w:val="none"/>
                <w:lang w:val="en-US" w:eastAsia="zh-CN"/>
              </w:rPr>
              <w:t>用的机油</w:t>
            </w:r>
            <w:r>
              <w:rPr>
                <w:rFonts w:hint="eastAsia"/>
                <w:color w:val="auto"/>
                <w:sz w:val="24"/>
                <w:szCs w:val="32"/>
                <w:highlight w:val="none"/>
              </w:rPr>
              <w:t>量较少，且放置于</w:t>
            </w:r>
            <w:r>
              <w:rPr>
                <w:rFonts w:hint="eastAsia"/>
                <w:color w:val="auto"/>
                <w:sz w:val="24"/>
                <w:szCs w:val="32"/>
                <w:highlight w:val="none"/>
                <w:lang w:val="en-US" w:eastAsia="zh-CN"/>
              </w:rPr>
              <w:t>设备和车辆</w:t>
            </w:r>
            <w:r>
              <w:rPr>
                <w:rFonts w:hint="eastAsia"/>
                <w:color w:val="auto"/>
                <w:sz w:val="24"/>
                <w:szCs w:val="32"/>
                <w:highlight w:val="none"/>
              </w:rPr>
              <w:t>内，发生风险事故的概率也很小。</w:t>
            </w:r>
          </w:p>
          <w:p w14:paraId="07CB5337">
            <w:pPr>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w:t>
            </w:r>
            <w:r>
              <w:rPr>
                <w:rFonts w:hint="eastAsia" w:cs="Times New Roman"/>
                <w:color w:val="auto"/>
                <w:sz w:val="24"/>
                <w:szCs w:val="32"/>
                <w:lang w:val="en-US" w:eastAsia="zh-CN"/>
              </w:rPr>
              <w:t>5</w:t>
            </w:r>
            <w:r>
              <w:rPr>
                <w:rFonts w:hint="default" w:ascii="Times New Roman" w:hAnsi="Times New Roman" w:cs="Times New Roman"/>
                <w:color w:val="auto"/>
                <w:sz w:val="24"/>
                <w:szCs w:val="32"/>
              </w:rPr>
              <w:t>）环境风险防范措施</w:t>
            </w:r>
          </w:p>
          <w:p w14:paraId="1D4EC546">
            <w:pPr>
              <w:spacing w:line="360" w:lineRule="auto"/>
              <w:ind w:firstLine="480" w:firstLineChars="200"/>
              <w:rPr>
                <w:color w:val="auto"/>
                <w:sz w:val="24"/>
                <w:szCs w:val="32"/>
                <w:highlight w:val="none"/>
              </w:rPr>
            </w:pPr>
            <w:r>
              <w:rPr>
                <w:rFonts w:hint="eastAsia"/>
                <w:color w:val="auto"/>
                <w:sz w:val="24"/>
                <w:szCs w:val="32"/>
                <w:highlight w:val="none"/>
              </w:rPr>
              <w:t>①加强员工的思想、道德教育，提高员工的责任心和主观能动性，提高员工素质，增强安全意识</w:t>
            </w:r>
            <w:r>
              <w:rPr>
                <w:rFonts w:hint="eastAsia"/>
                <w:color w:val="auto"/>
                <w:sz w:val="24"/>
                <w:szCs w:val="32"/>
                <w:highlight w:val="none"/>
                <w:lang w:eastAsia="zh-CN"/>
              </w:rPr>
              <w:t>；</w:t>
            </w:r>
            <w:r>
              <w:rPr>
                <w:rFonts w:hint="eastAsia"/>
                <w:color w:val="auto"/>
                <w:sz w:val="24"/>
                <w:szCs w:val="32"/>
                <w:highlight w:val="none"/>
                <w:lang w:val="en-US" w:eastAsia="zh-CN"/>
              </w:rPr>
              <w:t>配备吸油毡等应急物资</w:t>
            </w:r>
            <w:r>
              <w:rPr>
                <w:rFonts w:hint="eastAsia"/>
                <w:color w:val="auto"/>
                <w:sz w:val="24"/>
                <w:szCs w:val="32"/>
                <w:highlight w:val="none"/>
              </w:rPr>
              <w:t>。</w:t>
            </w:r>
          </w:p>
          <w:p w14:paraId="58303056">
            <w:pPr>
              <w:spacing w:line="360" w:lineRule="auto"/>
              <w:ind w:firstLine="480" w:firstLineChars="200"/>
              <w:rPr>
                <w:color w:val="auto"/>
                <w:sz w:val="24"/>
                <w:szCs w:val="32"/>
                <w:highlight w:val="none"/>
              </w:rPr>
            </w:pPr>
            <w:r>
              <w:rPr>
                <w:rFonts w:hint="eastAsia"/>
                <w:color w:val="auto"/>
                <w:sz w:val="24"/>
                <w:szCs w:val="32"/>
                <w:highlight w:val="none"/>
              </w:rPr>
              <w:t>②定期或不定期检查</w:t>
            </w:r>
            <w:r>
              <w:rPr>
                <w:rFonts w:hint="eastAsia"/>
                <w:color w:val="auto"/>
                <w:sz w:val="24"/>
                <w:szCs w:val="32"/>
                <w:highlight w:val="none"/>
                <w:lang w:val="en-US" w:eastAsia="zh-CN"/>
              </w:rPr>
              <w:t>机械</w:t>
            </w:r>
            <w:r>
              <w:rPr>
                <w:rFonts w:hint="eastAsia"/>
                <w:color w:val="auto"/>
                <w:sz w:val="24"/>
                <w:szCs w:val="32"/>
                <w:highlight w:val="none"/>
              </w:rPr>
              <w:t>设备，防止跑、冒、漏现象出现。</w:t>
            </w:r>
          </w:p>
          <w:p w14:paraId="7B6E9B10">
            <w:pPr>
              <w:spacing w:line="360" w:lineRule="auto"/>
              <w:ind w:firstLine="480" w:firstLineChars="200"/>
              <w:rPr>
                <w:color w:val="auto"/>
                <w:sz w:val="24"/>
                <w:szCs w:val="32"/>
                <w:highlight w:val="none"/>
              </w:rPr>
            </w:pPr>
            <w:r>
              <w:rPr>
                <w:rFonts w:hint="eastAsia"/>
                <w:color w:val="auto"/>
                <w:sz w:val="24"/>
                <w:szCs w:val="32"/>
                <w:highlight w:val="none"/>
              </w:rPr>
              <w:t>③机油发生泄漏时，应立刻采取措施，收集破损泄漏的废机油，控制废机油进入地下水和地表水。</w:t>
            </w:r>
          </w:p>
          <w:p w14:paraId="0C1FB7EC">
            <w:pPr>
              <w:spacing w:line="360" w:lineRule="auto"/>
              <w:ind w:firstLine="480" w:firstLineChars="200"/>
              <w:rPr>
                <w:color w:val="auto"/>
                <w:sz w:val="24"/>
                <w:szCs w:val="32"/>
                <w:highlight w:val="none"/>
              </w:rPr>
            </w:pPr>
            <w:r>
              <w:rPr>
                <w:rFonts w:hint="eastAsia"/>
                <w:color w:val="auto"/>
                <w:sz w:val="24"/>
                <w:szCs w:val="32"/>
                <w:highlight w:val="none"/>
              </w:rPr>
              <w:t>④制定突发环境事件应急预案，储存环境应急物资，加强环境应急演练，提高应急救援水平。</w:t>
            </w:r>
          </w:p>
          <w:p w14:paraId="5DFB0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eastAsia="zh-CN"/>
              </w:rPr>
              <w:t>表</w:t>
            </w:r>
            <w:r>
              <w:rPr>
                <w:rFonts w:hint="eastAsia" w:ascii="Times New Roman" w:hAnsi="Times New Roman" w:cs="Times New Roman"/>
                <w:b/>
                <w:bCs/>
                <w:color w:val="auto"/>
                <w:sz w:val="21"/>
                <w:szCs w:val="21"/>
                <w:lang w:val="en-US" w:eastAsia="zh-CN"/>
              </w:rPr>
              <w:t>4-1</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lang w:val="en-US" w:eastAsia="zh-CN"/>
              </w:rPr>
              <w:t xml:space="preserve">  突发事故应急预案</w:t>
            </w:r>
          </w:p>
          <w:tbl>
            <w:tblPr>
              <w:tblStyle w:val="2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214"/>
              <w:gridCol w:w="4989"/>
            </w:tblGrid>
            <w:tr w14:paraId="57AAC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trPr>
              <w:tc>
                <w:tcPr>
                  <w:tcW w:w="496" w:type="pct"/>
                  <w:tcBorders>
                    <w:tl2br w:val="nil"/>
                    <w:tr2bl w:val="nil"/>
                  </w:tcBorders>
                  <w:noWrap w:val="0"/>
                  <w:vAlign w:val="center"/>
                </w:tcPr>
                <w:p w14:paraId="0B680C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序号</w:t>
                  </w:r>
                </w:p>
              </w:tc>
              <w:tc>
                <w:tcPr>
                  <w:tcW w:w="1384" w:type="pct"/>
                  <w:tcBorders>
                    <w:tl2br w:val="nil"/>
                    <w:tr2bl w:val="nil"/>
                  </w:tcBorders>
                  <w:noWrap w:val="0"/>
                  <w:vAlign w:val="center"/>
                </w:tcPr>
                <w:p w14:paraId="0488D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项目</w:t>
                  </w:r>
                </w:p>
              </w:tc>
              <w:tc>
                <w:tcPr>
                  <w:tcW w:w="3118" w:type="pct"/>
                  <w:tcBorders>
                    <w:tl2br w:val="nil"/>
                    <w:tr2bl w:val="nil"/>
                  </w:tcBorders>
                  <w:noWrap w:val="0"/>
                  <w:vAlign w:val="center"/>
                </w:tcPr>
                <w:p w14:paraId="07EF5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内容及要求</w:t>
                  </w:r>
                </w:p>
              </w:tc>
            </w:tr>
            <w:tr w14:paraId="3ECB27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3F476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1384" w:type="pct"/>
                  <w:tcBorders>
                    <w:tl2br w:val="nil"/>
                    <w:tr2bl w:val="nil"/>
                  </w:tcBorders>
                  <w:noWrap w:val="0"/>
                  <w:vAlign w:val="center"/>
                </w:tcPr>
                <w:p w14:paraId="71BDB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危险源概况</w:t>
                  </w:r>
                </w:p>
              </w:tc>
              <w:tc>
                <w:tcPr>
                  <w:tcW w:w="3118" w:type="pct"/>
                  <w:tcBorders>
                    <w:tl2br w:val="nil"/>
                    <w:tr2bl w:val="nil"/>
                  </w:tcBorders>
                  <w:noWrap w:val="0"/>
                  <w:vAlign w:val="center"/>
                </w:tcPr>
                <w:p w14:paraId="366086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存在火灾、爆炸、泄漏风险</w:t>
                  </w:r>
                </w:p>
              </w:tc>
            </w:tr>
            <w:tr w14:paraId="65240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3EF541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1384" w:type="pct"/>
                  <w:tcBorders>
                    <w:tl2br w:val="nil"/>
                    <w:tr2bl w:val="nil"/>
                  </w:tcBorders>
                  <w:noWrap w:val="0"/>
                  <w:vAlign w:val="center"/>
                </w:tcPr>
                <w:p w14:paraId="1B96E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应急计划区</w:t>
                  </w:r>
                </w:p>
              </w:tc>
              <w:tc>
                <w:tcPr>
                  <w:tcW w:w="3118" w:type="pct"/>
                  <w:tcBorders>
                    <w:tl2br w:val="nil"/>
                    <w:tr2bl w:val="nil"/>
                  </w:tcBorders>
                  <w:noWrap w:val="0"/>
                  <w:vAlign w:val="center"/>
                </w:tcPr>
                <w:p w14:paraId="2637CD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存在火灾、爆炸、泄漏风险</w:t>
                  </w:r>
                  <w:r>
                    <w:rPr>
                      <w:rFonts w:hint="eastAsia" w:ascii="Times New Roman" w:hAnsi="Times New Roman" w:eastAsia="宋体" w:cs="Times New Roman"/>
                      <w:color w:val="auto"/>
                      <w:sz w:val="21"/>
                      <w:szCs w:val="21"/>
                      <w:vertAlign w:val="baseline"/>
                      <w:lang w:val="en-US" w:eastAsia="zh-CN"/>
                    </w:rPr>
                    <w:t>、环境保护目标</w:t>
                  </w:r>
                </w:p>
              </w:tc>
            </w:tr>
            <w:tr w14:paraId="67E6A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2D39F2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1384" w:type="pct"/>
                  <w:tcBorders>
                    <w:tl2br w:val="nil"/>
                    <w:tr2bl w:val="nil"/>
                  </w:tcBorders>
                  <w:noWrap w:val="0"/>
                  <w:vAlign w:val="center"/>
                </w:tcPr>
                <w:p w14:paraId="16797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应急组织</w:t>
                  </w:r>
                </w:p>
              </w:tc>
              <w:tc>
                <w:tcPr>
                  <w:tcW w:w="3118" w:type="pct"/>
                  <w:tcBorders>
                    <w:tl2br w:val="nil"/>
                    <w:tr2bl w:val="nil"/>
                  </w:tcBorders>
                  <w:noWrap w:val="0"/>
                  <w:vAlign w:val="center"/>
                </w:tcPr>
                <w:p w14:paraId="342524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建设单位成立事故应急救援指挥领导小组，下设应急救援办公室，成立专业救援队伍，负责对项目区专业救援队伍的支援</w:t>
                  </w:r>
                </w:p>
              </w:tc>
            </w:tr>
            <w:tr w14:paraId="1F3A43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0BC159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w:t>
                  </w:r>
                </w:p>
              </w:tc>
              <w:tc>
                <w:tcPr>
                  <w:tcW w:w="1384" w:type="pct"/>
                  <w:tcBorders>
                    <w:tl2br w:val="nil"/>
                    <w:tr2bl w:val="nil"/>
                  </w:tcBorders>
                  <w:noWrap w:val="0"/>
                  <w:vAlign w:val="center"/>
                </w:tcPr>
                <w:p w14:paraId="017365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应急状态分类及应急响应程序</w:t>
                  </w:r>
                </w:p>
              </w:tc>
              <w:tc>
                <w:tcPr>
                  <w:tcW w:w="3118" w:type="pct"/>
                  <w:tcBorders>
                    <w:tl2br w:val="nil"/>
                    <w:tr2bl w:val="nil"/>
                  </w:tcBorders>
                  <w:noWrap w:val="0"/>
                  <w:vAlign w:val="center"/>
                </w:tcPr>
                <w:p w14:paraId="17A2E1A0">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根据事故的预期后果、影响范围、事故的控制，将事故分</w:t>
                  </w:r>
                  <w:r>
                    <w:rPr>
                      <w:rFonts w:hint="eastAsia" w:ascii="Times New Roman" w:hAnsi="Times New Roman" w:eastAsia="宋体" w:cs="Times New Roman"/>
                      <w:color w:val="auto"/>
                      <w:kern w:val="0"/>
                      <w:sz w:val="21"/>
                      <w:szCs w:val="21"/>
                      <w:lang w:val="en-US" w:eastAsia="zh-CN" w:bidi="ar"/>
                    </w:rPr>
                    <w:t>为一</w:t>
                  </w:r>
                  <w:r>
                    <w:rPr>
                      <w:rFonts w:hint="default" w:ascii="Times New Roman" w:hAnsi="Times New Roman" w:eastAsia="宋体" w:cs="Times New Roman"/>
                      <w:color w:val="auto"/>
                      <w:kern w:val="0"/>
                      <w:sz w:val="21"/>
                      <w:szCs w:val="21"/>
                      <w:lang w:val="en-US" w:eastAsia="zh-CN" w:bidi="ar"/>
                    </w:rPr>
                    <w:t>般危险化学品事故、重大危险化学品事故和特大危险化学品事故。当发生一般危险化学品事故，影响范围主要在企业内部时，启动企业级应急预案；当发生重大危险化学品事故，影响范围在企业及企业周围区域时，启动区级应急预案；当发生特大危险品化学事故，影响范围超出县域范围时，应启动市级应急预案。</w:t>
                  </w:r>
                </w:p>
              </w:tc>
            </w:tr>
            <w:tr w14:paraId="79B1A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02AD1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w:t>
                  </w:r>
                </w:p>
              </w:tc>
              <w:tc>
                <w:tcPr>
                  <w:tcW w:w="1384" w:type="pct"/>
                  <w:tcBorders>
                    <w:tl2br w:val="nil"/>
                    <w:tr2bl w:val="nil"/>
                  </w:tcBorders>
                  <w:noWrap w:val="0"/>
                  <w:vAlign w:val="center"/>
                </w:tcPr>
                <w:p w14:paraId="6D2C74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应急设施、设备与材料</w:t>
                  </w:r>
                </w:p>
              </w:tc>
              <w:tc>
                <w:tcPr>
                  <w:tcW w:w="3118" w:type="pct"/>
                  <w:tcBorders>
                    <w:tl2br w:val="nil"/>
                    <w:tr2bl w:val="nil"/>
                  </w:tcBorders>
                  <w:noWrap w:val="0"/>
                  <w:vAlign w:val="center"/>
                </w:tcPr>
                <w:p w14:paraId="4AC8C056">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火灾、爆炸事故应急设施、设备与材料，主要为消防器材</w:t>
                  </w:r>
                </w:p>
              </w:tc>
            </w:tr>
            <w:tr w14:paraId="0B105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47407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1384" w:type="pct"/>
                  <w:tcBorders>
                    <w:tl2br w:val="nil"/>
                    <w:tr2bl w:val="nil"/>
                  </w:tcBorders>
                  <w:noWrap w:val="0"/>
                  <w:vAlign w:val="center"/>
                </w:tcPr>
                <w:p w14:paraId="7BA28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应急通讯、通知和交通</w:t>
                  </w:r>
                </w:p>
              </w:tc>
              <w:tc>
                <w:tcPr>
                  <w:tcW w:w="3118" w:type="pct"/>
                  <w:tcBorders>
                    <w:tl2br w:val="nil"/>
                    <w:tr2bl w:val="nil"/>
                  </w:tcBorders>
                  <w:noWrap w:val="0"/>
                  <w:vAlign w:val="center"/>
                </w:tcPr>
                <w:p w14:paraId="658FE107">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厂区组成通信联络队，并规定应急状态下的通讯方式、通知</w:t>
                  </w:r>
                  <w:r>
                    <w:rPr>
                      <w:rFonts w:hint="eastAsia" w:ascii="Times New Roman" w:hAnsi="Times New Roman" w:eastAsia="宋体" w:cs="Times New Roman"/>
                      <w:color w:val="auto"/>
                      <w:kern w:val="0"/>
                      <w:sz w:val="21"/>
                      <w:szCs w:val="21"/>
                      <w:lang w:val="en-US" w:eastAsia="zh-CN" w:bidi="ar"/>
                    </w:rPr>
                    <w:t>方</w:t>
                  </w:r>
                  <w:r>
                    <w:rPr>
                      <w:rFonts w:hint="default" w:ascii="Times New Roman" w:hAnsi="Times New Roman" w:eastAsia="宋体" w:cs="Times New Roman"/>
                      <w:color w:val="auto"/>
                      <w:kern w:val="0"/>
                      <w:sz w:val="21"/>
                      <w:szCs w:val="21"/>
                      <w:lang w:val="en-US" w:eastAsia="zh-CN" w:bidi="ar"/>
                    </w:rPr>
                    <w:t>式和交通保障、管制。</w:t>
                  </w:r>
                </w:p>
              </w:tc>
            </w:tr>
            <w:tr w14:paraId="0955E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58D151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w:t>
                  </w:r>
                </w:p>
              </w:tc>
              <w:tc>
                <w:tcPr>
                  <w:tcW w:w="1384" w:type="pct"/>
                  <w:tcBorders>
                    <w:tl2br w:val="nil"/>
                    <w:tr2bl w:val="nil"/>
                  </w:tcBorders>
                  <w:noWrap w:val="0"/>
                  <w:vAlign w:val="center"/>
                </w:tcPr>
                <w:p w14:paraId="4777F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应急环境监测及事故后评估</w:t>
                  </w:r>
                </w:p>
              </w:tc>
              <w:tc>
                <w:tcPr>
                  <w:tcW w:w="3118" w:type="pct"/>
                  <w:tcBorders>
                    <w:tl2br w:val="nil"/>
                    <w:tr2bl w:val="nil"/>
                  </w:tcBorders>
                  <w:noWrap w:val="0"/>
                  <w:vAlign w:val="center"/>
                </w:tcPr>
                <w:p w14:paraId="17D4F59A">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由专业队伍负责对事故现场进行监测，对事故性质、参数与后果进行评估，为指挥部门提供决策依据。</w:t>
                  </w:r>
                </w:p>
              </w:tc>
            </w:tr>
            <w:tr w14:paraId="41053C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19C25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w:t>
                  </w:r>
                </w:p>
              </w:tc>
              <w:tc>
                <w:tcPr>
                  <w:tcW w:w="1384" w:type="pct"/>
                  <w:tcBorders>
                    <w:tl2br w:val="nil"/>
                    <w:tr2bl w:val="nil"/>
                  </w:tcBorders>
                  <w:noWrap w:val="0"/>
                  <w:vAlign w:val="center"/>
                </w:tcPr>
                <w:p w14:paraId="774DB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应急防护措施方法和器材</w:t>
                  </w:r>
                </w:p>
              </w:tc>
              <w:tc>
                <w:tcPr>
                  <w:tcW w:w="3118" w:type="pct"/>
                  <w:tcBorders>
                    <w:tl2br w:val="nil"/>
                    <w:tr2bl w:val="nil"/>
                  </w:tcBorders>
                  <w:noWrap w:val="0"/>
                  <w:vAlign w:val="center"/>
                </w:tcPr>
                <w:p w14:paraId="69795CD6">
                  <w:pPr>
                    <w:keepNext w:val="0"/>
                    <w:keepLines w:val="0"/>
                    <w:widowControl/>
                    <w:suppressLineNumbers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事故现场：控制事故，防止扩大、蔓延及连锁反应。消防废水排入消防废水收集池，事故后逐步排入污水处理站处理后达标排放。</w:t>
                  </w:r>
                </w:p>
                <w:p w14:paraId="154263D9">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邻近区域：控制防火区域，控制和清除污染措施及相应设备配备</w:t>
                  </w:r>
                </w:p>
              </w:tc>
            </w:tr>
            <w:tr w14:paraId="118BC6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420CE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w:t>
                  </w:r>
                </w:p>
              </w:tc>
              <w:tc>
                <w:tcPr>
                  <w:tcW w:w="1384" w:type="pct"/>
                  <w:tcBorders>
                    <w:tl2br w:val="nil"/>
                    <w:tr2bl w:val="nil"/>
                  </w:tcBorders>
                  <w:noWrap w:val="0"/>
                  <w:vAlign w:val="center"/>
                </w:tcPr>
                <w:p w14:paraId="2DB5F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应急剂量控制、撤离组织计划、医疗救护与公众健康</w:t>
                  </w:r>
                </w:p>
              </w:tc>
              <w:tc>
                <w:tcPr>
                  <w:tcW w:w="3118" w:type="pct"/>
                  <w:tcBorders>
                    <w:tl2br w:val="nil"/>
                    <w:tr2bl w:val="nil"/>
                  </w:tcBorders>
                  <w:noWrap w:val="0"/>
                  <w:vAlign w:val="center"/>
                </w:tcPr>
                <w:p w14:paraId="5629A651">
                  <w:pPr>
                    <w:keepNext w:val="0"/>
                    <w:keepLines w:val="0"/>
                    <w:widowControl/>
                    <w:suppressLineNumbers w:val="0"/>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事故现场：事故处理人员对毒物的应急剂量控制制定，现场及邻近装置人员撤离组织计划及救护</w:t>
                  </w:r>
                </w:p>
                <w:p w14:paraId="350A2A1E">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工厂邻近区：受事故影响的邻近区域人员及公众对毒物应急剂量控制规定，撤离组织计划及救护</w:t>
                  </w:r>
                </w:p>
              </w:tc>
            </w:tr>
            <w:tr w14:paraId="51C44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17BEB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w:t>
                  </w:r>
                </w:p>
              </w:tc>
              <w:tc>
                <w:tcPr>
                  <w:tcW w:w="1384" w:type="pct"/>
                  <w:tcBorders>
                    <w:tl2br w:val="nil"/>
                    <w:tr2bl w:val="nil"/>
                  </w:tcBorders>
                  <w:noWrap w:val="0"/>
                  <w:vAlign w:val="center"/>
                </w:tcPr>
                <w:p w14:paraId="64A96A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应急状态终止与恢复措施</w:t>
                  </w:r>
                </w:p>
              </w:tc>
              <w:tc>
                <w:tcPr>
                  <w:tcW w:w="3118" w:type="pct"/>
                  <w:tcBorders>
                    <w:tl2br w:val="nil"/>
                    <w:tr2bl w:val="nil"/>
                  </w:tcBorders>
                  <w:noWrap w:val="0"/>
                  <w:vAlign w:val="center"/>
                </w:tcPr>
                <w:p w14:paraId="655102E3">
                  <w:pPr>
                    <w:keepNext w:val="0"/>
                    <w:keepLines w:val="0"/>
                    <w:widowControl/>
                    <w:suppressLineNumbers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规定应急状态终止程序；事故现场善后处理，恢复措施；</w:t>
                  </w:r>
                </w:p>
                <w:p w14:paraId="0193BE8B">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邻近区域解除事故警戒及善后恢复措施</w:t>
                  </w:r>
                </w:p>
              </w:tc>
            </w:tr>
            <w:tr w14:paraId="238FF0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53559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11</w:t>
                  </w:r>
                </w:p>
              </w:tc>
              <w:tc>
                <w:tcPr>
                  <w:tcW w:w="1384" w:type="pct"/>
                  <w:tcBorders>
                    <w:tl2br w:val="nil"/>
                    <w:tr2bl w:val="nil"/>
                  </w:tcBorders>
                  <w:noWrap w:val="0"/>
                  <w:vAlign w:val="center"/>
                </w:tcPr>
                <w:p w14:paraId="5308D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人员培训与演练</w:t>
                  </w:r>
                </w:p>
              </w:tc>
              <w:tc>
                <w:tcPr>
                  <w:tcW w:w="3118" w:type="pct"/>
                  <w:tcBorders>
                    <w:tl2br w:val="nil"/>
                    <w:tr2bl w:val="nil"/>
                  </w:tcBorders>
                  <w:noWrap w:val="0"/>
                  <w:vAlign w:val="center"/>
                </w:tcPr>
                <w:p w14:paraId="618F6846">
                  <w:pPr>
                    <w:keepNext w:val="0"/>
                    <w:keepLines w:val="0"/>
                    <w:widowControl/>
                    <w:suppressLineNumbers w:val="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平时安排人员应急救援培训与演练</w:t>
                  </w:r>
                </w:p>
              </w:tc>
            </w:tr>
            <w:tr w14:paraId="4DF3F6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514BB0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12</w:t>
                  </w:r>
                </w:p>
              </w:tc>
              <w:tc>
                <w:tcPr>
                  <w:tcW w:w="1384" w:type="pct"/>
                  <w:tcBorders>
                    <w:tl2br w:val="nil"/>
                    <w:tr2bl w:val="nil"/>
                  </w:tcBorders>
                  <w:noWrap w:val="0"/>
                  <w:vAlign w:val="center"/>
                </w:tcPr>
                <w:p w14:paraId="688CB5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公众教育和信息</w:t>
                  </w:r>
                </w:p>
              </w:tc>
              <w:tc>
                <w:tcPr>
                  <w:tcW w:w="3118" w:type="pct"/>
                  <w:tcBorders>
                    <w:tl2br w:val="nil"/>
                    <w:tr2bl w:val="nil"/>
                  </w:tcBorders>
                  <w:noWrap w:val="0"/>
                  <w:vAlign w:val="center"/>
                </w:tcPr>
                <w:p w14:paraId="2446A8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对工厂邻近地区开展公众教育、培训和发布有关信息</w:t>
                  </w:r>
                </w:p>
              </w:tc>
            </w:tr>
            <w:tr w14:paraId="701B64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1075CC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13</w:t>
                  </w:r>
                </w:p>
              </w:tc>
              <w:tc>
                <w:tcPr>
                  <w:tcW w:w="1384" w:type="pct"/>
                  <w:tcBorders>
                    <w:tl2br w:val="nil"/>
                    <w:tr2bl w:val="nil"/>
                  </w:tcBorders>
                  <w:noWrap w:val="0"/>
                  <w:vAlign w:val="center"/>
                </w:tcPr>
                <w:p w14:paraId="3A04FB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记录和报告</w:t>
                  </w:r>
                </w:p>
              </w:tc>
              <w:tc>
                <w:tcPr>
                  <w:tcW w:w="3118" w:type="pct"/>
                  <w:tcBorders>
                    <w:tl2br w:val="nil"/>
                    <w:tr2bl w:val="nil"/>
                  </w:tcBorders>
                  <w:noWrap w:val="0"/>
                  <w:vAlign w:val="center"/>
                </w:tcPr>
                <w:p w14:paraId="3F73B8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设置应急事故专门记录，</w:t>
                  </w:r>
                  <w:r>
                    <w:rPr>
                      <w:rFonts w:hint="eastAsia" w:ascii="Times New Roman" w:hAnsi="Times New Roman" w:eastAsia="宋体" w:cs="Times New Roman"/>
                      <w:color w:val="auto"/>
                      <w:sz w:val="21"/>
                      <w:szCs w:val="21"/>
                      <w:vertAlign w:val="baseline"/>
                      <w:lang w:eastAsia="zh-CN"/>
                    </w:rPr>
                    <w:t>建立</w:t>
                  </w:r>
                  <w:r>
                    <w:rPr>
                      <w:rFonts w:hint="default" w:ascii="Times New Roman" w:hAnsi="Times New Roman" w:eastAsia="宋体" w:cs="Times New Roman"/>
                      <w:color w:val="auto"/>
                      <w:sz w:val="21"/>
                      <w:szCs w:val="21"/>
                      <w:vertAlign w:val="baseline"/>
                    </w:rPr>
                    <w:t>档案和专门报告制度，设专门部门负责管理</w:t>
                  </w:r>
                </w:p>
              </w:tc>
            </w:tr>
            <w:tr w14:paraId="3A4806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6" w:type="pct"/>
                  <w:tcBorders>
                    <w:tl2br w:val="nil"/>
                    <w:tr2bl w:val="nil"/>
                  </w:tcBorders>
                  <w:noWrap w:val="0"/>
                  <w:vAlign w:val="center"/>
                </w:tcPr>
                <w:p w14:paraId="124A5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14</w:t>
                  </w:r>
                </w:p>
              </w:tc>
              <w:tc>
                <w:tcPr>
                  <w:tcW w:w="1384" w:type="pct"/>
                  <w:tcBorders>
                    <w:tl2br w:val="nil"/>
                    <w:tr2bl w:val="nil"/>
                  </w:tcBorders>
                  <w:noWrap w:val="0"/>
                  <w:vAlign w:val="center"/>
                </w:tcPr>
                <w:p w14:paraId="368176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附件</w:t>
                  </w:r>
                </w:p>
              </w:tc>
              <w:tc>
                <w:tcPr>
                  <w:tcW w:w="3118" w:type="pct"/>
                  <w:tcBorders>
                    <w:tl2br w:val="nil"/>
                    <w:tr2bl w:val="nil"/>
                  </w:tcBorders>
                  <w:noWrap w:val="0"/>
                  <w:vAlign w:val="center"/>
                </w:tcPr>
                <w:p w14:paraId="4A4ECB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准备和形成与应急事故有关的多种附件材料</w:t>
                  </w:r>
                </w:p>
              </w:tc>
            </w:tr>
          </w:tbl>
          <w:p w14:paraId="7B6E45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w:t>
            </w:r>
            <w:r>
              <w:rPr>
                <w:rFonts w:hint="eastAsia" w:cs="Times New Roman"/>
                <w:color w:val="auto"/>
                <w:sz w:val="24"/>
                <w:szCs w:val="32"/>
                <w:lang w:val="en-US" w:eastAsia="zh-CN"/>
              </w:rPr>
              <w:t>6</w:t>
            </w:r>
            <w:r>
              <w:rPr>
                <w:rFonts w:hint="eastAsia" w:ascii="Times New Roman" w:hAnsi="Times New Roman" w:eastAsia="宋体" w:cs="Times New Roman"/>
                <w:color w:val="auto"/>
                <w:sz w:val="24"/>
                <w:szCs w:val="32"/>
                <w:lang w:val="en-US" w:eastAsia="zh-CN"/>
              </w:rPr>
              <w:t>）分析结论</w:t>
            </w:r>
          </w:p>
          <w:p w14:paraId="1FBC850C">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40" w:firstLineChars="200"/>
              <w:textAlignment w:val="auto"/>
              <w:rPr>
                <w:rFonts w:hint="eastAsia" w:ascii="Times New Roman" w:hAnsi="Times New Roman" w:cs="Times New Roman"/>
                <w:bCs/>
                <w:color w:val="auto"/>
                <w:spacing w:val="-10"/>
                <w:sz w:val="24"/>
                <w:szCs w:val="24"/>
                <w:lang w:eastAsia="zh-CN"/>
              </w:rPr>
            </w:pPr>
            <w:r>
              <w:rPr>
                <w:rFonts w:hint="eastAsia" w:ascii="Times New Roman" w:hAnsi="Times New Roman" w:cs="Times New Roman"/>
                <w:bCs/>
                <w:color w:val="auto"/>
                <w:spacing w:val="-10"/>
                <w:sz w:val="24"/>
                <w:szCs w:val="24"/>
                <w:lang w:eastAsia="zh-CN"/>
              </w:rPr>
              <w:t>本项目通过认真落实本环评提出的各项环境保护措施，保证项目的环境可行性，应当注意在生产过程中加强设备的管理、职工培训、严格操作规程，保证生产设备和环保设施的正常运行，通过相应的风险防范措施，可有效降低环境风险的发生概率，本项目环境风险是可控的。</w:t>
            </w:r>
          </w:p>
          <w:p w14:paraId="3AF1AC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Cs/>
                <w:color w:val="auto"/>
                <w:szCs w:val="22"/>
              </w:rPr>
            </w:pPr>
            <w:r>
              <w:rPr>
                <w:rFonts w:hint="eastAsia" w:ascii="Times New Roman" w:hAnsi="Times New Roman" w:eastAsia="宋体" w:cs="宋体"/>
                <w:b w:val="0"/>
                <w:bCs w:val="0"/>
                <w:color w:val="auto"/>
                <w:kern w:val="2"/>
                <w:sz w:val="24"/>
                <w:szCs w:val="24"/>
                <w:lang w:val="en-US" w:eastAsia="zh-CN" w:bidi="ar-SA"/>
              </w:rPr>
              <w:t>项目环境风险简单分析内容见表4-1</w:t>
            </w:r>
            <w:r>
              <w:rPr>
                <w:rFonts w:hint="eastAsia" w:cs="宋体"/>
                <w:b w:val="0"/>
                <w:bCs w:val="0"/>
                <w:color w:val="auto"/>
                <w:kern w:val="2"/>
                <w:sz w:val="24"/>
                <w:szCs w:val="24"/>
                <w:lang w:val="en-US" w:eastAsia="zh-CN" w:bidi="ar-SA"/>
              </w:rPr>
              <w:t>4</w:t>
            </w:r>
            <w:r>
              <w:rPr>
                <w:rFonts w:hint="eastAsia" w:ascii="Times New Roman" w:hAnsi="Times New Roman" w:eastAsia="宋体" w:cs="宋体"/>
                <w:b w:val="0"/>
                <w:bCs w:val="0"/>
                <w:color w:val="auto"/>
                <w:kern w:val="2"/>
                <w:sz w:val="24"/>
                <w:szCs w:val="24"/>
                <w:lang w:val="en-US" w:eastAsia="zh-CN" w:bidi="ar-SA"/>
              </w:rPr>
              <w:t>。</w:t>
            </w:r>
          </w:p>
          <w:p w14:paraId="190FDA5B">
            <w:pPr>
              <w:pStyle w:val="36"/>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w:t>
            </w:r>
            <w:r>
              <w:rPr>
                <w:rFonts w:hint="eastAsia" w:eastAsia="宋体" w:cs="Times New Roman"/>
                <w:color w:val="auto"/>
                <w:sz w:val="21"/>
                <w:szCs w:val="21"/>
                <w:lang w:val="en-US" w:eastAsia="zh-CN"/>
              </w:rPr>
              <w:t>4-1</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 xml:space="preserve">  建设项目环境风险简单分析内容表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1847"/>
              <w:gridCol w:w="1313"/>
              <w:gridCol w:w="1012"/>
              <w:gridCol w:w="729"/>
              <w:gridCol w:w="1003"/>
            </w:tblGrid>
            <w:tr w14:paraId="79D8D7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pct"/>
                  <w:tcBorders>
                    <w:tl2br w:val="nil"/>
                    <w:tr2bl w:val="nil"/>
                  </w:tcBorders>
                  <w:noWrap w:val="0"/>
                  <w:vAlign w:val="center"/>
                </w:tcPr>
                <w:p w14:paraId="3FEAD97E">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建设项目名称</w:t>
                  </w:r>
                </w:p>
              </w:tc>
              <w:tc>
                <w:tcPr>
                  <w:tcW w:w="3692" w:type="pct"/>
                  <w:gridSpan w:val="5"/>
                  <w:tcBorders>
                    <w:tl2br w:val="nil"/>
                    <w:tr2bl w:val="nil"/>
                  </w:tcBorders>
                  <w:noWrap w:val="0"/>
                  <w:vAlign w:val="center"/>
                </w:tcPr>
                <w:p w14:paraId="171A0C24">
                  <w:pPr>
                    <w:spacing w:line="240" w:lineRule="auto"/>
                    <w:ind w:firstLine="0" w:firstLineChars="0"/>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sz w:val="21"/>
                      <w:szCs w:val="24"/>
                      <w:lang w:val="en-US" w:eastAsia="zh-CN"/>
                    </w:rPr>
                    <w:t>G3033奎屯-独山子-库车高速公路建设项目KDK-TJSG-2标段项目总承包部项目经理2部1#、3#斜井综合场站建设项目</w:t>
                  </w:r>
                </w:p>
              </w:tc>
            </w:tr>
            <w:tr w14:paraId="08FF8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pct"/>
                  <w:tcBorders>
                    <w:tl2br w:val="nil"/>
                    <w:tr2bl w:val="nil"/>
                  </w:tcBorders>
                  <w:noWrap w:val="0"/>
                  <w:vAlign w:val="center"/>
                </w:tcPr>
                <w:p w14:paraId="362C18D8">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建设地点</w:t>
                  </w:r>
                </w:p>
              </w:tc>
              <w:tc>
                <w:tcPr>
                  <w:tcW w:w="1155" w:type="pct"/>
                  <w:tcBorders>
                    <w:tl2br w:val="nil"/>
                    <w:tr2bl w:val="nil"/>
                  </w:tcBorders>
                  <w:noWrap w:val="0"/>
                  <w:vAlign w:val="center"/>
                </w:tcPr>
                <w:p w14:paraId="556BCE1D">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新疆维吾尔自治区</w:t>
                  </w:r>
                </w:p>
              </w:tc>
              <w:tc>
                <w:tcPr>
                  <w:tcW w:w="821" w:type="pct"/>
                  <w:tcBorders>
                    <w:tl2br w:val="nil"/>
                    <w:tr2bl w:val="nil"/>
                  </w:tcBorders>
                  <w:noWrap w:val="0"/>
                  <w:vAlign w:val="center"/>
                </w:tcPr>
                <w:p w14:paraId="01F03CF4">
                  <w:pPr>
                    <w:spacing w:line="240" w:lineRule="auto"/>
                    <w:ind w:firstLine="0" w:firstLineChars="0"/>
                    <w:jc w:val="center"/>
                    <w:rPr>
                      <w:rFonts w:hint="eastAsia" w:ascii="Times New Roman" w:hAnsi="Times New Roman" w:eastAsia="宋体" w:cs="Times New Roman"/>
                      <w:color w:val="auto"/>
                      <w:kern w:val="0"/>
                      <w:sz w:val="21"/>
                      <w:szCs w:val="21"/>
                      <w:lang w:eastAsia="zh-CN"/>
                    </w:rPr>
                  </w:pPr>
                  <w:r>
                    <w:rPr>
                      <w:rFonts w:hint="eastAsia" w:ascii="Times New Roman" w:hAnsi="Times New Roman" w:eastAsia="宋体" w:cs="Times New Roman"/>
                      <w:color w:val="auto"/>
                      <w:kern w:val="0"/>
                      <w:sz w:val="21"/>
                      <w:szCs w:val="21"/>
                      <w:lang w:val="en-US" w:eastAsia="zh-CN"/>
                    </w:rPr>
                    <w:t>塔城地区</w:t>
                  </w:r>
                </w:p>
              </w:tc>
              <w:tc>
                <w:tcPr>
                  <w:tcW w:w="633" w:type="pct"/>
                  <w:tcBorders>
                    <w:tl2br w:val="nil"/>
                    <w:tr2bl w:val="nil"/>
                  </w:tcBorders>
                  <w:noWrap w:val="0"/>
                  <w:vAlign w:val="center"/>
                </w:tcPr>
                <w:p w14:paraId="518EA9D5">
                  <w:pPr>
                    <w:spacing w:line="240" w:lineRule="auto"/>
                    <w:ind w:firstLine="0" w:firstLineChars="0"/>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乌苏市</w:t>
                  </w:r>
                </w:p>
              </w:tc>
              <w:tc>
                <w:tcPr>
                  <w:tcW w:w="456" w:type="pct"/>
                  <w:tcBorders>
                    <w:tl2br w:val="nil"/>
                    <w:tr2bl w:val="nil"/>
                  </w:tcBorders>
                  <w:noWrap w:val="0"/>
                  <w:vAlign w:val="center"/>
                </w:tcPr>
                <w:p w14:paraId="0F5BDC19">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）县</w:t>
                  </w:r>
                </w:p>
              </w:tc>
              <w:tc>
                <w:tcPr>
                  <w:tcW w:w="626" w:type="pct"/>
                  <w:tcBorders>
                    <w:tl2br w:val="nil"/>
                    <w:tr2bl w:val="nil"/>
                  </w:tcBorders>
                  <w:noWrap w:val="0"/>
                  <w:vAlign w:val="center"/>
                </w:tcPr>
                <w:p w14:paraId="10ECDE77">
                  <w:pPr>
                    <w:spacing w:line="240" w:lineRule="auto"/>
                    <w:ind w:firstLine="0" w:firstLineChars="0"/>
                    <w:jc w:val="center"/>
                    <w:rPr>
                      <w:rFonts w:hint="default" w:ascii="Times New Roman" w:hAnsi="Times New Roman" w:eastAsia="宋体" w:cs="Times New Roman"/>
                      <w:color w:val="auto"/>
                      <w:kern w:val="0"/>
                      <w:sz w:val="21"/>
                      <w:szCs w:val="21"/>
                    </w:rPr>
                  </w:pPr>
                </w:p>
              </w:tc>
            </w:tr>
            <w:tr w14:paraId="32545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pct"/>
                  <w:tcBorders>
                    <w:tl2br w:val="nil"/>
                    <w:tr2bl w:val="nil"/>
                  </w:tcBorders>
                  <w:noWrap w:val="0"/>
                  <w:vAlign w:val="center"/>
                </w:tcPr>
                <w:p w14:paraId="656066B7">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地理坐标</w:t>
                  </w:r>
                </w:p>
              </w:tc>
              <w:tc>
                <w:tcPr>
                  <w:tcW w:w="1155" w:type="pct"/>
                  <w:tcBorders>
                    <w:tl2br w:val="nil"/>
                    <w:tr2bl w:val="nil"/>
                  </w:tcBorders>
                  <w:noWrap w:val="0"/>
                  <w:vAlign w:val="center"/>
                </w:tcPr>
                <w:p w14:paraId="76C559BC">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经度</w:t>
                  </w:r>
                </w:p>
              </w:tc>
              <w:tc>
                <w:tcPr>
                  <w:tcW w:w="821" w:type="pct"/>
                  <w:tcBorders>
                    <w:tl2br w:val="nil"/>
                    <w:tr2bl w:val="nil"/>
                  </w:tcBorders>
                  <w:noWrap w:val="0"/>
                  <w:vAlign w:val="center"/>
                </w:tcPr>
                <w:p w14:paraId="63931F7C">
                  <w:pPr>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c>
                <w:tcPr>
                  <w:tcW w:w="633" w:type="pct"/>
                  <w:tcBorders>
                    <w:tl2br w:val="nil"/>
                    <w:tr2bl w:val="nil"/>
                  </w:tcBorders>
                  <w:noWrap w:val="0"/>
                  <w:vAlign w:val="center"/>
                </w:tcPr>
                <w:p w14:paraId="029CF7DD">
                  <w:pPr>
                    <w:ind w:left="-105" w:leftChars="-50" w:right="-105" w:rightChars="-50" w:firstLine="0" w:firstLineChars="0"/>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bCs/>
                      <w:color w:val="auto"/>
                      <w:kern w:val="0"/>
                      <w:sz w:val="21"/>
                      <w:szCs w:val="21"/>
                    </w:rPr>
                    <w:t>纬度</w:t>
                  </w:r>
                </w:p>
              </w:tc>
              <w:tc>
                <w:tcPr>
                  <w:tcW w:w="1082" w:type="pct"/>
                  <w:gridSpan w:val="2"/>
                  <w:tcBorders>
                    <w:tl2br w:val="nil"/>
                    <w:tr2bl w:val="nil"/>
                  </w:tcBorders>
                  <w:noWrap w:val="0"/>
                  <w:vAlign w:val="center"/>
                </w:tcPr>
                <w:p w14:paraId="0E1B7F8F">
                  <w:pPr>
                    <w:ind w:left="-105" w:leftChars="-50" w:right="-105" w:rightChars="-50" w:firstLine="0" w:firstLineChars="0"/>
                    <w:contextualSpacing/>
                    <w:jc w:val="center"/>
                    <w:rPr>
                      <w:rFonts w:hint="default" w:ascii="Times New Roman" w:hAnsi="Times New Roman" w:eastAsia="宋体" w:cs="Times New Roman"/>
                      <w:bCs/>
                      <w:color w:val="auto"/>
                      <w:kern w:val="0"/>
                      <w:sz w:val="21"/>
                      <w:szCs w:val="21"/>
                      <w:lang w:val="en-US" w:eastAsia="zh-CN"/>
                    </w:rPr>
                  </w:pPr>
                  <w:r>
                    <w:rPr>
                      <w:rFonts w:hint="eastAsia" w:cs="Times New Roman"/>
                      <w:color w:val="auto"/>
                      <w:sz w:val="21"/>
                      <w:szCs w:val="21"/>
                      <w:lang w:val="en-US" w:eastAsia="zh-CN"/>
                    </w:rPr>
                    <w:t>***</w:t>
                  </w:r>
                </w:p>
              </w:tc>
            </w:tr>
            <w:tr w14:paraId="01211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7" w:type="pct"/>
                  <w:tcBorders>
                    <w:tl2br w:val="nil"/>
                    <w:tr2bl w:val="nil"/>
                  </w:tcBorders>
                  <w:noWrap w:val="0"/>
                  <w:vAlign w:val="center"/>
                </w:tcPr>
                <w:p w14:paraId="04AFEC91">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主要危险物质及分布</w:t>
                  </w:r>
                </w:p>
              </w:tc>
              <w:tc>
                <w:tcPr>
                  <w:tcW w:w="3692" w:type="pct"/>
                  <w:gridSpan w:val="5"/>
                  <w:tcBorders>
                    <w:tl2br w:val="nil"/>
                    <w:tr2bl w:val="nil"/>
                  </w:tcBorders>
                  <w:noWrap w:val="0"/>
                  <w:vAlign w:val="center"/>
                </w:tcPr>
                <w:p w14:paraId="4DE5A5D6">
                  <w:pPr>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机油，分布在机械设备内</w:t>
                  </w:r>
                </w:p>
              </w:tc>
            </w:tr>
            <w:tr w14:paraId="70F4C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7" w:type="pct"/>
                  <w:tcBorders>
                    <w:tl2br w:val="nil"/>
                    <w:tr2bl w:val="nil"/>
                  </w:tcBorders>
                  <w:noWrap w:val="0"/>
                  <w:vAlign w:val="center"/>
                </w:tcPr>
                <w:p w14:paraId="02E5A389">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环境影响途径及危害后果（大气、地下水）</w:t>
                  </w:r>
                </w:p>
              </w:tc>
              <w:tc>
                <w:tcPr>
                  <w:tcW w:w="3692" w:type="pct"/>
                  <w:gridSpan w:val="5"/>
                  <w:tcBorders>
                    <w:tl2br w:val="nil"/>
                    <w:tr2bl w:val="nil"/>
                  </w:tcBorders>
                  <w:noWrap w:val="0"/>
                  <w:vAlign w:val="center"/>
                </w:tcPr>
                <w:p w14:paraId="3087AD17">
                  <w:pPr>
                    <w:spacing w:line="240" w:lineRule="auto"/>
                    <w:ind w:firstLine="0" w:firstLineChars="0"/>
                    <w:jc w:val="both"/>
                    <w:rPr>
                      <w:rFonts w:hint="default" w:ascii="Times New Roman" w:hAnsi="Times New Roman" w:eastAsia="宋体" w:cs="Times New Roman"/>
                      <w:color w:val="auto"/>
                      <w:kern w:val="0"/>
                      <w:sz w:val="21"/>
                      <w:szCs w:val="21"/>
                      <w:lang w:val="en-US" w:eastAsia="zh-CN"/>
                    </w:rPr>
                  </w:pPr>
                  <w:r>
                    <w:rPr>
                      <w:rFonts w:hint="eastAsia"/>
                      <w:color w:val="auto"/>
                      <w:sz w:val="21"/>
                      <w:szCs w:val="21"/>
                      <w:highlight w:val="none"/>
                    </w:rPr>
                    <w:t>项目在日常生产中车辆</w:t>
                  </w:r>
                  <w:r>
                    <w:rPr>
                      <w:rFonts w:hint="eastAsia"/>
                      <w:color w:val="auto"/>
                      <w:sz w:val="21"/>
                      <w:szCs w:val="21"/>
                      <w:highlight w:val="none"/>
                      <w:lang w:val="en-US" w:eastAsia="zh-CN"/>
                    </w:rPr>
                    <w:t>和设备</w:t>
                  </w:r>
                  <w:r>
                    <w:rPr>
                      <w:rFonts w:hint="eastAsia"/>
                      <w:color w:val="auto"/>
                      <w:sz w:val="21"/>
                      <w:szCs w:val="21"/>
                      <w:highlight w:val="none"/>
                    </w:rPr>
                    <w:t>中的机油在厂区内停放过程中可能会造成泄漏或溢油的风险，造成土壤</w:t>
                  </w:r>
                  <w:r>
                    <w:rPr>
                      <w:rFonts w:hint="eastAsia"/>
                      <w:color w:val="auto"/>
                      <w:sz w:val="21"/>
                      <w:szCs w:val="21"/>
                      <w:highlight w:val="none"/>
                      <w:lang w:eastAsia="zh-CN"/>
                    </w:rPr>
                    <w:t>、</w:t>
                  </w:r>
                  <w:r>
                    <w:rPr>
                      <w:rFonts w:hint="eastAsia"/>
                      <w:color w:val="auto"/>
                      <w:sz w:val="21"/>
                      <w:szCs w:val="21"/>
                      <w:highlight w:val="none"/>
                      <w:lang w:val="en-US" w:eastAsia="zh-CN"/>
                    </w:rPr>
                    <w:t>地下水</w:t>
                  </w:r>
                  <w:r>
                    <w:rPr>
                      <w:rFonts w:hint="eastAsia"/>
                      <w:color w:val="auto"/>
                      <w:sz w:val="21"/>
                      <w:szCs w:val="21"/>
                      <w:highlight w:val="none"/>
                    </w:rPr>
                    <w:t>污染</w:t>
                  </w:r>
                  <w:r>
                    <w:rPr>
                      <w:rFonts w:hint="eastAsia"/>
                      <w:color w:val="auto"/>
                      <w:sz w:val="21"/>
                      <w:szCs w:val="21"/>
                      <w:highlight w:val="none"/>
                      <w:lang w:eastAsia="zh-CN"/>
                    </w:rPr>
                    <w:t>；</w:t>
                  </w:r>
                  <w:r>
                    <w:rPr>
                      <w:rFonts w:hint="default" w:ascii="Times New Roman" w:hAnsi="Times New Roman" w:cs="Times New Roman"/>
                      <w:bCs/>
                      <w:color w:val="auto"/>
                      <w:spacing w:val="-10"/>
                      <w:sz w:val="21"/>
                      <w:szCs w:val="21"/>
                    </w:rPr>
                    <w:t>泄漏后遇明火发生火灾事故</w:t>
                  </w:r>
                  <w:r>
                    <w:rPr>
                      <w:rFonts w:hint="eastAsia" w:ascii="Times New Roman" w:hAnsi="Times New Roman" w:cs="Times New Roman"/>
                      <w:bCs/>
                      <w:color w:val="auto"/>
                      <w:spacing w:val="-10"/>
                      <w:sz w:val="21"/>
                      <w:szCs w:val="21"/>
                      <w:lang w:eastAsia="zh-CN"/>
                    </w:rPr>
                    <w:t>，</w:t>
                  </w:r>
                  <w:r>
                    <w:rPr>
                      <w:rFonts w:hint="eastAsia" w:ascii="Times New Roman" w:hAnsi="Times New Roman" w:eastAsia="宋体" w:cs="Times New Roman"/>
                      <w:color w:val="auto"/>
                      <w:kern w:val="0"/>
                      <w:sz w:val="21"/>
                      <w:szCs w:val="21"/>
                      <w:lang w:val="en-US" w:eastAsia="zh-CN"/>
                    </w:rPr>
                    <w:t>对周边大气环境造成影响</w:t>
                  </w:r>
                </w:p>
              </w:tc>
            </w:tr>
            <w:tr w14:paraId="025F0E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7" w:type="pct"/>
                  <w:tcBorders>
                    <w:tl2br w:val="nil"/>
                    <w:tr2bl w:val="nil"/>
                  </w:tcBorders>
                  <w:noWrap w:val="0"/>
                  <w:vAlign w:val="center"/>
                </w:tcPr>
                <w:p w14:paraId="6CE1F35A">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风险防范措施要求</w:t>
                  </w:r>
                </w:p>
              </w:tc>
              <w:tc>
                <w:tcPr>
                  <w:tcW w:w="3692" w:type="pct"/>
                  <w:gridSpan w:val="5"/>
                  <w:tcBorders>
                    <w:tl2br w:val="nil"/>
                    <w:tr2bl w:val="nil"/>
                  </w:tcBorders>
                  <w:noWrap w:val="0"/>
                  <w:vAlign w:val="center"/>
                </w:tcPr>
                <w:p w14:paraId="5B20F06E">
                  <w:pPr>
                    <w:bidi w:val="0"/>
                    <w:rPr>
                      <w:rFonts w:hint="default" w:ascii="Times New Roman" w:hAnsi="Times New Roman" w:eastAsia="宋体" w:cs="Times New Roman"/>
                      <w:color w:val="auto"/>
                      <w:kern w:val="0"/>
                      <w:szCs w:val="21"/>
                      <w:lang w:val="en-US"/>
                    </w:rPr>
                  </w:pPr>
                  <w:r>
                    <w:rPr>
                      <w:rFonts w:hint="eastAsia"/>
                      <w:color w:val="auto"/>
                      <w:sz w:val="21"/>
                      <w:szCs w:val="24"/>
                      <w:lang w:val="en-US" w:eastAsia="zh-CN"/>
                    </w:rPr>
                    <w:t>见报告环境风险防范措施</w:t>
                  </w:r>
                </w:p>
              </w:tc>
            </w:tr>
            <w:tr w14:paraId="7C1F68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7" w:type="pct"/>
                  <w:tcBorders>
                    <w:tl2br w:val="nil"/>
                    <w:tr2bl w:val="nil"/>
                  </w:tcBorders>
                  <w:noWrap w:val="0"/>
                  <w:vAlign w:val="center"/>
                </w:tcPr>
                <w:p w14:paraId="51EE7D4B">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填表说明</w:t>
                  </w:r>
                </w:p>
              </w:tc>
              <w:tc>
                <w:tcPr>
                  <w:tcW w:w="3692" w:type="pct"/>
                  <w:gridSpan w:val="5"/>
                  <w:tcBorders>
                    <w:tl2br w:val="nil"/>
                    <w:tr2bl w:val="nil"/>
                  </w:tcBorders>
                  <w:noWrap w:val="0"/>
                  <w:vAlign w:val="center"/>
                </w:tcPr>
                <w:p w14:paraId="3F2BFC5F">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t>
                  </w:r>
                </w:p>
              </w:tc>
            </w:tr>
          </w:tbl>
          <w:p w14:paraId="421331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sz w:val="24"/>
                <w:szCs w:val="32"/>
                <w:lang w:val="en-US" w:eastAsia="zh-CN"/>
              </w:rPr>
            </w:pPr>
            <w:r>
              <w:rPr>
                <w:rFonts w:hint="eastAsia"/>
                <w:b/>
                <w:bCs/>
                <w:color w:val="auto"/>
                <w:sz w:val="24"/>
                <w:szCs w:val="32"/>
                <w:lang w:val="en-US" w:eastAsia="zh-CN"/>
              </w:rPr>
              <w:t>4.12服务期满后环境影响分析</w:t>
            </w:r>
          </w:p>
          <w:p w14:paraId="497EEC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rPr>
            </w:pPr>
            <w:r>
              <w:rPr>
                <w:rFonts w:hint="eastAsia" w:ascii="Times New Roman" w:hAnsi="Times New Roman" w:cs="Times New Roman"/>
                <w:color w:val="auto"/>
                <w:sz w:val="24"/>
                <w:szCs w:val="24"/>
                <w:lang w:val="en-US" w:eastAsia="zh-CN"/>
              </w:rPr>
              <w:t>本项目属于</w:t>
            </w:r>
            <w:r>
              <w:rPr>
                <w:rFonts w:hint="default" w:ascii="Times New Roman" w:hAnsi="Times New Roman" w:cs="Times New Roman"/>
                <w:color w:val="auto"/>
                <w:sz w:val="24"/>
                <w:szCs w:val="24"/>
                <w:lang w:val="en-US" w:eastAsia="zh-CN"/>
              </w:rPr>
              <w:t>G3033奎屯-独山子-库车高速公路</w:t>
            </w:r>
            <w:r>
              <w:rPr>
                <w:rFonts w:hint="eastAsia" w:ascii="Times New Roman" w:hAnsi="Times New Roman" w:cs="Times New Roman"/>
                <w:color w:val="auto"/>
                <w:sz w:val="24"/>
                <w:szCs w:val="24"/>
                <w:lang w:val="en-US" w:eastAsia="zh-CN"/>
              </w:rPr>
              <w:t>其中一个标段施工所需商混的临时辅助工程，该标段施工结束后，将设施全部拆除。</w:t>
            </w:r>
          </w:p>
          <w:p w14:paraId="135348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服务期满后影响主要为拆除的建（构）筑物固体废物影响，以及基础拆除产生的废气、噪声及生态环境影响。拆除完毕后，应做好生态恢复措施。</w:t>
            </w:r>
          </w:p>
          <w:p w14:paraId="3C6FE4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eastAsia="zh-CN"/>
              </w:rPr>
              <w:t>（</w:t>
            </w:r>
            <w:r>
              <w:rPr>
                <w:rFonts w:hint="eastAsia" w:ascii="Times New Roman" w:hAnsi="Times New Roman" w:eastAsia="宋体" w:cs="Times New Roman"/>
                <w:color w:val="auto"/>
                <w:sz w:val="24"/>
                <w:szCs w:val="32"/>
                <w:lang w:val="en-US" w:eastAsia="zh-CN"/>
              </w:rPr>
              <w:t>1</w:t>
            </w:r>
            <w:r>
              <w:rPr>
                <w:rFonts w:hint="eastAsia" w:ascii="Times New Roman" w:hAnsi="Times New Roman" w:eastAsia="宋体" w:cs="Times New Roman"/>
                <w:color w:val="auto"/>
                <w:sz w:val="24"/>
                <w:szCs w:val="32"/>
                <w:lang w:eastAsia="zh-CN"/>
              </w:rPr>
              <w:t>）</w:t>
            </w:r>
            <w:r>
              <w:rPr>
                <w:rFonts w:hint="eastAsia" w:ascii="Times New Roman" w:hAnsi="Times New Roman" w:eastAsia="宋体" w:cs="Times New Roman"/>
                <w:color w:val="auto"/>
                <w:sz w:val="24"/>
                <w:szCs w:val="32"/>
                <w:lang w:val="en-US" w:eastAsia="zh-CN"/>
              </w:rPr>
              <w:t>建（构）筑物的拆除</w:t>
            </w:r>
          </w:p>
          <w:p w14:paraId="444019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除各类设备以外，本项目在服务期满后需要对已建成的各类建（构）筑物进行全部拆除，以利于恢复原地表和植被。拆除后的建筑垃圾应按照相关规定要求运至指定建筑垃圾填埋场；废气、噪声随着拆除工作的结束，影响随即消失。</w:t>
            </w:r>
          </w:p>
          <w:p w14:paraId="4804DF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eastAsia="zh-CN"/>
              </w:rPr>
              <w:t>（</w:t>
            </w:r>
            <w:r>
              <w:rPr>
                <w:rFonts w:hint="eastAsia" w:ascii="Times New Roman" w:hAnsi="Times New Roman" w:eastAsia="宋体" w:cs="Times New Roman"/>
                <w:color w:val="auto"/>
                <w:sz w:val="24"/>
                <w:szCs w:val="32"/>
                <w:lang w:val="en-US" w:eastAsia="zh-CN"/>
              </w:rPr>
              <w:t>2</w:t>
            </w:r>
            <w:r>
              <w:rPr>
                <w:rFonts w:hint="eastAsia" w:ascii="Times New Roman" w:hAnsi="Times New Roman" w:eastAsia="宋体" w:cs="Times New Roman"/>
                <w:color w:val="auto"/>
                <w:sz w:val="24"/>
                <w:szCs w:val="32"/>
                <w:lang w:eastAsia="zh-CN"/>
              </w:rPr>
              <w:t>）</w:t>
            </w:r>
            <w:r>
              <w:rPr>
                <w:rFonts w:hint="eastAsia" w:ascii="Times New Roman" w:hAnsi="Times New Roman" w:eastAsia="宋体" w:cs="Times New Roman"/>
                <w:color w:val="auto"/>
                <w:sz w:val="24"/>
                <w:szCs w:val="32"/>
                <w:lang w:val="en-US" w:eastAsia="zh-CN"/>
              </w:rPr>
              <w:t>恢复措施</w:t>
            </w:r>
          </w:p>
          <w:p w14:paraId="21E226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本项目服务期满后拆除的区域应进行生态恢复，</w:t>
            </w:r>
            <w:r>
              <w:rPr>
                <w:rFonts w:hint="eastAsia" w:cs="Times New Roman"/>
                <w:color w:val="auto"/>
                <w:sz w:val="24"/>
                <w:szCs w:val="32"/>
                <w:lang w:val="en-US" w:eastAsia="zh-CN"/>
              </w:rPr>
              <w:t>以恢复生态保护红线生态功能为目标，</w:t>
            </w:r>
            <w:r>
              <w:rPr>
                <w:rFonts w:hint="eastAsia" w:ascii="Times New Roman" w:hAnsi="Times New Roman" w:eastAsia="宋体" w:cs="Times New Roman"/>
                <w:color w:val="auto"/>
                <w:sz w:val="24"/>
                <w:szCs w:val="32"/>
                <w:lang w:val="en-US" w:eastAsia="zh-CN"/>
              </w:rPr>
              <w:t>拆除的过程中应尽量减少对土地的扰动。拆除的硬化场地部分应进行恢复，覆土厚度30cm，并将侵蚀沟和低洼区域填土、平整，恢复后的场地则进行洒水和压实，防止产生扬尘和对土壤的风蚀，及时采取固废处置及生态恢复措施，确保无遗留环保问题。</w:t>
            </w:r>
          </w:p>
          <w:p w14:paraId="6BCA0126">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textAlignment w:val="auto"/>
              <w:rPr>
                <w:rFonts w:hint="default" w:ascii="Times New Roman" w:hAnsi="Times New Roman" w:cs="Times New Roman"/>
                <w:b/>
                <w:bCs w:val="0"/>
                <w:color w:val="auto"/>
                <w:spacing w:val="-10"/>
                <w:sz w:val="24"/>
                <w:szCs w:val="24"/>
                <w:lang w:val="en-US" w:eastAsia="zh-CN"/>
              </w:rPr>
            </w:pPr>
            <w:r>
              <w:rPr>
                <w:rFonts w:hint="eastAsia" w:ascii="Times New Roman" w:hAnsi="Times New Roman" w:cs="Times New Roman"/>
                <w:b/>
                <w:bCs w:val="0"/>
                <w:color w:val="auto"/>
                <w:spacing w:val="-10"/>
                <w:sz w:val="24"/>
                <w:szCs w:val="24"/>
                <w:lang w:val="en-US" w:eastAsia="zh-CN"/>
              </w:rPr>
              <w:t>4.13环保投资</w:t>
            </w:r>
          </w:p>
          <w:p w14:paraId="271E2051">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40" w:firstLineChars="200"/>
              <w:textAlignment w:val="auto"/>
              <w:rPr>
                <w:rFonts w:hint="default" w:ascii="Times New Roman" w:hAnsi="Times New Roman" w:cs="Times New Roman"/>
                <w:bCs/>
                <w:color w:val="auto"/>
                <w:spacing w:val="-10"/>
                <w:sz w:val="24"/>
                <w:szCs w:val="24"/>
                <w:lang w:val="en-US" w:eastAsia="zh-CN"/>
              </w:rPr>
            </w:pPr>
            <w:r>
              <w:rPr>
                <w:rFonts w:hint="eastAsia" w:ascii="Times New Roman" w:hAnsi="Times New Roman" w:cs="Times New Roman"/>
                <w:bCs/>
                <w:color w:val="auto"/>
                <w:spacing w:val="-10"/>
                <w:sz w:val="24"/>
                <w:szCs w:val="24"/>
                <w:lang w:eastAsia="zh-CN"/>
              </w:rPr>
              <w:t>本项目总投资</w:t>
            </w:r>
            <w:r>
              <w:rPr>
                <w:rFonts w:hint="eastAsia" w:ascii="Times New Roman" w:hAnsi="Times New Roman" w:cs="Times New Roman"/>
                <w:bCs/>
                <w:color w:val="auto"/>
                <w:spacing w:val="-10"/>
                <w:sz w:val="24"/>
                <w:szCs w:val="24"/>
                <w:lang w:val="en-US" w:eastAsia="zh-CN"/>
              </w:rPr>
              <w:t>2230.0万元，其中环保投资1</w:t>
            </w:r>
            <w:r>
              <w:rPr>
                <w:rFonts w:hint="eastAsia" w:cs="Times New Roman"/>
                <w:bCs/>
                <w:color w:val="auto"/>
                <w:spacing w:val="-10"/>
                <w:sz w:val="24"/>
                <w:szCs w:val="24"/>
                <w:lang w:val="en-US" w:eastAsia="zh-CN"/>
              </w:rPr>
              <w:t>7</w:t>
            </w:r>
            <w:r>
              <w:rPr>
                <w:rFonts w:hint="eastAsia" w:ascii="Times New Roman" w:hAnsi="Times New Roman" w:cs="Times New Roman"/>
                <w:bCs/>
                <w:color w:val="auto"/>
                <w:spacing w:val="-10"/>
                <w:sz w:val="24"/>
                <w:szCs w:val="24"/>
                <w:lang w:val="en-US" w:eastAsia="zh-CN"/>
              </w:rPr>
              <w:t>9.0万元，占总投资</w:t>
            </w:r>
            <w:r>
              <w:rPr>
                <w:rFonts w:hint="eastAsia" w:cs="Times New Roman"/>
                <w:bCs/>
                <w:color w:val="auto"/>
                <w:spacing w:val="-10"/>
                <w:sz w:val="24"/>
                <w:szCs w:val="24"/>
                <w:lang w:val="en-US" w:eastAsia="zh-CN"/>
              </w:rPr>
              <w:t>8.0</w:t>
            </w:r>
            <w:r>
              <w:rPr>
                <w:rFonts w:hint="eastAsia" w:ascii="Times New Roman" w:hAnsi="Times New Roman" w:cs="Times New Roman"/>
                <w:bCs/>
                <w:color w:val="auto"/>
                <w:spacing w:val="-10"/>
                <w:sz w:val="24"/>
                <w:szCs w:val="24"/>
                <w:lang w:val="en-US" w:eastAsia="zh-CN"/>
              </w:rPr>
              <w:t>%，投资估算情况见表4-1</w:t>
            </w:r>
            <w:r>
              <w:rPr>
                <w:rFonts w:hint="eastAsia" w:cs="Times New Roman"/>
                <w:bCs/>
                <w:color w:val="auto"/>
                <w:spacing w:val="-10"/>
                <w:sz w:val="24"/>
                <w:szCs w:val="24"/>
                <w:lang w:val="en-US" w:eastAsia="zh-CN"/>
              </w:rPr>
              <w:t>5</w:t>
            </w:r>
            <w:r>
              <w:rPr>
                <w:rFonts w:hint="eastAsia" w:ascii="Times New Roman" w:hAnsi="Times New Roman" w:cs="Times New Roman"/>
                <w:bCs/>
                <w:color w:val="auto"/>
                <w:spacing w:val="-10"/>
                <w:sz w:val="24"/>
                <w:szCs w:val="24"/>
                <w:lang w:val="en-US" w:eastAsia="zh-CN"/>
              </w:rPr>
              <w:t>。</w:t>
            </w:r>
          </w:p>
          <w:p w14:paraId="5C749BA7">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b/>
                <w:bCs w:val="0"/>
                <w:color w:val="auto"/>
                <w:spacing w:val="-10"/>
                <w:sz w:val="21"/>
                <w:szCs w:val="21"/>
                <w:lang w:val="en-US" w:eastAsia="zh-CN"/>
              </w:rPr>
            </w:pPr>
            <w:r>
              <w:rPr>
                <w:rFonts w:hint="eastAsia" w:ascii="Times New Roman" w:hAnsi="Times New Roman" w:cs="Times New Roman"/>
                <w:b/>
                <w:bCs w:val="0"/>
                <w:color w:val="auto"/>
                <w:spacing w:val="-10"/>
                <w:sz w:val="21"/>
                <w:szCs w:val="21"/>
                <w:lang w:eastAsia="zh-CN"/>
              </w:rPr>
              <w:t>表</w:t>
            </w:r>
            <w:r>
              <w:rPr>
                <w:rFonts w:hint="eastAsia" w:ascii="Times New Roman" w:hAnsi="Times New Roman" w:cs="Times New Roman"/>
                <w:b/>
                <w:bCs w:val="0"/>
                <w:color w:val="auto"/>
                <w:spacing w:val="-10"/>
                <w:sz w:val="21"/>
                <w:szCs w:val="21"/>
                <w:lang w:val="en-US" w:eastAsia="zh-CN"/>
              </w:rPr>
              <w:t>4-1</w:t>
            </w:r>
            <w:r>
              <w:rPr>
                <w:rFonts w:hint="eastAsia" w:cs="Times New Roman"/>
                <w:b/>
                <w:bCs w:val="0"/>
                <w:color w:val="auto"/>
                <w:spacing w:val="-10"/>
                <w:sz w:val="21"/>
                <w:szCs w:val="21"/>
                <w:lang w:val="en-US" w:eastAsia="zh-CN"/>
              </w:rPr>
              <w:t>5</w:t>
            </w:r>
            <w:r>
              <w:rPr>
                <w:rFonts w:hint="eastAsia" w:ascii="Times New Roman" w:hAnsi="Times New Roman" w:cs="Times New Roman"/>
                <w:b/>
                <w:bCs w:val="0"/>
                <w:color w:val="auto"/>
                <w:spacing w:val="-10"/>
                <w:sz w:val="21"/>
                <w:szCs w:val="21"/>
                <w:lang w:val="en-US" w:eastAsia="zh-CN"/>
              </w:rPr>
              <w:t xml:space="preserve">  环保投资估算情况一览表</w:t>
            </w:r>
          </w:p>
          <w:tbl>
            <w:tblPr>
              <w:tblStyle w:val="29"/>
              <w:tblW w:w="7997"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1065"/>
              <w:gridCol w:w="1398"/>
              <w:gridCol w:w="2981"/>
              <w:gridCol w:w="1466"/>
            </w:tblGrid>
            <w:tr w14:paraId="30B52F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87" w:type="dxa"/>
                  <w:tcBorders>
                    <w:tl2br w:val="nil"/>
                    <w:tr2bl w:val="nil"/>
                  </w:tcBorders>
                  <w:noWrap w:val="0"/>
                  <w:vAlign w:val="center"/>
                </w:tcPr>
                <w:p w14:paraId="0DB93E7F">
                  <w:pPr>
                    <w:bidi w:val="0"/>
                    <w:jc w:val="center"/>
                    <w:rPr>
                      <w:rFonts w:hint="default"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项目阶段</w:t>
                  </w:r>
                </w:p>
              </w:tc>
              <w:tc>
                <w:tcPr>
                  <w:tcW w:w="1065" w:type="dxa"/>
                  <w:tcBorders>
                    <w:tl2br w:val="nil"/>
                    <w:tr2bl w:val="nil"/>
                  </w:tcBorders>
                  <w:noWrap w:val="0"/>
                  <w:vAlign w:val="center"/>
                </w:tcPr>
                <w:p w14:paraId="3A5625B9">
                  <w:pPr>
                    <w:bidi w:val="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sz w:val="21"/>
                      <w:szCs w:val="21"/>
                      <w:lang w:eastAsia="zh-CN"/>
                    </w:rPr>
                    <w:t>项目类别</w:t>
                  </w:r>
                </w:p>
              </w:tc>
              <w:tc>
                <w:tcPr>
                  <w:tcW w:w="1398" w:type="dxa"/>
                  <w:tcBorders>
                    <w:tl2br w:val="nil"/>
                    <w:tr2bl w:val="nil"/>
                  </w:tcBorders>
                  <w:noWrap w:val="0"/>
                  <w:vAlign w:val="center"/>
                </w:tcPr>
                <w:p w14:paraId="14BF8771">
                  <w:pPr>
                    <w:bidi w:val="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sz w:val="21"/>
                      <w:szCs w:val="21"/>
                      <w:lang w:eastAsia="zh-CN"/>
                    </w:rPr>
                    <w:t>治理对象</w:t>
                  </w:r>
                </w:p>
              </w:tc>
              <w:tc>
                <w:tcPr>
                  <w:tcW w:w="2981" w:type="dxa"/>
                  <w:tcBorders>
                    <w:tl2br w:val="nil"/>
                    <w:tr2bl w:val="nil"/>
                  </w:tcBorders>
                  <w:noWrap w:val="0"/>
                  <w:vAlign w:val="center"/>
                </w:tcPr>
                <w:p w14:paraId="1AAE4C8A">
                  <w:pPr>
                    <w:bidi w:val="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sz w:val="21"/>
                      <w:szCs w:val="21"/>
                      <w:lang w:eastAsia="zh-CN"/>
                    </w:rPr>
                    <w:t>治理措施</w:t>
                  </w:r>
                </w:p>
              </w:tc>
              <w:tc>
                <w:tcPr>
                  <w:tcW w:w="1466" w:type="dxa"/>
                  <w:tcBorders>
                    <w:tl2br w:val="nil"/>
                    <w:tr2bl w:val="nil"/>
                  </w:tcBorders>
                  <w:noWrap w:val="0"/>
                  <w:vAlign w:val="center"/>
                </w:tcPr>
                <w:p w14:paraId="3AA11769">
                  <w:pPr>
                    <w:bidi w:val="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sz w:val="21"/>
                      <w:szCs w:val="21"/>
                      <w:lang w:eastAsia="zh-CN"/>
                    </w:rPr>
                    <w:t>投资费用（万元）</w:t>
                  </w:r>
                </w:p>
              </w:tc>
            </w:tr>
            <w:tr w14:paraId="28E7B2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restart"/>
                  <w:tcBorders>
                    <w:tl2br w:val="nil"/>
                    <w:tr2bl w:val="nil"/>
                  </w:tcBorders>
                  <w:noWrap w:val="0"/>
                  <w:vAlign w:val="center"/>
                </w:tcPr>
                <w:p w14:paraId="3F2FD7E7">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施工期</w:t>
                  </w:r>
                </w:p>
              </w:tc>
              <w:tc>
                <w:tcPr>
                  <w:tcW w:w="1065" w:type="dxa"/>
                  <w:tcBorders>
                    <w:tl2br w:val="nil"/>
                    <w:tr2bl w:val="nil"/>
                  </w:tcBorders>
                  <w:noWrap w:val="0"/>
                  <w:vAlign w:val="center"/>
                </w:tcPr>
                <w:p w14:paraId="32154ECE">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废气</w:t>
                  </w:r>
                </w:p>
              </w:tc>
              <w:tc>
                <w:tcPr>
                  <w:tcW w:w="1398" w:type="dxa"/>
                  <w:tcBorders>
                    <w:tl2br w:val="nil"/>
                    <w:tr2bl w:val="nil"/>
                  </w:tcBorders>
                  <w:noWrap w:val="0"/>
                  <w:vAlign w:val="center"/>
                </w:tcPr>
                <w:p w14:paraId="5DF52654">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施工扬尘</w:t>
                  </w:r>
                </w:p>
              </w:tc>
              <w:tc>
                <w:tcPr>
                  <w:tcW w:w="2981" w:type="dxa"/>
                  <w:tcBorders>
                    <w:tl2br w:val="nil"/>
                    <w:tr2bl w:val="nil"/>
                  </w:tcBorders>
                  <w:noWrap w:val="0"/>
                  <w:vAlign w:val="center"/>
                </w:tcPr>
                <w:p w14:paraId="10DEE766">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定期洒水降尘</w:t>
                  </w:r>
                </w:p>
              </w:tc>
              <w:tc>
                <w:tcPr>
                  <w:tcW w:w="1466" w:type="dxa"/>
                  <w:tcBorders>
                    <w:tl2br w:val="nil"/>
                    <w:tr2bl w:val="nil"/>
                  </w:tcBorders>
                  <w:noWrap w:val="0"/>
                  <w:vAlign w:val="center"/>
                </w:tcPr>
                <w:p w14:paraId="7C9374D5">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r>
            <w:tr w14:paraId="1C5F36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373F4A5B">
                  <w:pPr>
                    <w:bidi w:val="0"/>
                    <w:jc w:val="center"/>
                    <w:rPr>
                      <w:rFonts w:hint="default" w:ascii="Times New Roman" w:hAnsi="Times New Roman" w:eastAsia="宋体" w:cs="Times New Roman"/>
                      <w:color w:val="auto"/>
                      <w:sz w:val="21"/>
                      <w:szCs w:val="21"/>
                      <w:lang w:eastAsia="zh-CN"/>
                    </w:rPr>
                  </w:pPr>
                </w:p>
              </w:tc>
              <w:tc>
                <w:tcPr>
                  <w:tcW w:w="1065" w:type="dxa"/>
                  <w:tcBorders>
                    <w:tl2br w:val="nil"/>
                    <w:tr2bl w:val="nil"/>
                  </w:tcBorders>
                  <w:noWrap w:val="0"/>
                  <w:vAlign w:val="center"/>
                </w:tcPr>
                <w:p w14:paraId="488C4790">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噪声</w:t>
                  </w:r>
                </w:p>
              </w:tc>
              <w:tc>
                <w:tcPr>
                  <w:tcW w:w="1398" w:type="dxa"/>
                  <w:tcBorders>
                    <w:tl2br w:val="nil"/>
                    <w:tr2bl w:val="nil"/>
                  </w:tcBorders>
                  <w:noWrap w:val="0"/>
                  <w:vAlign w:val="center"/>
                </w:tcPr>
                <w:p w14:paraId="294F6156">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施工设备</w:t>
                  </w:r>
                </w:p>
              </w:tc>
              <w:tc>
                <w:tcPr>
                  <w:tcW w:w="2981" w:type="dxa"/>
                  <w:tcBorders>
                    <w:tl2br w:val="nil"/>
                    <w:tr2bl w:val="nil"/>
                  </w:tcBorders>
                  <w:noWrap w:val="0"/>
                  <w:vAlign w:val="center"/>
                </w:tcPr>
                <w:p w14:paraId="22B858E4">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定期维护和保养，基础减振</w:t>
                  </w:r>
                </w:p>
              </w:tc>
              <w:tc>
                <w:tcPr>
                  <w:tcW w:w="1466" w:type="dxa"/>
                  <w:tcBorders>
                    <w:tl2br w:val="nil"/>
                    <w:tr2bl w:val="nil"/>
                  </w:tcBorders>
                  <w:noWrap w:val="0"/>
                  <w:vAlign w:val="center"/>
                </w:tcPr>
                <w:p w14:paraId="6FC25158">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r>
            <w:tr w14:paraId="6770F1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6E49FFCE">
                  <w:pPr>
                    <w:bidi w:val="0"/>
                    <w:jc w:val="center"/>
                    <w:rPr>
                      <w:rFonts w:hint="default" w:ascii="Times New Roman" w:hAnsi="Times New Roman" w:eastAsia="宋体" w:cs="Times New Roman"/>
                      <w:color w:val="auto"/>
                      <w:sz w:val="21"/>
                      <w:szCs w:val="21"/>
                      <w:lang w:eastAsia="zh-CN"/>
                    </w:rPr>
                  </w:pPr>
                </w:p>
              </w:tc>
              <w:tc>
                <w:tcPr>
                  <w:tcW w:w="1065" w:type="dxa"/>
                  <w:tcBorders>
                    <w:tl2br w:val="nil"/>
                    <w:tr2bl w:val="nil"/>
                  </w:tcBorders>
                  <w:noWrap w:val="0"/>
                  <w:vAlign w:val="center"/>
                </w:tcPr>
                <w:p w14:paraId="616812BE">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固废</w:t>
                  </w:r>
                </w:p>
              </w:tc>
              <w:tc>
                <w:tcPr>
                  <w:tcW w:w="1398" w:type="dxa"/>
                  <w:tcBorders>
                    <w:tl2br w:val="nil"/>
                    <w:tr2bl w:val="nil"/>
                  </w:tcBorders>
                  <w:noWrap w:val="0"/>
                  <w:vAlign w:val="center"/>
                </w:tcPr>
                <w:p w14:paraId="23F93A86">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施工废料</w:t>
                  </w:r>
                </w:p>
              </w:tc>
              <w:tc>
                <w:tcPr>
                  <w:tcW w:w="2981" w:type="dxa"/>
                  <w:tcBorders>
                    <w:tl2br w:val="nil"/>
                    <w:tr2bl w:val="nil"/>
                  </w:tcBorders>
                  <w:noWrap w:val="0"/>
                  <w:vAlign w:val="center"/>
                </w:tcPr>
                <w:p w14:paraId="622EEBD2">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运往指定地点处置</w:t>
                  </w:r>
                </w:p>
              </w:tc>
              <w:tc>
                <w:tcPr>
                  <w:tcW w:w="1466" w:type="dxa"/>
                  <w:tcBorders>
                    <w:tl2br w:val="nil"/>
                    <w:tr2bl w:val="nil"/>
                  </w:tcBorders>
                  <w:noWrap w:val="0"/>
                  <w:vAlign w:val="center"/>
                </w:tcPr>
                <w:p w14:paraId="20A9F8C9">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r>
            <w:tr w14:paraId="268FD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restart"/>
                  <w:tcBorders>
                    <w:tl2br w:val="nil"/>
                    <w:tr2bl w:val="nil"/>
                  </w:tcBorders>
                  <w:noWrap w:val="0"/>
                  <w:vAlign w:val="center"/>
                </w:tcPr>
                <w:p w14:paraId="24DEC924">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运营期</w:t>
                  </w:r>
                </w:p>
              </w:tc>
              <w:tc>
                <w:tcPr>
                  <w:tcW w:w="1065" w:type="dxa"/>
                  <w:vMerge w:val="restart"/>
                  <w:tcBorders>
                    <w:tl2br w:val="nil"/>
                    <w:tr2bl w:val="nil"/>
                  </w:tcBorders>
                  <w:noWrap w:val="0"/>
                  <w:vAlign w:val="center"/>
                </w:tcPr>
                <w:p w14:paraId="57CC53B6">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废气</w:t>
                  </w:r>
                </w:p>
              </w:tc>
              <w:tc>
                <w:tcPr>
                  <w:tcW w:w="1398" w:type="dxa"/>
                  <w:tcBorders>
                    <w:tl2br w:val="nil"/>
                    <w:tr2bl w:val="nil"/>
                  </w:tcBorders>
                  <w:noWrap w:val="0"/>
                  <w:vAlign w:val="center"/>
                </w:tcPr>
                <w:p w14:paraId="54AC70A6">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砂石料仓</w:t>
                  </w:r>
                </w:p>
              </w:tc>
              <w:tc>
                <w:tcPr>
                  <w:tcW w:w="2981" w:type="dxa"/>
                  <w:tcBorders>
                    <w:tl2br w:val="nil"/>
                    <w:tr2bl w:val="nil"/>
                  </w:tcBorders>
                  <w:noWrap w:val="0"/>
                  <w:vAlign w:val="center"/>
                </w:tcPr>
                <w:p w14:paraId="6211BC4B">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设置彩钢顶棚和围挡，洒水降尘</w:t>
                  </w:r>
                </w:p>
              </w:tc>
              <w:tc>
                <w:tcPr>
                  <w:tcW w:w="1466" w:type="dxa"/>
                  <w:tcBorders>
                    <w:tl2br w:val="nil"/>
                    <w:tr2bl w:val="nil"/>
                  </w:tcBorders>
                  <w:noWrap w:val="0"/>
                  <w:vAlign w:val="center"/>
                </w:tcPr>
                <w:p w14:paraId="365CF4AB">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w:t>
                  </w:r>
                </w:p>
              </w:tc>
            </w:tr>
            <w:tr w14:paraId="5ADBD9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5497B52B">
                  <w:pPr>
                    <w:bidi w:val="0"/>
                    <w:jc w:val="center"/>
                    <w:rPr>
                      <w:rFonts w:hint="default" w:ascii="Times New Roman" w:hAnsi="Times New Roman" w:eastAsia="宋体" w:cs="Times New Roman"/>
                      <w:color w:val="auto"/>
                      <w:sz w:val="21"/>
                      <w:szCs w:val="21"/>
                      <w:lang w:eastAsia="zh-CN"/>
                    </w:rPr>
                  </w:pPr>
                </w:p>
              </w:tc>
              <w:tc>
                <w:tcPr>
                  <w:tcW w:w="1065" w:type="dxa"/>
                  <w:vMerge w:val="continue"/>
                  <w:tcBorders>
                    <w:tl2br w:val="nil"/>
                    <w:tr2bl w:val="nil"/>
                  </w:tcBorders>
                  <w:noWrap w:val="0"/>
                  <w:vAlign w:val="center"/>
                </w:tcPr>
                <w:p w14:paraId="22F93E46">
                  <w:pPr>
                    <w:bidi w:val="0"/>
                    <w:jc w:val="center"/>
                    <w:rPr>
                      <w:rFonts w:hint="default" w:ascii="Times New Roman" w:hAnsi="Times New Roman" w:eastAsia="宋体" w:cs="Times New Roman"/>
                      <w:color w:val="auto"/>
                      <w:sz w:val="21"/>
                      <w:szCs w:val="21"/>
                      <w:lang w:eastAsia="zh-CN"/>
                    </w:rPr>
                  </w:pPr>
                </w:p>
              </w:tc>
              <w:tc>
                <w:tcPr>
                  <w:tcW w:w="1398" w:type="dxa"/>
                  <w:tcBorders>
                    <w:tl2br w:val="nil"/>
                    <w:tr2bl w:val="nil"/>
                  </w:tcBorders>
                  <w:noWrap w:val="0"/>
                  <w:vAlign w:val="center"/>
                </w:tcPr>
                <w:p w14:paraId="78064F46">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粉料筒仓</w:t>
                  </w:r>
                </w:p>
              </w:tc>
              <w:tc>
                <w:tcPr>
                  <w:tcW w:w="2981" w:type="dxa"/>
                  <w:tcBorders>
                    <w:tl2br w:val="nil"/>
                    <w:tr2bl w:val="nil"/>
                  </w:tcBorders>
                  <w:noWrap w:val="0"/>
                  <w:vAlign w:val="center"/>
                </w:tcPr>
                <w:p w14:paraId="01AB3379">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除尘器</w:t>
                  </w:r>
                </w:p>
              </w:tc>
              <w:tc>
                <w:tcPr>
                  <w:tcW w:w="1466" w:type="dxa"/>
                  <w:tcBorders>
                    <w:tl2br w:val="nil"/>
                    <w:tr2bl w:val="nil"/>
                  </w:tcBorders>
                  <w:noWrap w:val="0"/>
                  <w:vAlign w:val="center"/>
                </w:tcPr>
                <w:p w14:paraId="399CCC1C">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设备自带</w:t>
                  </w:r>
                </w:p>
              </w:tc>
            </w:tr>
            <w:tr w14:paraId="590FE7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0DC54821">
                  <w:pPr>
                    <w:bidi w:val="0"/>
                    <w:jc w:val="center"/>
                    <w:rPr>
                      <w:rFonts w:hint="default" w:ascii="Times New Roman" w:hAnsi="Times New Roman" w:eastAsia="宋体" w:cs="Times New Roman"/>
                      <w:color w:val="auto"/>
                      <w:sz w:val="21"/>
                      <w:szCs w:val="21"/>
                      <w:lang w:eastAsia="zh-CN"/>
                    </w:rPr>
                  </w:pPr>
                </w:p>
              </w:tc>
              <w:tc>
                <w:tcPr>
                  <w:tcW w:w="1065" w:type="dxa"/>
                  <w:vMerge w:val="continue"/>
                  <w:tcBorders>
                    <w:tl2br w:val="nil"/>
                    <w:tr2bl w:val="nil"/>
                  </w:tcBorders>
                  <w:noWrap w:val="0"/>
                  <w:vAlign w:val="center"/>
                </w:tcPr>
                <w:p w14:paraId="60D5B21B">
                  <w:pPr>
                    <w:bidi w:val="0"/>
                    <w:jc w:val="center"/>
                    <w:rPr>
                      <w:rFonts w:hint="default" w:ascii="Times New Roman" w:hAnsi="Times New Roman" w:eastAsia="宋体" w:cs="Times New Roman"/>
                      <w:color w:val="auto"/>
                      <w:sz w:val="21"/>
                      <w:szCs w:val="21"/>
                      <w:lang w:eastAsia="zh-CN"/>
                    </w:rPr>
                  </w:pPr>
                </w:p>
              </w:tc>
              <w:tc>
                <w:tcPr>
                  <w:tcW w:w="1398" w:type="dxa"/>
                  <w:tcBorders>
                    <w:tl2br w:val="nil"/>
                    <w:tr2bl w:val="nil"/>
                  </w:tcBorders>
                  <w:noWrap w:val="0"/>
                  <w:vAlign w:val="center"/>
                </w:tcPr>
                <w:p w14:paraId="7FC0C4F6">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搅拌机</w:t>
                  </w:r>
                </w:p>
              </w:tc>
              <w:tc>
                <w:tcPr>
                  <w:tcW w:w="2981" w:type="dxa"/>
                  <w:tcBorders>
                    <w:tl2br w:val="nil"/>
                    <w:tr2bl w:val="nil"/>
                  </w:tcBorders>
                  <w:noWrap w:val="0"/>
                  <w:vAlign w:val="center"/>
                </w:tcPr>
                <w:p w14:paraId="00E84406">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全封闭</w:t>
                  </w:r>
                </w:p>
              </w:tc>
              <w:tc>
                <w:tcPr>
                  <w:tcW w:w="1466" w:type="dxa"/>
                  <w:tcBorders>
                    <w:tl2br w:val="nil"/>
                    <w:tr2bl w:val="nil"/>
                  </w:tcBorders>
                  <w:noWrap w:val="0"/>
                  <w:vAlign w:val="center"/>
                </w:tcPr>
                <w:p w14:paraId="58CCAC52">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设备自带</w:t>
                  </w:r>
                </w:p>
              </w:tc>
            </w:tr>
            <w:tr w14:paraId="5F5A0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5FEE5778">
                  <w:pPr>
                    <w:bidi w:val="0"/>
                    <w:jc w:val="center"/>
                    <w:rPr>
                      <w:rFonts w:hint="default" w:ascii="Times New Roman" w:hAnsi="Times New Roman" w:eastAsia="宋体" w:cs="Times New Roman"/>
                      <w:color w:val="auto"/>
                      <w:sz w:val="21"/>
                      <w:szCs w:val="21"/>
                      <w:lang w:eastAsia="zh-CN"/>
                    </w:rPr>
                  </w:pPr>
                </w:p>
              </w:tc>
              <w:tc>
                <w:tcPr>
                  <w:tcW w:w="1065" w:type="dxa"/>
                  <w:vMerge w:val="continue"/>
                  <w:tcBorders>
                    <w:tl2br w:val="nil"/>
                    <w:tr2bl w:val="nil"/>
                  </w:tcBorders>
                  <w:noWrap w:val="0"/>
                  <w:vAlign w:val="center"/>
                </w:tcPr>
                <w:p w14:paraId="002DB945">
                  <w:pPr>
                    <w:bidi w:val="0"/>
                    <w:jc w:val="center"/>
                    <w:rPr>
                      <w:rFonts w:hint="default" w:ascii="Times New Roman" w:hAnsi="Times New Roman" w:eastAsia="宋体" w:cs="Times New Roman"/>
                      <w:color w:val="auto"/>
                      <w:sz w:val="21"/>
                      <w:szCs w:val="21"/>
                      <w:lang w:eastAsia="zh-CN"/>
                    </w:rPr>
                  </w:pPr>
                </w:p>
              </w:tc>
              <w:tc>
                <w:tcPr>
                  <w:tcW w:w="1398" w:type="dxa"/>
                  <w:tcBorders>
                    <w:tl2br w:val="nil"/>
                    <w:tr2bl w:val="nil"/>
                  </w:tcBorders>
                  <w:noWrap w:val="0"/>
                  <w:vAlign w:val="center"/>
                </w:tcPr>
                <w:p w14:paraId="68D21FFF">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给料粉尘</w:t>
                  </w:r>
                </w:p>
              </w:tc>
              <w:tc>
                <w:tcPr>
                  <w:tcW w:w="2981" w:type="dxa"/>
                  <w:tcBorders>
                    <w:tl2br w:val="nil"/>
                    <w:tr2bl w:val="nil"/>
                  </w:tcBorders>
                  <w:noWrap w:val="0"/>
                  <w:vAlign w:val="center"/>
                </w:tcPr>
                <w:p w14:paraId="1CFEC187">
                  <w:pPr>
                    <w:bidi w:val="0"/>
                    <w:jc w:val="center"/>
                    <w:rPr>
                      <w:rFonts w:hint="eastAsia" w:eastAsia="宋体"/>
                      <w:bCs/>
                      <w:color w:val="auto"/>
                      <w:spacing w:val="-10"/>
                      <w:sz w:val="21"/>
                      <w:szCs w:val="21"/>
                      <w:lang w:eastAsia="zh-CN"/>
                    </w:rPr>
                  </w:pPr>
                  <w:r>
                    <w:rPr>
                      <w:rFonts w:hint="eastAsia"/>
                      <w:bCs/>
                      <w:color w:val="auto"/>
                      <w:spacing w:val="-10"/>
                      <w:sz w:val="21"/>
                      <w:szCs w:val="21"/>
                      <w:lang w:eastAsia="zh-CN"/>
                    </w:rPr>
                    <w:t>密闭输送</w:t>
                  </w:r>
                </w:p>
              </w:tc>
              <w:tc>
                <w:tcPr>
                  <w:tcW w:w="1466" w:type="dxa"/>
                  <w:tcBorders>
                    <w:tl2br w:val="nil"/>
                    <w:tr2bl w:val="nil"/>
                  </w:tcBorders>
                  <w:noWrap w:val="0"/>
                  <w:vAlign w:val="center"/>
                </w:tcPr>
                <w:p w14:paraId="008BDBEC">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r>
            <w:tr w14:paraId="140C20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737DCEBD">
                  <w:pPr>
                    <w:bidi w:val="0"/>
                    <w:jc w:val="center"/>
                    <w:rPr>
                      <w:rFonts w:hint="default" w:ascii="Times New Roman" w:hAnsi="Times New Roman" w:eastAsia="宋体" w:cs="Times New Roman"/>
                      <w:color w:val="auto"/>
                      <w:sz w:val="21"/>
                      <w:szCs w:val="21"/>
                      <w:lang w:eastAsia="zh-CN"/>
                    </w:rPr>
                  </w:pPr>
                </w:p>
              </w:tc>
              <w:tc>
                <w:tcPr>
                  <w:tcW w:w="1065" w:type="dxa"/>
                  <w:tcBorders>
                    <w:tl2br w:val="nil"/>
                    <w:tr2bl w:val="nil"/>
                  </w:tcBorders>
                  <w:noWrap w:val="0"/>
                  <w:vAlign w:val="center"/>
                </w:tcPr>
                <w:p w14:paraId="2260CBA6">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废水</w:t>
                  </w:r>
                </w:p>
              </w:tc>
              <w:tc>
                <w:tcPr>
                  <w:tcW w:w="1398" w:type="dxa"/>
                  <w:tcBorders>
                    <w:tl2br w:val="nil"/>
                    <w:tr2bl w:val="nil"/>
                  </w:tcBorders>
                  <w:noWrap w:val="0"/>
                  <w:vAlign w:val="center"/>
                </w:tcPr>
                <w:p w14:paraId="6B9DD91E">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清洗废水</w:t>
                  </w:r>
                </w:p>
              </w:tc>
              <w:tc>
                <w:tcPr>
                  <w:tcW w:w="2981" w:type="dxa"/>
                  <w:tcBorders>
                    <w:tl2br w:val="nil"/>
                    <w:tr2bl w:val="nil"/>
                  </w:tcBorders>
                  <w:noWrap w:val="0"/>
                  <w:vAlign w:val="center"/>
                </w:tcPr>
                <w:p w14:paraId="6693A2CD">
                  <w:pPr>
                    <w:bidi w:val="0"/>
                    <w:jc w:val="center"/>
                    <w:rPr>
                      <w:rFonts w:hint="default"/>
                      <w:bCs/>
                      <w:color w:val="auto"/>
                      <w:spacing w:val="-10"/>
                      <w:sz w:val="21"/>
                      <w:szCs w:val="21"/>
                      <w:lang w:val="en-US" w:eastAsia="zh-CN"/>
                    </w:rPr>
                  </w:pPr>
                  <w:r>
                    <w:rPr>
                      <w:rFonts w:hint="eastAsia"/>
                      <w:bCs/>
                      <w:color w:val="auto"/>
                      <w:spacing w:val="-10"/>
                      <w:sz w:val="21"/>
                      <w:szCs w:val="21"/>
                      <w:lang w:val="en-US" w:eastAsia="zh-CN"/>
                    </w:rPr>
                    <w:t>洗车池（三级沉淀）</w:t>
                  </w:r>
                </w:p>
              </w:tc>
              <w:tc>
                <w:tcPr>
                  <w:tcW w:w="1466" w:type="dxa"/>
                  <w:tcBorders>
                    <w:tl2br w:val="nil"/>
                    <w:tr2bl w:val="nil"/>
                  </w:tcBorders>
                  <w:noWrap w:val="0"/>
                  <w:vAlign w:val="center"/>
                </w:tcPr>
                <w:p w14:paraId="361127BD">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r>
            <w:tr w14:paraId="3E7A8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87" w:type="dxa"/>
                  <w:vMerge w:val="continue"/>
                  <w:tcBorders>
                    <w:tl2br w:val="nil"/>
                    <w:tr2bl w:val="nil"/>
                  </w:tcBorders>
                  <w:noWrap w:val="0"/>
                  <w:vAlign w:val="center"/>
                </w:tcPr>
                <w:p w14:paraId="7FBCC688">
                  <w:pPr>
                    <w:bidi w:val="0"/>
                    <w:jc w:val="center"/>
                    <w:rPr>
                      <w:rFonts w:hint="default" w:ascii="Times New Roman" w:hAnsi="Times New Roman" w:eastAsia="宋体" w:cs="Times New Roman"/>
                      <w:color w:val="auto"/>
                      <w:sz w:val="21"/>
                      <w:szCs w:val="21"/>
                      <w:lang w:eastAsia="zh-CN"/>
                    </w:rPr>
                  </w:pPr>
                </w:p>
              </w:tc>
              <w:tc>
                <w:tcPr>
                  <w:tcW w:w="1065" w:type="dxa"/>
                  <w:tcBorders>
                    <w:tl2br w:val="nil"/>
                    <w:tr2bl w:val="nil"/>
                  </w:tcBorders>
                  <w:noWrap w:val="0"/>
                  <w:vAlign w:val="center"/>
                </w:tcPr>
                <w:p w14:paraId="127E978E">
                  <w:pPr>
                    <w:bidi w:val="0"/>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噪声</w:t>
                  </w:r>
                </w:p>
              </w:tc>
              <w:tc>
                <w:tcPr>
                  <w:tcW w:w="1398" w:type="dxa"/>
                  <w:tcBorders>
                    <w:tl2br w:val="nil"/>
                    <w:tr2bl w:val="nil"/>
                  </w:tcBorders>
                  <w:noWrap w:val="0"/>
                  <w:vAlign w:val="center"/>
                </w:tcPr>
                <w:p w14:paraId="116EDA96">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生产设备</w:t>
                  </w:r>
                </w:p>
              </w:tc>
              <w:tc>
                <w:tcPr>
                  <w:tcW w:w="2981" w:type="dxa"/>
                  <w:tcBorders>
                    <w:tl2br w:val="nil"/>
                    <w:tr2bl w:val="nil"/>
                  </w:tcBorders>
                  <w:noWrap w:val="0"/>
                  <w:vAlign w:val="center"/>
                </w:tcPr>
                <w:p w14:paraId="59D1CA89">
                  <w:pPr>
                    <w:bidi w:val="0"/>
                    <w:jc w:val="center"/>
                    <w:rPr>
                      <w:rFonts w:hint="eastAsia" w:eastAsia="宋体"/>
                      <w:bCs/>
                      <w:color w:val="auto"/>
                      <w:spacing w:val="-10"/>
                      <w:sz w:val="21"/>
                      <w:szCs w:val="21"/>
                      <w:lang w:eastAsia="zh-CN"/>
                    </w:rPr>
                  </w:pPr>
                  <w:r>
                    <w:rPr>
                      <w:rFonts w:hint="eastAsia"/>
                      <w:bCs/>
                      <w:color w:val="auto"/>
                      <w:spacing w:val="-10"/>
                      <w:sz w:val="21"/>
                      <w:szCs w:val="21"/>
                      <w:lang w:eastAsia="zh-CN"/>
                    </w:rPr>
                    <w:t>选用低噪声设备，基础减振</w:t>
                  </w:r>
                </w:p>
              </w:tc>
              <w:tc>
                <w:tcPr>
                  <w:tcW w:w="1466" w:type="dxa"/>
                  <w:tcBorders>
                    <w:tl2br w:val="nil"/>
                    <w:tr2bl w:val="nil"/>
                  </w:tcBorders>
                  <w:noWrap w:val="0"/>
                  <w:vAlign w:val="center"/>
                </w:tcPr>
                <w:p w14:paraId="2D5246D5">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r>
            <w:tr w14:paraId="3E0F10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87" w:type="dxa"/>
                  <w:vMerge w:val="continue"/>
                  <w:tcBorders>
                    <w:tl2br w:val="nil"/>
                    <w:tr2bl w:val="nil"/>
                  </w:tcBorders>
                  <w:noWrap w:val="0"/>
                  <w:vAlign w:val="center"/>
                </w:tcPr>
                <w:p w14:paraId="5F9EC597">
                  <w:pPr>
                    <w:bidi w:val="0"/>
                    <w:jc w:val="center"/>
                    <w:rPr>
                      <w:rFonts w:hint="default" w:ascii="Times New Roman" w:hAnsi="Times New Roman" w:eastAsia="宋体" w:cs="Times New Roman"/>
                      <w:color w:val="auto"/>
                      <w:sz w:val="21"/>
                      <w:szCs w:val="21"/>
                      <w:lang w:eastAsia="zh-CN"/>
                    </w:rPr>
                  </w:pPr>
                </w:p>
              </w:tc>
              <w:tc>
                <w:tcPr>
                  <w:tcW w:w="1065" w:type="dxa"/>
                  <w:tcBorders>
                    <w:tl2br w:val="nil"/>
                    <w:tr2bl w:val="nil"/>
                  </w:tcBorders>
                  <w:noWrap w:val="0"/>
                  <w:vAlign w:val="center"/>
                </w:tcPr>
                <w:p w14:paraId="1E301D14">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固废</w:t>
                  </w:r>
                </w:p>
              </w:tc>
              <w:tc>
                <w:tcPr>
                  <w:tcW w:w="1398" w:type="dxa"/>
                  <w:tcBorders>
                    <w:tl2br w:val="nil"/>
                    <w:tr2bl w:val="nil"/>
                  </w:tcBorders>
                  <w:noWrap w:val="0"/>
                  <w:vAlign w:val="center"/>
                </w:tcPr>
                <w:p w14:paraId="4FE80B06">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力学室</w:t>
                  </w:r>
                </w:p>
              </w:tc>
              <w:tc>
                <w:tcPr>
                  <w:tcW w:w="2981" w:type="dxa"/>
                  <w:tcBorders>
                    <w:tl2br w:val="nil"/>
                    <w:tr2bl w:val="nil"/>
                  </w:tcBorders>
                  <w:noWrap w:val="0"/>
                  <w:vAlign w:val="center"/>
                </w:tcPr>
                <w:p w14:paraId="18839159">
                  <w:pPr>
                    <w:bidi w:val="0"/>
                    <w:jc w:val="center"/>
                    <w:rPr>
                      <w:rFonts w:hint="default" w:eastAsia="宋体"/>
                      <w:bCs/>
                      <w:color w:val="auto"/>
                      <w:spacing w:val="-10"/>
                      <w:sz w:val="21"/>
                      <w:szCs w:val="21"/>
                      <w:lang w:val="en-US" w:eastAsia="zh-CN"/>
                    </w:rPr>
                  </w:pPr>
                  <w:r>
                    <w:rPr>
                      <w:rFonts w:hint="eastAsia"/>
                      <w:bCs/>
                      <w:color w:val="auto"/>
                      <w:spacing w:val="-10"/>
                      <w:sz w:val="21"/>
                      <w:szCs w:val="21"/>
                      <w:lang w:val="en-US" w:eastAsia="zh-CN"/>
                    </w:rPr>
                    <w:t>力学室产生的废砼运至指定地点</w:t>
                  </w:r>
                </w:p>
              </w:tc>
              <w:tc>
                <w:tcPr>
                  <w:tcW w:w="1466" w:type="dxa"/>
                  <w:tcBorders>
                    <w:tl2br w:val="nil"/>
                    <w:tr2bl w:val="nil"/>
                  </w:tcBorders>
                  <w:noWrap w:val="0"/>
                  <w:vAlign w:val="center"/>
                </w:tcPr>
                <w:p w14:paraId="5E9EA040">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741373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550" w:type="dxa"/>
                  <w:gridSpan w:val="3"/>
                  <w:tcBorders>
                    <w:tl2br w:val="nil"/>
                    <w:tr2bl w:val="nil"/>
                  </w:tcBorders>
                  <w:noWrap w:val="0"/>
                  <w:vAlign w:val="center"/>
                </w:tcPr>
                <w:p w14:paraId="3986EBA2">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环境风险</w:t>
                  </w:r>
                </w:p>
              </w:tc>
              <w:tc>
                <w:tcPr>
                  <w:tcW w:w="2981" w:type="dxa"/>
                  <w:tcBorders>
                    <w:tl2br w:val="nil"/>
                    <w:tr2bl w:val="nil"/>
                  </w:tcBorders>
                  <w:noWrap w:val="0"/>
                  <w:vAlign w:val="center"/>
                </w:tcPr>
                <w:p w14:paraId="31E1C533">
                  <w:pPr>
                    <w:bidi w:val="0"/>
                    <w:jc w:val="center"/>
                    <w:rPr>
                      <w:rFonts w:hint="eastAsia"/>
                      <w:bCs/>
                      <w:color w:val="auto"/>
                      <w:spacing w:val="-10"/>
                      <w:sz w:val="21"/>
                      <w:szCs w:val="21"/>
                      <w:lang w:eastAsia="zh-CN"/>
                    </w:rPr>
                  </w:pPr>
                  <w:r>
                    <w:rPr>
                      <w:rFonts w:hint="eastAsia"/>
                      <w:bCs/>
                      <w:color w:val="auto"/>
                      <w:spacing w:val="-10"/>
                      <w:sz w:val="21"/>
                      <w:szCs w:val="21"/>
                      <w:lang w:eastAsia="zh-CN"/>
                    </w:rPr>
                    <w:t>根据防渗区划分采取相应的防渗措施，配备一定数量的灭火设备和劳保设备</w:t>
                  </w:r>
                </w:p>
              </w:tc>
              <w:tc>
                <w:tcPr>
                  <w:tcW w:w="1466" w:type="dxa"/>
                  <w:tcBorders>
                    <w:tl2br w:val="nil"/>
                    <w:tr2bl w:val="nil"/>
                  </w:tcBorders>
                  <w:noWrap w:val="0"/>
                  <w:vAlign w:val="center"/>
                </w:tcPr>
                <w:p w14:paraId="5F04929F">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r>
            <w:tr w14:paraId="545FC1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550" w:type="dxa"/>
                  <w:gridSpan w:val="3"/>
                  <w:tcBorders>
                    <w:tl2br w:val="nil"/>
                    <w:tr2bl w:val="nil"/>
                  </w:tcBorders>
                  <w:noWrap w:val="0"/>
                  <w:vAlign w:val="center"/>
                </w:tcPr>
                <w:p w14:paraId="2DA4B64C">
                  <w:pPr>
                    <w:bidi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环境管理</w:t>
                  </w:r>
                </w:p>
              </w:tc>
              <w:tc>
                <w:tcPr>
                  <w:tcW w:w="2981" w:type="dxa"/>
                  <w:tcBorders>
                    <w:tl2br w:val="nil"/>
                    <w:tr2bl w:val="nil"/>
                  </w:tcBorders>
                  <w:noWrap w:val="0"/>
                  <w:vAlign w:val="center"/>
                </w:tcPr>
                <w:p w14:paraId="4A68EFAB">
                  <w:pPr>
                    <w:bidi w:val="0"/>
                    <w:jc w:val="center"/>
                    <w:rPr>
                      <w:rFonts w:hint="eastAsia"/>
                      <w:bCs/>
                      <w:color w:val="auto"/>
                      <w:spacing w:val="-10"/>
                      <w:sz w:val="21"/>
                      <w:szCs w:val="21"/>
                      <w:lang w:eastAsia="zh-CN"/>
                    </w:rPr>
                  </w:pPr>
                  <w:r>
                    <w:rPr>
                      <w:rFonts w:hint="eastAsia"/>
                      <w:bCs/>
                      <w:color w:val="auto"/>
                      <w:spacing w:val="-10"/>
                      <w:sz w:val="21"/>
                      <w:szCs w:val="21"/>
                      <w:lang w:eastAsia="zh-CN"/>
                    </w:rPr>
                    <w:t>环境影响评价、竣工环境保护验收、定期开展环境监测</w:t>
                  </w:r>
                </w:p>
              </w:tc>
              <w:tc>
                <w:tcPr>
                  <w:tcW w:w="1466" w:type="dxa"/>
                  <w:tcBorders>
                    <w:tl2br w:val="nil"/>
                    <w:tr2bl w:val="nil"/>
                  </w:tcBorders>
                  <w:noWrap w:val="0"/>
                  <w:vAlign w:val="center"/>
                </w:tcPr>
                <w:p w14:paraId="0C0073CE">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r>
            <w:tr w14:paraId="34C27F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531" w:type="dxa"/>
                  <w:gridSpan w:val="4"/>
                  <w:tcBorders>
                    <w:tl2br w:val="nil"/>
                    <w:tr2bl w:val="nil"/>
                  </w:tcBorders>
                  <w:noWrap w:val="0"/>
                  <w:vAlign w:val="center"/>
                </w:tcPr>
                <w:p w14:paraId="2A737CC1">
                  <w:pPr>
                    <w:bidi w:val="0"/>
                    <w:jc w:val="center"/>
                    <w:rPr>
                      <w:rFonts w:hint="eastAsia"/>
                      <w:bCs/>
                      <w:color w:val="auto"/>
                      <w:spacing w:val="-10"/>
                      <w:sz w:val="21"/>
                      <w:szCs w:val="21"/>
                      <w:lang w:eastAsia="zh-CN"/>
                    </w:rPr>
                  </w:pPr>
                  <w:r>
                    <w:rPr>
                      <w:rFonts w:hint="eastAsia"/>
                      <w:bCs/>
                      <w:color w:val="auto"/>
                      <w:spacing w:val="-10"/>
                      <w:sz w:val="21"/>
                      <w:szCs w:val="21"/>
                      <w:lang w:eastAsia="zh-CN"/>
                    </w:rPr>
                    <w:t>合计</w:t>
                  </w:r>
                </w:p>
              </w:tc>
              <w:tc>
                <w:tcPr>
                  <w:tcW w:w="1466" w:type="dxa"/>
                  <w:tcBorders>
                    <w:tl2br w:val="nil"/>
                    <w:tr2bl w:val="nil"/>
                  </w:tcBorders>
                  <w:noWrap w:val="0"/>
                  <w:vAlign w:val="center"/>
                </w:tcPr>
                <w:p w14:paraId="002441C1">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r>
                    <w:rPr>
                      <w:rFonts w:hint="eastAsia" w:cs="Times New Roman"/>
                      <w:color w:val="auto"/>
                      <w:sz w:val="21"/>
                      <w:szCs w:val="21"/>
                      <w:lang w:val="en-US" w:eastAsia="zh-CN"/>
                    </w:rPr>
                    <w:t>7</w:t>
                  </w:r>
                  <w:r>
                    <w:rPr>
                      <w:rFonts w:hint="eastAsia" w:ascii="Times New Roman" w:hAnsi="Times New Roman" w:eastAsia="宋体" w:cs="Times New Roman"/>
                      <w:color w:val="auto"/>
                      <w:sz w:val="21"/>
                      <w:szCs w:val="21"/>
                      <w:lang w:val="en-US" w:eastAsia="zh-CN"/>
                    </w:rPr>
                    <w:t>9</w:t>
                  </w:r>
                </w:p>
              </w:tc>
            </w:tr>
          </w:tbl>
          <w:p w14:paraId="0F83DB69">
            <w:pPr>
              <w:adjustRightInd w:val="0"/>
              <w:snapToGrid w:val="0"/>
              <w:spacing w:line="360" w:lineRule="auto"/>
              <w:rPr>
                <w:rFonts w:hint="eastAsia" w:ascii="宋体" w:cs="宋体"/>
                <w:b/>
                <w:color w:val="auto"/>
                <w:kern w:val="0"/>
                <w:sz w:val="28"/>
                <w:szCs w:val="28"/>
                <w:vertAlign w:val="baseline"/>
              </w:rPr>
            </w:pPr>
          </w:p>
        </w:tc>
      </w:tr>
    </w:tbl>
    <w:p w14:paraId="06C6979F">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39F37CA">
      <w:pPr>
        <w:pStyle w:val="24"/>
        <w:jc w:val="center"/>
        <w:outlineLvl w:val="0"/>
        <w:rPr>
          <w:rFonts w:ascii="黑体" w:hAnsi="黑体" w:eastAsia="黑体"/>
          <w:snapToGrid w:val="0"/>
          <w:color w:val="auto"/>
          <w:sz w:val="30"/>
          <w:szCs w:val="30"/>
        </w:rPr>
      </w:pPr>
      <w:bookmarkStart w:id="8" w:name="_Toc14272"/>
      <w:r>
        <w:rPr>
          <w:rFonts w:hint="eastAsia" w:ascii="黑体" w:hAnsi="黑体" w:eastAsia="黑体"/>
          <w:snapToGrid w:val="0"/>
          <w:color w:val="auto"/>
          <w:sz w:val="30"/>
          <w:szCs w:val="30"/>
        </w:rPr>
        <w:t>五、</w:t>
      </w:r>
      <w:bookmarkStart w:id="9" w:name="_Hlk54167917"/>
      <w:r>
        <w:rPr>
          <w:rFonts w:hint="eastAsia" w:ascii="黑体" w:hAnsi="黑体" w:eastAsia="黑体"/>
          <w:snapToGrid w:val="0"/>
          <w:color w:val="auto"/>
          <w:sz w:val="30"/>
          <w:szCs w:val="30"/>
        </w:rPr>
        <w:t>环境保护措施监督检查清单</w:t>
      </w:r>
      <w:bookmarkEnd w:id="8"/>
      <w:bookmarkEnd w:id="9"/>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460"/>
        <w:gridCol w:w="1620"/>
        <w:gridCol w:w="2187"/>
      </w:tblGrid>
      <w:tr w14:paraId="75785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088091BF">
            <w:pPr>
              <w:adjustRightInd w:val="0"/>
              <w:snapToGrid w:val="0"/>
              <w:ind w:firstLine="840"/>
              <w:rPr>
                <w:rFonts w:hint="eastAsia" w:ascii="宋体" w:hAnsi="宋体" w:cs="宋体"/>
                <w:color w:val="auto"/>
                <w:szCs w:val="21"/>
              </w:rPr>
            </w:pPr>
            <w:r>
              <w:rPr>
                <w:rFonts w:hint="eastAsia" w:ascii="宋体" w:hAnsi="宋体" w:cs="宋体"/>
                <w:color w:val="auto"/>
                <w:szCs w:val="21"/>
              </w:rPr>
              <w:t>内容</w:t>
            </w:r>
          </w:p>
          <w:p w14:paraId="3F6A1678">
            <w:pPr>
              <w:adjustRightInd w:val="0"/>
              <w:snapToGrid w:val="0"/>
              <w:rPr>
                <w:rFonts w:hint="eastAsia" w:ascii="宋体" w:hAnsi="宋体" w:cs="宋体"/>
                <w:color w:val="auto"/>
                <w:szCs w:val="21"/>
              </w:rPr>
            </w:pPr>
            <w:r>
              <w:rPr>
                <w:rFonts w:hint="eastAsia" w:ascii="宋体" w:hAnsi="宋体" w:cs="宋体"/>
                <w:color w:val="auto"/>
                <w:szCs w:val="21"/>
              </w:rPr>
              <w:t>要素</w:t>
            </w:r>
          </w:p>
        </w:tc>
        <w:tc>
          <w:tcPr>
            <w:tcW w:w="1755" w:type="dxa"/>
            <w:noWrap w:val="0"/>
            <w:vAlign w:val="center"/>
          </w:tcPr>
          <w:p w14:paraId="4CA7E81A">
            <w:pPr>
              <w:adjustRightInd w:val="0"/>
              <w:snapToGrid w:val="0"/>
              <w:jc w:val="center"/>
              <w:rPr>
                <w:rFonts w:hint="eastAsia" w:ascii="宋体" w:hAnsi="宋体" w:cs="宋体"/>
                <w:color w:val="auto"/>
                <w:szCs w:val="21"/>
              </w:rPr>
            </w:pPr>
            <w:r>
              <w:rPr>
                <w:rFonts w:hint="eastAsia" w:ascii="宋体" w:hAnsi="宋体" w:cs="宋体"/>
                <w:color w:val="auto"/>
                <w:szCs w:val="21"/>
              </w:rPr>
              <w:t>排放口(编号、</w:t>
            </w:r>
          </w:p>
          <w:p w14:paraId="7689A341">
            <w:pPr>
              <w:adjustRightInd w:val="0"/>
              <w:snapToGrid w:val="0"/>
              <w:jc w:val="center"/>
              <w:rPr>
                <w:rFonts w:hint="eastAsia" w:ascii="宋体" w:hAnsi="宋体" w:cs="宋体"/>
                <w:color w:val="auto"/>
                <w:szCs w:val="21"/>
              </w:rPr>
            </w:pPr>
            <w:r>
              <w:rPr>
                <w:rFonts w:hint="eastAsia" w:ascii="宋体" w:hAnsi="宋体" w:cs="宋体"/>
                <w:color w:val="auto"/>
                <w:szCs w:val="21"/>
              </w:rPr>
              <w:t>名称)/污染源</w:t>
            </w:r>
          </w:p>
        </w:tc>
        <w:tc>
          <w:tcPr>
            <w:tcW w:w="1460" w:type="dxa"/>
            <w:noWrap w:val="0"/>
            <w:vAlign w:val="center"/>
          </w:tcPr>
          <w:p w14:paraId="66A8E762">
            <w:pPr>
              <w:adjustRightInd w:val="0"/>
              <w:snapToGrid w:val="0"/>
              <w:jc w:val="center"/>
              <w:rPr>
                <w:rFonts w:hint="eastAsia" w:ascii="宋体" w:hAnsi="宋体" w:cs="宋体"/>
                <w:color w:val="auto"/>
                <w:szCs w:val="21"/>
              </w:rPr>
            </w:pPr>
            <w:r>
              <w:rPr>
                <w:rFonts w:hint="eastAsia" w:ascii="宋体" w:hAnsi="宋体" w:cs="宋体"/>
                <w:color w:val="auto"/>
                <w:szCs w:val="21"/>
              </w:rPr>
              <w:t>污染物项目</w:t>
            </w:r>
          </w:p>
        </w:tc>
        <w:tc>
          <w:tcPr>
            <w:tcW w:w="1620" w:type="dxa"/>
            <w:noWrap w:val="0"/>
            <w:vAlign w:val="center"/>
          </w:tcPr>
          <w:p w14:paraId="7F588E06">
            <w:pPr>
              <w:adjustRightInd w:val="0"/>
              <w:snapToGrid w:val="0"/>
              <w:jc w:val="center"/>
              <w:rPr>
                <w:rFonts w:hint="eastAsia" w:ascii="宋体" w:hAnsi="宋体" w:cs="宋体"/>
                <w:color w:val="auto"/>
                <w:szCs w:val="21"/>
              </w:rPr>
            </w:pPr>
            <w:r>
              <w:rPr>
                <w:rFonts w:hint="eastAsia" w:ascii="宋体" w:hAnsi="宋体" w:cs="宋体"/>
                <w:color w:val="auto"/>
                <w:szCs w:val="21"/>
              </w:rPr>
              <w:t>环境保护措施</w:t>
            </w:r>
          </w:p>
        </w:tc>
        <w:tc>
          <w:tcPr>
            <w:tcW w:w="2187" w:type="dxa"/>
            <w:noWrap w:val="0"/>
            <w:vAlign w:val="center"/>
          </w:tcPr>
          <w:p w14:paraId="16A26BC2">
            <w:pPr>
              <w:adjustRightInd w:val="0"/>
              <w:snapToGrid w:val="0"/>
              <w:jc w:val="center"/>
              <w:rPr>
                <w:rFonts w:hint="eastAsia" w:ascii="宋体" w:hAnsi="宋体" w:cs="宋体"/>
                <w:color w:val="auto"/>
                <w:szCs w:val="21"/>
              </w:rPr>
            </w:pPr>
            <w:r>
              <w:rPr>
                <w:rFonts w:hint="eastAsia" w:ascii="宋体" w:hAnsi="宋体" w:cs="宋体"/>
                <w:color w:val="auto"/>
                <w:szCs w:val="21"/>
              </w:rPr>
              <w:t>执行标准</w:t>
            </w:r>
          </w:p>
        </w:tc>
      </w:tr>
      <w:tr w14:paraId="5E5C5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33192336">
            <w:pPr>
              <w:adjustRightInd w:val="0"/>
              <w:snapToGrid w:val="0"/>
              <w:jc w:val="center"/>
              <w:rPr>
                <w:rFonts w:hint="eastAsia" w:ascii="宋体" w:hAnsi="宋体" w:cs="宋体"/>
                <w:color w:val="auto"/>
                <w:szCs w:val="21"/>
              </w:rPr>
            </w:pPr>
            <w:r>
              <w:rPr>
                <w:rFonts w:hint="eastAsia" w:ascii="宋体" w:hAnsi="宋体" w:cs="宋体"/>
                <w:color w:val="auto"/>
                <w:szCs w:val="21"/>
              </w:rPr>
              <w:t>大气环境</w:t>
            </w:r>
          </w:p>
        </w:tc>
        <w:tc>
          <w:tcPr>
            <w:tcW w:w="1755" w:type="dxa"/>
            <w:noWrap w:val="0"/>
            <w:vAlign w:val="center"/>
          </w:tcPr>
          <w:p w14:paraId="1BA47314">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砂石卸料</w:t>
            </w:r>
          </w:p>
        </w:tc>
        <w:tc>
          <w:tcPr>
            <w:tcW w:w="1460" w:type="dxa"/>
            <w:noWrap w:val="0"/>
            <w:vAlign w:val="center"/>
          </w:tcPr>
          <w:p w14:paraId="0D2924A3">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颗粒物</w:t>
            </w:r>
          </w:p>
        </w:tc>
        <w:tc>
          <w:tcPr>
            <w:tcW w:w="1620" w:type="dxa"/>
            <w:noWrap w:val="0"/>
            <w:vAlign w:val="center"/>
          </w:tcPr>
          <w:p w14:paraId="57B264E5">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全封闭料仓，喷雾降尘</w:t>
            </w:r>
          </w:p>
        </w:tc>
        <w:tc>
          <w:tcPr>
            <w:tcW w:w="2187" w:type="dxa"/>
            <w:vMerge w:val="restart"/>
            <w:noWrap w:val="0"/>
            <w:vAlign w:val="center"/>
          </w:tcPr>
          <w:p w14:paraId="73762BF0">
            <w:pPr>
              <w:adjustRightInd w:val="0"/>
              <w:snapToGrid w:val="0"/>
              <w:jc w:val="center"/>
              <w:rPr>
                <w:rFonts w:hint="eastAsia" w:ascii="宋体" w:hAnsi="宋体" w:cs="宋体"/>
                <w:color w:val="auto"/>
                <w:szCs w:val="21"/>
              </w:rPr>
            </w:pPr>
            <w:r>
              <w:rPr>
                <w:rFonts w:hint="eastAsia" w:ascii="Times New Roman" w:hAnsi="Times New Roman" w:eastAsia="宋体" w:cs="Times New Roman"/>
                <w:color w:val="auto"/>
                <w:kern w:val="0"/>
                <w:sz w:val="21"/>
                <w:szCs w:val="21"/>
                <w:lang w:val="en-US" w:eastAsia="zh-CN"/>
              </w:rPr>
              <w:t>厂界颗粒物执行</w:t>
            </w:r>
            <w:r>
              <w:rPr>
                <w:rFonts w:hint="default" w:ascii="Times New Roman" w:hAnsi="Times New Roman" w:eastAsia="宋体" w:cs="Times New Roman"/>
                <w:color w:val="auto"/>
                <w:kern w:val="0"/>
                <w:sz w:val="21"/>
                <w:szCs w:val="21"/>
                <w:lang w:eastAsia="zh-CN"/>
              </w:rPr>
              <w:t>《</w:t>
            </w:r>
            <w:r>
              <w:rPr>
                <w:rFonts w:hint="eastAsia" w:ascii="Times New Roman" w:hAnsi="Times New Roman" w:eastAsia="宋体" w:cs="Times New Roman"/>
                <w:color w:val="auto"/>
                <w:kern w:val="0"/>
                <w:sz w:val="21"/>
                <w:szCs w:val="21"/>
                <w:lang w:val="en-US" w:eastAsia="zh-CN"/>
              </w:rPr>
              <w:t>水泥工业大气污染物</w:t>
            </w:r>
            <w:r>
              <w:rPr>
                <w:rFonts w:hint="default" w:ascii="Times New Roman" w:hAnsi="Times New Roman" w:eastAsia="宋体" w:cs="Times New Roman"/>
                <w:color w:val="auto"/>
                <w:kern w:val="0"/>
                <w:sz w:val="21"/>
                <w:szCs w:val="21"/>
                <w:lang w:eastAsia="zh-CN"/>
              </w:rPr>
              <w:t>排放标准》（</w:t>
            </w:r>
            <w:r>
              <w:rPr>
                <w:rFonts w:hint="default" w:ascii="Times New Roman" w:hAnsi="Times New Roman" w:eastAsia="宋体" w:cs="Times New Roman"/>
                <w:color w:val="auto"/>
                <w:kern w:val="0"/>
                <w:sz w:val="21"/>
                <w:szCs w:val="21"/>
                <w:lang w:val="en-US" w:eastAsia="zh-CN"/>
              </w:rPr>
              <w:t>GB</w:t>
            </w:r>
            <w:r>
              <w:rPr>
                <w:rFonts w:hint="eastAsia" w:ascii="Times New Roman" w:hAnsi="Times New Roman" w:eastAsia="宋体" w:cs="Times New Roman"/>
                <w:color w:val="auto"/>
                <w:kern w:val="0"/>
                <w:sz w:val="21"/>
                <w:szCs w:val="21"/>
                <w:lang w:val="en-US" w:eastAsia="zh-CN"/>
              </w:rPr>
              <w:t>4915-2013</w:t>
            </w:r>
            <w:r>
              <w:rPr>
                <w:rFonts w:hint="default" w:ascii="Times New Roman" w:hAnsi="Times New Roman" w:eastAsia="宋体" w:cs="Times New Roman"/>
                <w:color w:val="auto"/>
                <w:kern w:val="0"/>
                <w:sz w:val="21"/>
                <w:szCs w:val="21"/>
                <w:lang w:eastAsia="zh-CN"/>
              </w:rPr>
              <w:t>）</w:t>
            </w:r>
            <w:r>
              <w:rPr>
                <w:rFonts w:hint="eastAsia"/>
                <w:color w:val="auto"/>
                <w:szCs w:val="21"/>
                <w:lang w:val="en-US" w:eastAsia="zh-CN"/>
              </w:rPr>
              <w:t>及修改单中</w:t>
            </w:r>
            <w:r>
              <w:rPr>
                <w:rFonts w:hint="default" w:ascii="Times New Roman" w:hAnsi="Times New Roman" w:eastAsia="宋体" w:cs="Times New Roman"/>
                <w:color w:val="auto"/>
                <w:kern w:val="0"/>
                <w:sz w:val="21"/>
                <w:szCs w:val="21"/>
                <w:lang w:eastAsia="zh-CN"/>
              </w:rPr>
              <w:t>表</w:t>
            </w:r>
            <w:r>
              <w:rPr>
                <w:rFonts w:hint="eastAsia" w:ascii="Times New Roman" w:hAnsi="Times New Roman" w:eastAsia="宋体" w:cs="Times New Roman"/>
                <w:color w:val="auto"/>
                <w:kern w:val="0"/>
                <w:sz w:val="21"/>
                <w:szCs w:val="21"/>
                <w:lang w:val="en-US" w:eastAsia="zh-CN"/>
              </w:rPr>
              <w:t>3颗粒物</w:t>
            </w:r>
            <w:r>
              <w:rPr>
                <w:rFonts w:hint="default" w:ascii="Times New Roman" w:hAnsi="Times New Roman" w:eastAsia="宋体" w:cs="Times New Roman"/>
                <w:color w:val="auto"/>
                <w:kern w:val="0"/>
                <w:sz w:val="21"/>
                <w:szCs w:val="21"/>
                <w:lang w:val="en-US" w:eastAsia="zh-CN"/>
              </w:rPr>
              <w:t>无组织排放限值</w:t>
            </w:r>
          </w:p>
        </w:tc>
      </w:tr>
      <w:tr w14:paraId="37603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5E249C68">
            <w:pPr>
              <w:adjustRightInd w:val="0"/>
              <w:snapToGrid w:val="0"/>
              <w:jc w:val="center"/>
              <w:rPr>
                <w:rFonts w:hint="eastAsia" w:ascii="宋体" w:hAnsi="宋体" w:cs="宋体"/>
                <w:color w:val="auto"/>
                <w:szCs w:val="21"/>
              </w:rPr>
            </w:pPr>
          </w:p>
        </w:tc>
        <w:tc>
          <w:tcPr>
            <w:tcW w:w="1755" w:type="dxa"/>
            <w:noWrap w:val="0"/>
            <w:vAlign w:val="center"/>
          </w:tcPr>
          <w:p w14:paraId="31A2A28F">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粉料筒仓</w:t>
            </w:r>
          </w:p>
        </w:tc>
        <w:tc>
          <w:tcPr>
            <w:tcW w:w="1460" w:type="dxa"/>
            <w:noWrap w:val="0"/>
            <w:vAlign w:val="center"/>
          </w:tcPr>
          <w:p w14:paraId="1AA60D62">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颗粒物</w:t>
            </w:r>
          </w:p>
        </w:tc>
        <w:tc>
          <w:tcPr>
            <w:tcW w:w="1620" w:type="dxa"/>
            <w:noWrap w:val="0"/>
            <w:vAlign w:val="center"/>
          </w:tcPr>
          <w:p w14:paraId="7F90A128">
            <w:pPr>
              <w:bidi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仓顶除尘器</w:t>
            </w:r>
          </w:p>
        </w:tc>
        <w:tc>
          <w:tcPr>
            <w:tcW w:w="2187" w:type="dxa"/>
            <w:vMerge w:val="continue"/>
            <w:noWrap w:val="0"/>
            <w:vAlign w:val="center"/>
          </w:tcPr>
          <w:p w14:paraId="1195A5E5">
            <w:pPr>
              <w:adjustRightInd w:val="0"/>
              <w:snapToGrid w:val="0"/>
              <w:jc w:val="center"/>
              <w:rPr>
                <w:rFonts w:hint="eastAsia" w:ascii="宋体" w:hAnsi="宋体" w:cs="宋体"/>
                <w:color w:val="auto"/>
                <w:szCs w:val="21"/>
              </w:rPr>
            </w:pPr>
          </w:p>
        </w:tc>
      </w:tr>
      <w:tr w14:paraId="5A922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7A7CAC1E">
            <w:pPr>
              <w:adjustRightInd w:val="0"/>
              <w:snapToGrid w:val="0"/>
              <w:jc w:val="center"/>
              <w:rPr>
                <w:rFonts w:hint="eastAsia" w:ascii="宋体" w:hAnsi="宋体" w:cs="宋体"/>
                <w:color w:val="auto"/>
                <w:szCs w:val="21"/>
              </w:rPr>
            </w:pPr>
          </w:p>
        </w:tc>
        <w:tc>
          <w:tcPr>
            <w:tcW w:w="1755" w:type="dxa"/>
            <w:noWrap w:val="0"/>
            <w:vAlign w:val="center"/>
          </w:tcPr>
          <w:p w14:paraId="153B5659">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砂石输送</w:t>
            </w:r>
          </w:p>
        </w:tc>
        <w:tc>
          <w:tcPr>
            <w:tcW w:w="1460" w:type="dxa"/>
            <w:noWrap w:val="0"/>
            <w:vAlign w:val="center"/>
          </w:tcPr>
          <w:p w14:paraId="51C6B345">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颗粒物</w:t>
            </w:r>
          </w:p>
        </w:tc>
        <w:tc>
          <w:tcPr>
            <w:tcW w:w="1620" w:type="dxa"/>
            <w:noWrap w:val="0"/>
            <w:vAlign w:val="center"/>
          </w:tcPr>
          <w:p w14:paraId="483B4A2A">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密闭传输带</w:t>
            </w:r>
          </w:p>
        </w:tc>
        <w:tc>
          <w:tcPr>
            <w:tcW w:w="2187" w:type="dxa"/>
            <w:vMerge w:val="continue"/>
            <w:noWrap w:val="0"/>
            <w:vAlign w:val="center"/>
          </w:tcPr>
          <w:p w14:paraId="6B245525">
            <w:pPr>
              <w:adjustRightInd w:val="0"/>
              <w:snapToGrid w:val="0"/>
              <w:jc w:val="center"/>
              <w:rPr>
                <w:rFonts w:hint="eastAsia" w:ascii="宋体" w:hAnsi="宋体" w:cs="宋体"/>
                <w:color w:val="auto"/>
                <w:szCs w:val="21"/>
              </w:rPr>
            </w:pPr>
          </w:p>
        </w:tc>
      </w:tr>
      <w:tr w14:paraId="2ECFE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34FA63BB">
            <w:pPr>
              <w:adjustRightInd w:val="0"/>
              <w:snapToGrid w:val="0"/>
              <w:jc w:val="center"/>
              <w:rPr>
                <w:rFonts w:hint="eastAsia" w:ascii="宋体" w:hAnsi="宋体" w:cs="宋体"/>
                <w:color w:val="auto"/>
                <w:szCs w:val="21"/>
              </w:rPr>
            </w:pPr>
          </w:p>
        </w:tc>
        <w:tc>
          <w:tcPr>
            <w:tcW w:w="1755" w:type="dxa"/>
            <w:noWrap w:val="0"/>
            <w:vAlign w:val="center"/>
          </w:tcPr>
          <w:p w14:paraId="36FDDCEF">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搅拌</w:t>
            </w:r>
          </w:p>
        </w:tc>
        <w:tc>
          <w:tcPr>
            <w:tcW w:w="1460" w:type="dxa"/>
            <w:noWrap w:val="0"/>
            <w:vAlign w:val="center"/>
          </w:tcPr>
          <w:p w14:paraId="2B520A47">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颗粒物</w:t>
            </w:r>
          </w:p>
        </w:tc>
        <w:tc>
          <w:tcPr>
            <w:tcW w:w="1620" w:type="dxa"/>
            <w:noWrap w:val="0"/>
            <w:vAlign w:val="center"/>
          </w:tcPr>
          <w:p w14:paraId="753BCFE7">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全密闭搅拌楼，湿法搅拌</w:t>
            </w:r>
          </w:p>
        </w:tc>
        <w:tc>
          <w:tcPr>
            <w:tcW w:w="2187" w:type="dxa"/>
            <w:vMerge w:val="continue"/>
            <w:noWrap w:val="0"/>
            <w:vAlign w:val="center"/>
          </w:tcPr>
          <w:p w14:paraId="3A14A210">
            <w:pPr>
              <w:adjustRightInd w:val="0"/>
              <w:snapToGrid w:val="0"/>
              <w:jc w:val="center"/>
              <w:rPr>
                <w:rFonts w:hint="eastAsia" w:ascii="宋体" w:hAnsi="宋体" w:cs="宋体"/>
                <w:color w:val="auto"/>
                <w:szCs w:val="21"/>
              </w:rPr>
            </w:pPr>
          </w:p>
        </w:tc>
      </w:tr>
      <w:tr w14:paraId="60712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5C23063">
            <w:pPr>
              <w:adjustRightInd w:val="0"/>
              <w:snapToGrid w:val="0"/>
              <w:jc w:val="center"/>
              <w:rPr>
                <w:rFonts w:hint="eastAsia" w:ascii="宋体" w:hAnsi="宋体" w:cs="宋体"/>
                <w:color w:val="auto"/>
                <w:szCs w:val="21"/>
              </w:rPr>
            </w:pPr>
          </w:p>
        </w:tc>
        <w:tc>
          <w:tcPr>
            <w:tcW w:w="1755" w:type="dxa"/>
            <w:noWrap w:val="0"/>
            <w:vAlign w:val="center"/>
          </w:tcPr>
          <w:p w14:paraId="2CE4ED9B">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车辆运输</w:t>
            </w:r>
          </w:p>
        </w:tc>
        <w:tc>
          <w:tcPr>
            <w:tcW w:w="1460" w:type="dxa"/>
            <w:noWrap w:val="0"/>
            <w:vAlign w:val="center"/>
          </w:tcPr>
          <w:p w14:paraId="18A7AD54">
            <w:pPr>
              <w:adjustRightInd w:val="0"/>
              <w:snapToGrid w:val="0"/>
              <w:jc w:val="center"/>
              <w:rPr>
                <w:rFonts w:hint="eastAsia" w:ascii="宋体" w:hAnsi="宋体" w:cs="宋体"/>
                <w:color w:val="auto"/>
                <w:kern w:val="2"/>
                <w:sz w:val="21"/>
                <w:szCs w:val="21"/>
                <w:lang w:val="en-US" w:eastAsia="zh-CN" w:bidi="ar-SA"/>
              </w:rPr>
            </w:pPr>
            <w:r>
              <w:rPr>
                <w:rFonts w:hint="eastAsia" w:ascii="宋体" w:hAnsi="宋体" w:cs="宋体"/>
                <w:color w:val="auto"/>
                <w:szCs w:val="21"/>
                <w:lang w:val="en-US" w:eastAsia="zh-CN"/>
              </w:rPr>
              <w:t>颗粒物</w:t>
            </w:r>
          </w:p>
        </w:tc>
        <w:tc>
          <w:tcPr>
            <w:tcW w:w="1620" w:type="dxa"/>
            <w:noWrap w:val="0"/>
            <w:vAlign w:val="center"/>
          </w:tcPr>
          <w:p w14:paraId="7F924931">
            <w:pPr>
              <w:adjustRightInd w:val="0"/>
              <w:snapToGrid w:val="0"/>
              <w:jc w:val="center"/>
              <w:rPr>
                <w:rFonts w:hint="eastAsia" w:ascii="宋体" w:hAnsi="宋体" w:cs="宋体"/>
                <w:color w:val="auto"/>
                <w:kern w:val="2"/>
                <w:sz w:val="21"/>
                <w:szCs w:val="21"/>
                <w:lang w:val="en-US" w:eastAsia="zh-CN" w:bidi="ar-SA"/>
              </w:rPr>
            </w:pPr>
            <w:r>
              <w:rPr>
                <w:rFonts w:hint="eastAsia" w:ascii="Times New Roman" w:hAnsi="Times New Roman" w:eastAsia="宋体" w:cs="Times New Roman"/>
                <w:color w:val="auto"/>
                <w:sz w:val="21"/>
                <w:szCs w:val="21"/>
                <w:lang w:eastAsia="zh-CN"/>
              </w:rPr>
              <w:t>洒水降尘、控制车速等</w:t>
            </w:r>
          </w:p>
        </w:tc>
        <w:tc>
          <w:tcPr>
            <w:tcW w:w="2187" w:type="dxa"/>
            <w:vMerge w:val="continue"/>
            <w:noWrap w:val="0"/>
            <w:vAlign w:val="center"/>
          </w:tcPr>
          <w:p w14:paraId="79F8C317">
            <w:pPr>
              <w:adjustRightInd w:val="0"/>
              <w:snapToGrid w:val="0"/>
              <w:jc w:val="center"/>
              <w:rPr>
                <w:rFonts w:hint="eastAsia" w:ascii="宋体" w:hAnsi="宋体" w:cs="宋体"/>
                <w:color w:val="auto"/>
                <w:szCs w:val="21"/>
              </w:rPr>
            </w:pPr>
          </w:p>
        </w:tc>
      </w:tr>
      <w:tr w14:paraId="40213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00808BD9">
            <w:pPr>
              <w:adjustRightInd w:val="0"/>
              <w:snapToGrid w:val="0"/>
              <w:jc w:val="center"/>
              <w:rPr>
                <w:rFonts w:hint="eastAsia" w:ascii="宋体" w:hAnsi="宋体" w:cs="宋体"/>
                <w:color w:val="auto"/>
                <w:szCs w:val="21"/>
              </w:rPr>
            </w:pPr>
            <w:r>
              <w:rPr>
                <w:rFonts w:hint="eastAsia" w:ascii="宋体" w:hAnsi="宋体" w:cs="宋体"/>
                <w:color w:val="auto"/>
                <w:szCs w:val="21"/>
              </w:rPr>
              <w:t>地表水环境</w:t>
            </w:r>
          </w:p>
        </w:tc>
        <w:tc>
          <w:tcPr>
            <w:tcW w:w="1755" w:type="dxa"/>
            <w:noWrap w:val="0"/>
            <w:vAlign w:val="center"/>
          </w:tcPr>
          <w:p w14:paraId="48968EF7">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商混站</w:t>
            </w:r>
            <w:r>
              <w:rPr>
                <w:rFonts w:hint="default" w:ascii="Times New Roman" w:hAnsi="Times New Roman" w:cs="Times New Roman"/>
                <w:color w:val="auto"/>
                <w:szCs w:val="21"/>
                <w:lang w:val="en-US" w:eastAsia="zh-CN"/>
              </w:rPr>
              <w:t>设备清洗废水</w:t>
            </w:r>
          </w:p>
        </w:tc>
        <w:tc>
          <w:tcPr>
            <w:tcW w:w="1460" w:type="dxa"/>
            <w:noWrap w:val="0"/>
            <w:vAlign w:val="center"/>
          </w:tcPr>
          <w:p w14:paraId="44B4E67F">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SS</w:t>
            </w:r>
          </w:p>
        </w:tc>
        <w:tc>
          <w:tcPr>
            <w:tcW w:w="1620" w:type="dxa"/>
            <w:noWrap w:val="0"/>
            <w:vAlign w:val="center"/>
          </w:tcPr>
          <w:p w14:paraId="79D86044">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设置洗车池，三级沉淀后回用生产</w:t>
            </w:r>
          </w:p>
        </w:tc>
        <w:tc>
          <w:tcPr>
            <w:tcW w:w="2187" w:type="dxa"/>
            <w:noWrap w:val="0"/>
            <w:vAlign w:val="center"/>
          </w:tcPr>
          <w:p w14:paraId="16E0613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w:t>
            </w:r>
          </w:p>
        </w:tc>
      </w:tr>
      <w:tr w14:paraId="77D88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720E0BB">
            <w:pPr>
              <w:adjustRightInd w:val="0"/>
              <w:snapToGrid w:val="0"/>
              <w:jc w:val="center"/>
              <w:rPr>
                <w:rFonts w:hint="eastAsia" w:ascii="宋体" w:hAnsi="宋体" w:cs="宋体"/>
                <w:color w:val="auto"/>
                <w:szCs w:val="21"/>
              </w:rPr>
            </w:pPr>
          </w:p>
        </w:tc>
        <w:tc>
          <w:tcPr>
            <w:tcW w:w="1755" w:type="dxa"/>
            <w:noWrap w:val="0"/>
            <w:vAlign w:val="center"/>
          </w:tcPr>
          <w:p w14:paraId="39E9A3F8">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生活污水</w:t>
            </w:r>
          </w:p>
        </w:tc>
        <w:tc>
          <w:tcPr>
            <w:tcW w:w="1460" w:type="dxa"/>
            <w:noWrap w:val="0"/>
            <w:vAlign w:val="center"/>
          </w:tcPr>
          <w:p w14:paraId="76841466">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pH、COD、SS、氨氮等</w:t>
            </w:r>
          </w:p>
        </w:tc>
        <w:tc>
          <w:tcPr>
            <w:tcW w:w="1620" w:type="dxa"/>
            <w:noWrap w:val="0"/>
            <w:vAlign w:val="center"/>
          </w:tcPr>
          <w:p w14:paraId="3C1CE1F4">
            <w:pPr>
              <w:adjustRightInd w:val="0"/>
              <w:snapToGrid w:val="0"/>
              <w:jc w:val="center"/>
              <w:rPr>
                <w:rFonts w:hint="default" w:ascii="Times New Roman" w:hAnsi="Times New Roman" w:eastAsia="宋体" w:cs="Times New Roman"/>
                <w:color w:val="auto"/>
                <w:szCs w:val="21"/>
                <w:lang w:val="en-US" w:eastAsia="zh-CN"/>
              </w:rPr>
            </w:pPr>
            <w:r>
              <w:rPr>
                <w:rFonts w:hint="eastAsia"/>
                <w:bCs/>
                <w:color w:val="auto"/>
                <w:spacing w:val="-10"/>
                <w:sz w:val="21"/>
                <w:szCs w:val="21"/>
                <w:lang w:val="en-US" w:eastAsia="zh-CN"/>
              </w:rPr>
              <w:t>生活污水依托高速公路配套生活区，经一体化生活污水处理装置处理达标后用于绿化、道路清扫</w:t>
            </w:r>
          </w:p>
        </w:tc>
        <w:tc>
          <w:tcPr>
            <w:tcW w:w="2187" w:type="dxa"/>
            <w:noWrap w:val="0"/>
            <w:vAlign w:val="center"/>
          </w:tcPr>
          <w:p w14:paraId="156588F8">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城市污水再生利用城市杂用水水质</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GB/T18920-2020</w:t>
            </w:r>
            <w:r>
              <w:rPr>
                <w:rFonts w:hint="eastAsia" w:ascii="Times New Roman" w:hAnsi="Times New Roman" w:cs="Times New Roman"/>
                <w:color w:val="auto"/>
                <w:szCs w:val="21"/>
                <w:lang w:eastAsia="zh-CN"/>
              </w:rPr>
              <w:t>）</w:t>
            </w:r>
          </w:p>
        </w:tc>
      </w:tr>
      <w:tr w14:paraId="2FB01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1BBBBE91">
            <w:pPr>
              <w:adjustRightInd w:val="0"/>
              <w:snapToGrid w:val="0"/>
              <w:jc w:val="center"/>
              <w:rPr>
                <w:rFonts w:hint="eastAsia" w:ascii="宋体" w:hAnsi="宋体" w:cs="宋体"/>
                <w:color w:val="auto"/>
                <w:szCs w:val="21"/>
              </w:rPr>
            </w:pPr>
            <w:r>
              <w:rPr>
                <w:rFonts w:hint="eastAsia" w:ascii="宋体" w:hAnsi="宋体" w:cs="宋体"/>
                <w:color w:val="auto"/>
                <w:szCs w:val="21"/>
              </w:rPr>
              <w:t>声环境</w:t>
            </w:r>
          </w:p>
        </w:tc>
        <w:tc>
          <w:tcPr>
            <w:tcW w:w="1755" w:type="dxa"/>
            <w:noWrap w:val="0"/>
            <w:vAlign w:val="center"/>
          </w:tcPr>
          <w:p w14:paraId="37860211">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设备、车辆</w:t>
            </w:r>
          </w:p>
        </w:tc>
        <w:tc>
          <w:tcPr>
            <w:tcW w:w="1460" w:type="dxa"/>
            <w:noWrap w:val="0"/>
            <w:vAlign w:val="center"/>
          </w:tcPr>
          <w:p w14:paraId="16AF02F1">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Leq(A)</w:t>
            </w:r>
          </w:p>
        </w:tc>
        <w:tc>
          <w:tcPr>
            <w:tcW w:w="1620" w:type="dxa"/>
            <w:noWrap w:val="0"/>
            <w:vAlign w:val="center"/>
          </w:tcPr>
          <w:p w14:paraId="629042B2">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选用低噪声设备，基础减振，定期进行维护和保养</w:t>
            </w:r>
          </w:p>
        </w:tc>
        <w:tc>
          <w:tcPr>
            <w:tcW w:w="2187" w:type="dxa"/>
            <w:noWrap w:val="0"/>
            <w:vAlign w:val="center"/>
          </w:tcPr>
          <w:p w14:paraId="78B057E9">
            <w:pPr>
              <w:adjustRightInd w:val="0"/>
              <w:snapToGrid w:val="0"/>
              <w:jc w:val="center"/>
              <w:rPr>
                <w:rFonts w:hint="default" w:ascii="Times New Roman" w:hAnsi="Times New Roman" w:cs="Times New Roman"/>
                <w:color w:val="auto"/>
                <w:szCs w:val="21"/>
              </w:rPr>
            </w:pPr>
            <w:r>
              <w:rPr>
                <w:color w:val="auto"/>
                <w:szCs w:val="21"/>
              </w:rPr>
              <w:t>《工业企业厂界环境噪声排放标准》（GB12348-2008）</w:t>
            </w:r>
            <w:r>
              <w:rPr>
                <w:rFonts w:hint="eastAsia"/>
                <w:color w:val="auto"/>
                <w:szCs w:val="21"/>
                <w:lang w:eastAsia="zh-CN"/>
              </w:rPr>
              <w:t>2类</w:t>
            </w:r>
            <w:r>
              <w:rPr>
                <w:color w:val="auto"/>
                <w:szCs w:val="21"/>
              </w:rPr>
              <w:t>标准限值（昼间</w:t>
            </w:r>
            <w:r>
              <w:rPr>
                <w:color w:val="auto"/>
                <w:kern w:val="0"/>
                <w:szCs w:val="21"/>
                <w:lang w:bidi="ar"/>
              </w:rPr>
              <w:t>≤6</w:t>
            </w:r>
            <w:r>
              <w:rPr>
                <w:rFonts w:hint="eastAsia"/>
                <w:color w:val="auto"/>
                <w:kern w:val="0"/>
                <w:szCs w:val="21"/>
                <w:lang w:val="en-US" w:eastAsia="zh-CN" w:bidi="ar"/>
              </w:rPr>
              <w:t>0</w:t>
            </w:r>
            <w:r>
              <w:rPr>
                <w:color w:val="auto"/>
                <w:kern w:val="0"/>
                <w:szCs w:val="21"/>
                <w:lang w:bidi="ar"/>
              </w:rPr>
              <w:t>dB(A)、夜间≤5</w:t>
            </w:r>
            <w:r>
              <w:rPr>
                <w:rFonts w:hint="eastAsia"/>
                <w:color w:val="auto"/>
                <w:kern w:val="0"/>
                <w:szCs w:val="21"/>
                <w:lang w:val="en-US" w:eastAsia="zh-CN" w:bidi="ar"/>
              </w:rPr>
              <w:t>0</w:t>
            </w:r>
            <w:r>
              <w:rPr>
                <w:color w:val="auto"/>
                <w:kern w:val="0"/>
                <w:szCs w:val="21"/>
                <w:lang w:bidi="ar"/>
              </w:rPr>
              <w:t>dB(A)</w:t>
            </w:r>
            <w:r>
              <w:rPr>
                <w:color w:val="auto"/>
                <w:szCs w:val="21"/>
              </w:rPr>
              <w:t>）</w:t>
            </w:r>
          </w:p>
        </w:tc>
      </w:tr>
      <w:tr w14:paraId="7ABD4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485B2748">
            <w:pPr>
              <w:adjustRightInd w:val="0"/>
              <w:snapToGrid w:val="0"/>
              <w:jc w:val="center"/>
              <w:rPr>
                <w:rFonts w:hint="eastAsia" w:ascii="宋体" w:hAnsi="宋体" w:cs="宋体"/>
                <w:color w:val="auto"/>
                <w:szCs w:val="21"/>
              </w:rPr>
            </w:pPr>
            <w:r>
              <w:rPr>
                <w:rFonts w:hint="eastAsia" w:ascii="宋体" w:hAnsi="宋体" w:cs="宋体"/>
                <w:color w:val="auto"/>
                <w:szCs w:val="21"/>
              </w:rPr>
              <w:t>电磁辐射</w:t>
            </w:r>
          </w:p>
        </w:tc>
        <w:tc>
          <w:tcPr>
            <w:tcW w:w="1755" w:type="dxa"/>
            <w:noWrap w:val="0"/>
            <w:vAlign w:val="center"/>
          </w:tcPr>
          <w:p w14:paraId="7BEA9162">
            <w:pPr>
              <w:adjustRightInd w:val="0"/>
              <w:snapToGrid w:val="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c>
          <w:tcPr>
            <w:tcW w:w="1460" w:type="dxa"/>
            <w:noWrap w:val="0"/>
            <w:vAlign w:val="center"/>
          </w:tcPr>
          <w:p w14:paraId="056CE234">
            <w:pPr>
              <w:adjustRightInd w:val="0"/>
              <w:snapToGrid w:val="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c>
          <w:tcPr>
            <w:tcW w:w="1620" w:type="dxa"/>
            <w:noWrap w:val="0"/>
            <w:vAlign w:val="center"/>
          </w:tcPr>
          <w:p w14:paraId="14082DA3">
            <w:pPr>
              <w:adjustRightInd w:val="0"/>
              <w:snapToGrid w:val="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c>
          <w:tcPr>
            <w:tcW w:w="2187" w:type="dxa"/>
            <w:noWrap w:val="0"/>
            <w:vAlign w:val="center"/>
          </w:tcPr>
          <w:p w14:paraId="2A23078B">
            <w:pPr>
              <w:adjustRightInd w:val="0"/>
              <w:snapToGrid w:val="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14:paraId="3847A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77707E33">
            <w:pPr>
              <w:adjustRightInd w:val="0"/>
              <w:snapToGrid w:val="0"/>
              <w:jc w:val="center"/>
              <w:rPr>
                <w:rFonts w:hint="eastAsia" w:ascii="宋体" w:hAnsi="宋体" w:cs="宋体"/>
                <w:color w:val="auto"/>
                <w:szCs w:val="21"/>
              </w:rPr>
            </w:pPr>
            <w:r>
              <w:rPr>
                <w:rFonts w:hint="eastAsia" w:ascii="宋体" w:hAnsi="宋体" w:cs="宋体"/>
                <w:color w:val="auto"/>
                <w:szCs w:val="21"/>
              </w:rPr>
              <w:t>固体废物</w:t>
            </w:r>
          </w:p>
        </w:tc>
        <w:tc>
          <w:tcPr>
            <w:tcW w:w="7022" w:type="dxa"/>
            <w:gridSpan w:val="4"/>
            <w:noWrap w:val="0"/>
            <w:vAlign w:val="center"/>
          </w:tcPr>
          <w:p w14:paraId="3073C6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rPr>
              <w:t>（1）生活垃圾</w:t>
            </w:r>
          </w:p>
          <w:p w14:paraId="343716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rPr>
              <w:t>项目运营期工作人员</w:t>
            </w:r>
            <w:r>
              <w:rPr>
                <w:rFonts w:hint="eastAsia"/>
                <w:color w:val="auto"/>
                <w:lang w:val="en-US" w:eastAsia="zh-CN"/>
              </w:rPr>
              <w:t>产生的</w:t>
            </w:r>
            <w:r>
              <w:rPr>
                <w:rFonts w:hint="eastAsia"/>
                <w:color w:val="auto"/>
              </w:rPr>
              <w:t>生活垃圾</w:t>
            </w:r>
            <w:r>
              <w:rPr>
                <w:rFonts w:hint="eastAsia"/>
                <w:color w:val="auto"/>
                <w:lang w:val="en-US" w:eastAsia="zh-CN"/>
              </w:rPr>
              <w:t>依托高速公路配套生活区，</w:t>
            </w:r>
            <w:r>
              <w:rPr>
                <w:rFonts w:hint="eastAsia"/>
                <w:color w:val="auto"/>
              </w:rPr>
              <w:t>集中收集后定期清运</w:t>
            </w:r>
            <w:r>
              <w:rPr>
                <w:rFonts w:hint="eastAsia"/>
                <w:color w:val="auto"/>
                <w:lang w:val="en-US" w:eastAsia="zh-CN"/>
              </w:rPr>
              <w:t>至生活垃圾填埋场处置</w:t>
            </w:r>
            <w:r>
              <w:rPr>
                <w:rFonts w:hint="eastAsia"/>
                <w:color w:val="auto"/>
              </w:rPr>
              <w:t>。</w:t>
            </w:r>
          </w:p>
          <w:p w14:paraId="0E40BA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val="en-US" w:eastAsia="zh-CN"/>
              </w:rPr>
            </w:pPr>
            <w:r>
              <w:rPr>
                <w:rFonts w:hint="eastAsia"/>
                <w:color w:val="auto"/>
              </w:rPr>
              <w:t>（2）</w:t>
            </w:r>
            <w:r>
              <w:rPr>
                <w:rFonts w:hint="eastAsia"/>
                <w:color w:val="auto"/>
                <w:lang w:val="en-US" w:eastAsia="zh-CN"/>
              </w:rPr>
              <w:t>除尘粉尘</w:t>
            </w:r>
          </w:p>
          <w:p w14:paraId="564558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rPr>
              <w:t>本项目除尘器收集的粉尘量属于一般固体废物，收集后回用于生产。</w:t>
            </w:r>
          </w:p>
          <w:p w14:paraId="160006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val="en-US" w:eastAsia="zh-CN"/>
              </w:rPr>
            </w:pPr>
            <w:r>
              <w:rPr>
                <w:rFonts w:hint="eastAsia"/>
                <w:color w:val="auto"/>
                <w:lang w:val="en-US" w:eastAsia="zh-CN"/>
              </w:rPr>
              <w:t>（3）沉渣</w:t>
            </w:r>
          </w:p>
          <w:p w14:paraId="5B3460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lang w:val="en-US" w:eastAsia="zh-CN"/>
              </w:rPr>
              <w:t>三级沉淀</w:t>
            </w:r>
            <w:r>
              <w:rPr>
                <w:rFonts w:hint="eastAsia"/>
                <w:color w:val="auto"/>
              </w:rPr>
              <w:t>的</w:t>
            </w:r>
            <w:r>
              <w:rPr>
                <w:rFonts w:hint="eastAsia"/>
                <w:color w:val="auto"/>
                <w:lang w:val="en-US" w:eastAsia="zh-CN"/>
              </w:rPr>
              <w:t>沉渣</w:t>
            </w:r>
            <w:r>
              <w:rPr>
                <w:rFonts w:hint="eastAsia"/>
                <w:color w:val="auto"/>
              </w:rPr>
              <w:t>收集后作为原辅料回用于混凝土搅拌环节。</w:t>
            </w:r>
          </w:p>
          <w:p w14:paraId="6EDD08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废砼</w:t>
            </w:r>
          </w:p>
          <w:p w14:paraId="2483D2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rPr>
            </w:pPr>
            <w:r>
              <w:rPr>
                <w:color w:val="auto"/>
              </w:rPr>
              <w:t>根据建设单位提供的资料，</w:t>
            </w:r>
            <w:r>
              <w:rPr>
                <w:rFonts w:hint="eastAsia"/>
                <w:color w:val="auto"/>
                <w:lang w:val="en-US" w:eastAsia="zh-CN"/>
              </w:rPr>
              <w:t>力学室产生的废砼量</w:t>
            </w:r>
            <w:r>
              <w:rPr>
                <w:color w:val="auto"/>
              </w:rPr>
              <w:t>属于一般固废，</w:t>
            </w:r>
            <w:r>
              <w:rPr>
                <w:rFonts w:hint="default"/>
                <w:color w:val="auto"/>
                <w:lang w:val="en-US" w:eastAsia="zh-CN"/>
              </w:rPr>
              <w:t>收集</w:t>
            </w:r>
            <w:r>
              <w:rPr>
                <w:rFonts w:hint="eastAsia"/>
                <w:color w:val="auto"/>
                <w:lang w:val="en-US" w:eastAsia="zh-CN"/>
              </w:rPr>
              <w:t>暂存至废砼区后拉运至一般固废填埋场处置</w:t>
            </w:r>
            <w:r>
              <w:rPr>
                <w:color w:val="auto"/>
              </w:rPr>
              <w:t>。</w:t>
            </w:r>
          </w:p>
        </w:tc>
      </w:tr>
      <w:tr w14:paraId="33BD6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031594E2">
            <w:pPr>
              <w:adjustRightInd w:val="0"/>
              <w:snapToGrid w:val="0"/>
              <w:jc w:val="center"/>
              <w:rPr>
                <w:rFonts w:hint="eastAsia" w:ascii="宋体" w:hAnsi="宋体" w:cs="宋体"/>
                <w:color w:val="auto"/>
                <w:szCs w:val="21"/>
              </w:rPr>
            </w:pPr>
            <w:r>
              <w:rPr>
                <w:rFonts w:hint="eastAsia" w:ascii="宋体" w:hAnsi="宋体" w:cs="宋体"/>
                <w:color w:val="auto"/>
                <w:szCs w:val="21"/>
              </w:rPr>
              <w:t>土壤及地下水</w:t>
            </w:r>
          </w:p>
          <w:p w14:paraId="2C758371">
            <w:pPr>
              <w:adjustRightInd w:val="0"/>
              <w:snapToGrid w:val="0"/>
              <w:jc w:val="center"/>
              <w:rPr>
                <w:rFonts w:hint="eastAsia" w:ascii="宋体" w:hAnsi="宋体" w:cs="宋体"/>
                <w:color w:val="auto"/>
                <w:szCs w:val="21"/>
              </w:rPr>
            </w:pPr>
            <w:r>
              <w:rPr>
                <w:rFonts w:hint="eastAsia" w:ascii="宋体" w:hAnsi="宋体" w:cs="宋体"/>
                <w:color w:val="auto"/>
                <w:szCs w:val="21"/>
              </w:rPr>
              <w:t>污染防治措施</w:t>
            </w:r>
          </w:p>
        </w:tc>
        <w:tc>
          <w:tcPr>
            <w:tcW w:w="7022" w:type="dxa"/>
            <w:gridSpan w:val="4"/>
            <w:noWrap w:val="0"/>
            <w:vAlign w:val="center"/>
          </w:tcPr>
          <w:p w14:paraId="28A75D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宋体"/>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厂区地面道路采取硬化。</w:t>
            </w:r>
          </w:p>
          <w:p w14:paraId="33E93F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洗车池池体做混凝土硬化防渗处理。</w:t>
            </w:r>
          </w:p>
        </w:tc>
      </w:tr>
      <w:tr w14:paraId="587F5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4EA2AFD2">
            <w:pPr>
              <w:adjustRightInd w:val="0"/>
              <w:snapToGrid w:val="0"/>
              <w:jc w:val="center"/>
              <w:rPr>
                <w:rFonts w:hint="eastAsia" w:ascii="宋体" w:hAnsi="宋体" w:cs="宋体"/>
                <w:color w:val="auto"/>
                <w:szCs w:val="21"/>
              </w:rPr>
            </w:pPr>
            <w:r>
              <w:rPr>
                <w:rFonts w:hint="eastAsia" w:ascii="宋体" w:hAnsi="宋体" w:cs="宋体"/>
                <w:color w:val="auto"/>
                <w:szCs w:val="21"/>
              </w:rPr>
              <w:t>生态保护措施</w:t>
            </w:r>
          </w:p>
        </w:tc>
        <w:tc>
          <w:tcPr>
            <w:tcW w:w="7022" w:type="dxa"/>
            <w:gridSpan w:val="4"/>
            <w:noWrap w:val="0"/>
            <w:vAlign w:val="center"/>
          </w:tcPr>
          <w:p w14:paraId="60999C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rPr>
            </w:pPr>
            <w:r>
              <w:rPr>
                <w:rFonts w:hint="default" w:ascii="Times New Roman" w:hAnsi="Times New Roman" w:eastAsia="宋体" w:cs="Times New Roman"/>
                <w:color w:val="auto"/>
              </w:rPr>
              <w:t>对各污染物进行妥善处理和处置，防止</w:t>
            </w:r>
            <w:r>
              <w:rPr>
                <w:rFonts w:hint="eastAsia" w:ascii="Times New Roman" w:hAnsi="Times New Roman" w:eastAsia="宋体" w:cs="Times New Roman"/>
                <w:color w:val="auto"/>
                <w:lang w:eastAsia="zh-CN"/>
              </w:rPr>
              <w:t>泄漏</w:t>
            </w:r>
            <w:r>
              <w:rPr>
                <w:rFonts w:hint="default" w:ascii="Times New Roman" w:hAnsi="Times New Roman" w:eastAsia="宋体" w:cs="Times New Roman"/>
                <w:color w:val="auto"/>
              </w:rPr>
              <w:t>、随意倾倒固体废物污染周边生态环境</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sz w:val="21"/>
                <w:szCs w:val="21"/>
                <w:lang w:val="en-US" w:eastAsia="zh-CN"/>
              </w:rPr>
              <w:t>严格划定路线，禁止乱碾乱压，严格规定各类工作人员的活动范围</w:t>
            </w:r>
            <w:r>
              <w:rPr>
                <w:rFonts w:hint="default" w:ascii="Times New Roman" w:hAnsi="Times New Roman" w:eastAsia="宋体" w:cs="Times New Roman"/>
                <w:color w:val="auto"/>
              </w:rPr>
              <w:t>。</w:t>
            </w:r>
          </w:p>
        </w:tc>
      </w:tr>
      <w:tr w14:paraId="5CB66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5787AAF1">
            <w:pPr>
              <w:adjustRightInd w:val="0"/>
              <w:snapToGrid w:val="0"/>
              <w:jc w:val="center"/>
              <w:rPr>
                <w:rFonts w:ascii="宋体" w:hAnsi="宋体" w:cs="宋体"/>
                <w:color w:val="auto"/>
                <w:spacing w:val="-8"/>
                <w:szCs w:val="21"/>
              </w:rPr>
            </w:pPr>
            <w:r>
              <w:rPr>
                <w:rFonts w:hint="eastAsia" w:ascii="宋体" w:hAnsi="宋体" w:cs="宋体"/>
                <w:color w:val="auto"/>
                <w:spacing w:val="-8"/>
                <w:szCs w:val="21"/>
              </w:rPr>
              <w:t>环境风险</w:t>
            </w:r>
          </w:p>
          <w:p w14:paraId="04B9B0C2">
            <w:pPr>
              <w:adjustRightInd w:val="0"/>
              <w:snapToGrid w:val="0"/>
              <w:jc w:val="center"/>
              <w:rPr>
                <w:rFonts w:hint="eastAsia" w:ascii="宋体" w:hAnsi="宋体" w:cs="宋体"/>
                <w:color w:val="auto"/>
                <w:spacing w:val="-8"/>
                <w:szCs w:val="21"/>
              </w:rPr>
            </w:pPr>
            <w:r>
              <w:rPr>
                <w:rFonts w:hint="eastAsia" w:ascii="宋体" w:hAnsi="宋体" w:cs="宋体"/>
                <w:color w:val="auto"/>
                <w:spacing w:val="-8"/>
                <w:szCs w:val="21"/>
              </w:rPr>
              <w:t>防范措施</w:t>
            </w:r>
          </w:p>
        </w:tc>
        <w:tc>
          <w:tcPr>
            <w:tcW w:w="7022" w:type="dxa"/>
            <w:gridSpan w:val="4"/>
            <w:noWrap w:val="0"/>
            <w:vAlign w:val="center"/>
          </w:tcPr>
          <w:p w14:paraId="3EF0D77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按照报告</w:t>
            </w:r>
            <w:r>
              <w:rPr>
                <w:rFonts w:hint="eastAsia"/>
                <w:color w:val="auto"/>
                <w:sz w:val="21"/>
                <w:szCs w:val="24"/>
                <w:lang w:val="en-US" w:eastAsia="zh-CN"/>
              </w:rPr>
              <w:t>环境风险防范措施及应急要求章节内容落实环境风险防范措施，并编制突发环境事件应急预案报塔城地区生态环境局乌苏市分局备案。</w:t>
            </w:r>
          </w:p>
        </w:tc>
      </w:tr>
      <w:tr w14:paraId="2C54A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9" w:hRule="atLeast"/>
          <w:jc w:val="center"/>
        </w:trPr>
        <w:tc>
          <w:tcPr>
            <w:tcW w:w="1778" w:type="dxa"/>
            <w:noWrap w:val="0"/>
            <w:vAlign w:val="center"/>
          </w:tcPr>
          <w:p w14:paraId="1F80C741">
            <w:pPr>
              <w:adjustRightInd w:val="0"/>
              <w:snapToGrid w:val="0"/>
              <w:jc w:val="center"/>
              <w:rPr>
                <w:rFonts w:ascii="宋体" w:hAnsi="宋体" w:cs="宋体"/>
                <w:color w:val="auto"/>
                <w:spacing w:val="-8"/>
                <w:szCs w:val="21"/>
              </w:rPr>
            </w:pPr>
            <w:r>
              <w:rPr>
                <w:rFonts w:hint="eastAsia" w:ascii="宋体" w:hAnsi="宋体" w:cs="宋体"/>
                <w:color w:val="auto"/>
                <w:spacing w:val="-8"/>
                <w:szCs w:val="21"/>
              </w:rPr>
              <w:t>其他环境</w:t>
            </w:r>
          </w:p>
          <w:p w14:paraId="03FFEC61">
            <w:pPr>
              <w:adjustRightInd w:val="0"/>
              <w:snapToGrid w:val="0"/>
              <w:jc w:val="center"/>
              <w:rPr>
                <w:rFonts w:hint="eastAsia" w:ascii="宋体" w:hAnsi="宋体" w:cs="宋体"/>
                <w:color w:val="auto"/>
                <w:spacing w:val="-8"/>
                <w:szCs w:val="21"/>
              </w:rPr>
            </w:pPr>
            <w:r>
              <w:rPr>
                <w:rFonts w:hint="eastAsia" w:ascii="宋体" w:hAnsi="宋体" w:cs="宋体"/>
                <w:color w:val="auto"/>
                <w:spacing w:val="-8"/>
                <w:szCs w:val="21"/>
              </w:rPr>
              <w:t>管理要求</w:t>
            </w:r>
          </w:p>
        </w:tc>
        <w:tc>
          <w:tcPr>
            <w:tcW w:w="7022" w:type="dxa"/>
            <w:gridSpan w:val="4"/>
            <w:noWrap w:val="0"/>
            <w:vAlign w:val="center"/>
          </w:tcPr>
          <w:p w14:paraId="2A1ABA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default"/>
                <w:color w:val="auto"/>
              </w:rPr>
              <w:t>（1）</w:t>
            </w:r>
            <w:r>
              <w:rPr>
                <w:rFonts w:hint="eastAsia"/>
                <w:color w:val="auto"/>
                <w:lang w:val="en-US" w:eastAsia="zh-CN"/>
              </w:rPr>
              <w:t>根据《固定污染源排污许可分类管理名录（2019年版）》，</w:t>
            </w:r>
            <w:r>
              <w:rPr>
                <w:rFonts w:hint="default"/>
                <w:color w:val="auto"/>
              </w:rPr>
              <w:t>依法填报排污登记表</w:t>
            </w:r>
            <w:r>
              <w:rPr>
                <w:rFonts w:hint="eastAsia"/>
                <w:color w:val="auto"/>
                <w:lang w:eastAsia="zh-CN"/>
              </w:rPr>
              <w:t>。</w:t>
            </w:r>
          </w:p>
          <w:p w14:paraId="1AE3E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default"/>
                <w:color w:val="auto"/>
              </w:rPr>
              <w:t>（2）制定环境管理制度，开展日常管理，加强设备巡检，及时维修</w:t>
            </w:r>
            <w:r>
              <w:rPr>
                <w:rFonts w:hint="eastAsia"/>
                <w:color w:val="auto"/>
                <w:lang w:eastAsia="zh-CN"/>
              </w:rPr>
              <w:t>。</w:t>
            </w:r>
          </w:p>
          <w:p w14:paraId="7CD436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default"/>
                <w:color w:val="auto"/>
              </w:rPr>
              <w:t>（3）自主进行竣工环境保护验收工作</w:t>
            </w:r>
            <w:r>
              <w:rPr>
                <w:rFonts w:hint="eastAsia"/>
                <w:color w:val="auto"/>
                <w:lang w:eastAsia="zh-CN"/>
              </w:rPr>
              <w:t>。</w:t>
            </w:r>
          </w:p>
          <w:p w14:paraId="7E5A4B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default"/>
                <w:color w:val="auto"/>
              </w:rPr>
              <w:t>（4）严格按照运营期环境监测要求执行</w:t>
            </w:r>
            <w:r>
              <w:rPr>
                <w:rFonts w:hint="eastAsia"/>
                <w:color w:val="auto"/>
                <w:lang w:eastAsia="zh-CN"/>
              </w:rPr>
              <w:t>。</w:t>
            </w:r>
          </w:p>
          <w:p w14:paraId="4EFE7A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rPr>
            </w:pPr>
            <w:r>
              <w:rPr>
                <w:rFonts w:hint="default"/>
                <w:color w:val="auto"/>
              </w:rPr>
              <w:t>（5）建立固体废物管理台账，如实记录固体废物的种类、数量、流向、贮存、利用、处置等信息。</w:t>
            </w:r>
          </w:p>
        </w:tc>
      </w:tr>
    </w:tbl>
    <w:p w14:paraId="53BA3B40">
      <w:pPr>
        <w:pStyle w:val="24"/>
        <w:jc w:val="center"/>
        <w:outlineLvl w:val="0"/>
        <w:rPr>
          <w:rFonts w:ascii="黑体" w:hAnsi="黑体" w:eastAsia="黑体"/>
          <w:snapToGrid w:val="0"/>
          <w:color w:val="auto"/>
          <w:sz w:val="30"/>
          <w:szCs w:val="30"/>
        </w:rPr>
      </w:pPr>
      <w:r>
        <w:rPr>
          <w:snapToGrid w:val="0"/>
          <w:color w:val="auto"/>
        </w:rPr>
        <w:br w:type="page"/>
      </w:r>
      <w:bookmarkStart w:id="10" w:name="_Toc21635"/>
      <w:r>
        <w:rPr>
          <w:rFonts w:hint="eastAsia" w:ascii="黑体" w:hAnsi="黑体" w:eastAsia="黑体"/>
          <w:snapToGrid w:val="0"/>
          <w:color w:val="auto"/>
          <w:sz w:val="30"/>
          <w:szCs w:val="30"/>
        </w:rPr>
        <w:t>六、结论</w:t>
      </w:r>
      <w:bookmarkEnd w:id="10"/>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A27F0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0B9F53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cs="宋体"/>
                <w:color w:val="auto"/>
                <w:sz w:val="24"/>
              </w:rPr>
            </w:pPr>
            <w:r>
              <w:rPr>
                <w:rFonts w:hint="eastAsia"/>
                <w:color w:val="auto"/>
                <w:sz w:val="24"/>
              </w:rPr>
              <w:t>本项目符合国家产业政策，</w:t>
            </w:r>
            <w:r>
              <w:rPr>
                <w:rFonts w:hint="eastAsia" w:ascii="宋体" w:hAnsi="宋体"/>
                <w:color w:val="auto"/>
                <w:kern w:val="24"/>
                <w:sz w:val="24"/>
              </w:rPr>
              <w:t>符合国家和地方的相关规划要求，</w:t>
            </w:r>
            <w:r>
              <w:rPr>
                <w:rFonts w:hint="eastAsia" w:ascii="宋体" w:hAnsi="宋体"/>
                <w:color w:val="auto"/>
                <w:sz w:val="24"/>
              </w:rPr>
              <w:t>在严格按照“三同时”制度落实工程设计、环评报告提出的各项污染防治措施，并强化环境管理后，</w:t>
            </w:r>
            <w:r>
              <w:rPr>
                <w:rFonts w:hint="eastAsia" w:ascii="宋体" w:hAnsi="宋体"/>
                <w:color w:val="auto"/>
                <w:sz w:val="24"/>
                <w:shd w:val="clear" w:color="auto" w:fill="auto"/>
                <w:lang w:val="en-US" w:eastAsia="zh-CN"/>
              </w:rPr>
              <w:t>生活污水依托高速公路生活区配套生活污水一体化装置处理达标后回用</w:t>
            </w:r>
            <w:r>
              <w:rPr>
                <w:rFonts w:hint="eastAsia" w:ascii="宋体" w:hAnsi="宋体"/>
                <w:color w:val="auto"/>
                <w:sz w:val="24"/>
                <w:shd w:val="clear" w:color="auto" w:fill="auto"/>
                <w:lang w:eastAsia="zh-CN"/>
              </w:rPr>
              <w:t>，</w:t>
            </w:r>
            <w:r>
              <w:rPr>
                <w:rFonts w:hint="eastAsia" w:ascii="宋体" w:hAnsi="宋体"/>
                <w:color w:val="auto"/>
                <w:sz w:val="24"/>
                <w:lang w:eastAsia="zh-CN"/>
              </w:rPr>
              <w:t>采用的污染防治措施可行，可确保</w:t>
            </w:r>
            <w:r>
              <w:rPr>
                <w:rFonts w:hint="eastAsia" w:ascii="宋体" w:hAnsi="宋体"/>
                <w:color w:val="auto"/>
                <w:sz w:val="24"/>
              </w:rPr>
              <w:t>废气污染源及厂界噪声达标排放，固体废物全部得到合理处置，环境风险可控，</w:t>
            </w:r>
            <w:r>
              <w:rPr>
                <w:rFonts w:hint="eastAsia"/>
                <w:color w:val="auto"/>
                <w:sz w:val="24"/>
              </w:rPr>
              <w:t>从环境保护角度分析，</w:t>
            </w:r>
            <w:r>
              <w:rPr>
                <w:rFonts w:hint="eastAsia" w:ascii="宋体" w:hAnsi="宋体"/>
                <w:color w:val="auto"/>
                <w:sz w:val="24"/>
              </w:rPr>
              <w:t>工程建设可行</w:t>
            </w:r>
            <w:r>
              <w:rPr>
                <w:color w:val="auto"/>
                <w:sz w:val="24"/>
              </w:rPr>
              <w:t>。</w:t>
            </w:r>
          </w:p>
        </w:tc>
      </w:tr>
    </w:tbl>
    <w:p w14:paraId="386067FA">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B405BE2">
      <w:pPr>
        <w:pStyle w:val="24"/>
        <w:adjustRightInd w:val="0"/>
        <w:snapToGrid w:val="0"/>
        <w:spacing w:before="0" w:beforeAutospacing="0" w:after="0" w:afterAutospacing="0" w:line="648" w:lineRule="auto"/>
        <w:outlineLvl w:val="0"/>
        <w:rPr>
          <w:rFonts w:ascii="黑体" w:hAnsi="黑体" w:eastAsia="黑体"/>
          <w:snapToGrid w:val="0"/>
          <w:color w:val="auto"/>
          <w:sz w:val="32"/>
          <w:szCs w:val="32"/>
        </w:rPr>
      </w:pPr>
      <w:bookmarkStart w:id="11" w:name="_Toc16497"/>
      <w:r>
        <w:rPr>
          <w:rFonts w:hint="eastAsia" w:ascii="黑体" w:hAnsi="黑体" w:eastAsia="黑体"/>
          <w:snapToGrid w:val="0"/>
          <w:color w:val="auto"/>
          <w:sz w:val="32"/>
          <w:szCs w:val="32"/>
        </w:rPr>
        <w:t>附表</w:t>
      </w:r>
      <w:bookmarkEnd w:id="11"/>
    </w:p>
    <w:p w14:paraId="60090F9A">
      <w:pPr>
        <w:bidi w:val="0"/>
        <w:jc w:val="center"/>
        <w:rPr>
          <w:rFonts w:hint="eastAsia"/>
          <w:color w:val="auto"/>
          <w:sz w:val="40"/>
          <w:szCs w:val="48"/>
        </w:rPr>
      </w:pPr>
      <w:r>
        <w:rPr>
          <w:rFonts w:hint="eastAsia"/>
          <w:color w:val="auto"/>
          <w:sz w:val="40"/>
          <w:szCs w:val="48"/>
        </w:rPr>
        <w:t>建设项目污染物排放量汇总表</w:t>
      </w:r>
    </w:p>
    <w:tbl>
      <w:tblPr>
        <w:tblStyle w:val="2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567"/>
        <w:gridCol w:w="1785"/>
        <w:gridCol w:w="1194"/>
      </w:tblGrid>
      <w:tr w14:paraId="5980D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340C2F42">
            <w:pPr>
              <w:bidi w:val="0"/>
              <w:jc w:val="right"/>
              <w:rPr>
                <w:rFonts w:hint="eastAsia"/>
                <w:b/>
                <w:bCs/>
                <w:color w:val="auto"/>
              </w:rPr>
            </w:pPr>
            <w:r>
              <w:rPr>
                <w:rFonts w:hint="eastAsia"/>
                <w:b/>
                <w:bCs/>
                <w:color w:val="auto"/>
              </w:rPr>
              <w:t>项目</w:t>
            </w:r>
          </w:p>
          <w:p w14:paraId="3ED4B0C3">
            <w:pPr>
              <w:bidi w:val="0"/>
              <w:jc w:val="left"/>
              <w:rPr>
                <w:rFonts w:hint="eastAsia"/>
                <w:b/>
                <w:bCs/>
                <w:color w:val="auto"/>
              </w:rPr>
            </w:pPr>
            <w:r>
              <w:rPr>
                <w:rFonts w:hint="eastAsia"/>
                <w:b/>
                <w:bCs/>
                <w:color w:val="auto"/>
              </w:rPr>
              <w:t>分类</w:t>
            </w:r>
          </w:p>
        </w:tc>
        <w:tc>
          <w:tcPr>
            <w:tcW w:w="1417" w:type="dxa"/>
            <w:noWrap w:val="0"/>
            <w:tcMar>
              <w:left w:w="28" w:type="dxa"/>
              <w:right w:w="28" w:type="dxa"/>
            </w:tcMar>
            <w:vAlign w:val="center"/>
          </w:tcPr>
          <w:p w14:paraId="4D3D3338">
            <w:pPr>
              <w:bidi w:val="0"/>
              <w:jc w:val="center"/>
              <w:rPr>
                <w:rFonts w:hint="eastAsia"/>
                <w:b/>
                <w:bCs/>
                <w:color w:val="auto"/>
              </w:rPr>
            </w:pPr>
            <w:r>
              <w:rPr>
                <w:rFonts w:hint="eastAsia"/>
                <w:b/>
                <w:bCs/>
                <w:color w:val="auto"/>
              </w:rPr>
              <w:t>污染物名称</w:t>
            </w:r>
          </w:p>
        </w:tc>
        <w:tc>
          <w:tcPr>
            <w:tcW w:w="1701" w:type="dxa"/>
            <w:noWrap w:val="0"/>
            <w:tcMar>
              <w:left w:w="28" w:type="dxa"/>
              <w:right w:w="28" w:type="dxa"/>
            </w:tcMar>
            <w:vAlign w:val="center"/>
          </w:tcPr>
          <w:p w14:paraId="37953FE1">
            <w:pPr>
              <w:bidi w:val="0"/>
              <w:jc w:val="center"/>
              <w:rPr>
                <w:rFonts w:hint="eastAsia"/>
                <w:b/>
                <w:bCs/>
                <w:color w:val="auto"/>
              </w:rPr>
            </w:pPr>
            <w:r>
              <w:rPr>
                <w:b/>
                <w:bCs/>
                <w:color w:val="auto"/>
              </w:rPr>
              <w:t>现有工程</w:t>
            </w:r>
          </w:p>
          <w:p w14:paraId="5416857D">
            <w:pPr>
              <w:bidi w:val="0"/>
              <w:jc w:val="center"/>
              <w:rPr>
                <w:b/>
                <w:bCs/>
                <w:color w:val="auto"/>
              </w:rPr>
            </w:pPr>
            <w:r>
              <w:rPr>
                <w:b/>
                <w:bCs/>
                <w:color w:val="auto"/>
              </w:rPr>
              <w:t>排放量（固</w:t>
            </w:r>
            <w:r>
              <w:rPr>
                <w:rFonts w:hint="eastAsia"/>
                <w:b/>
                <w:bCs/>
                <w:color w:val="auto"/>
              </w:rPr>
              <w:t>体</w:t>
            </w:r>
            <w:r>
              <w:rPr>
                <w:b/>
                <w:bCs/>
                <w:color w:val="auto"/>
              </w:rPr>
              <w:t>废</w:t>
            </w:r>
            <w:r>
              <w:rPr>
                <w:rFonts w:hint="eastAsia"/>
                <w:b/>
                <w:bCs/>
                <w:color w:val="auto"/>
              </w:rPr>
              <w:t>物</w:t>
            </w:r>
            <w:r>
              <w:rPr>
                <w:b/>
                <w:bCs/>
                <w:color w:val="auto"/>
              </w:rPr>
              <w:t>产生量）</w:t>
            </w:r>
            <w:r>
              <w:rPr>
                <w:b/>
                <w:bCs/>
                <w:color w:val="auto"/>
              </w:rPr>
              <w:fldChar w:fldCharType="begin"/>
            </w:r>
            <w:r>
              <w:rPr>
                <w:b/>
                <w:bCs/>
                <w:color w:val="auto"/>
              </w:rPr>
              <w:instrText xml:space="preserve"> = 1 \* GB3 \* MERGEFORMAT </w:instrText>
            </w:r>
            <w:r>
              <w:rPr>
                <w:b/>
                <w:bCs/>
                <w:color w:val="auto"/>
              </w:rPr>
              <w:fldChar w:fldCharType="separate"/>
            </w:r>
            <w:r>
              <w:rPr>
                <w:rFonts w:hint="eastAsia"/>
                <w:b/>
                <w:bCs/>
                <w:color w:val="auto"/>
              </w:rPr>
              <w:t>①</w:t>
            </w:r>
            <w:r>
              <w:rPr>
                <w:b/>
                <w:bCs/>
                <w:color w:val="auto"/>
              </w:rPr>
              <w:fldChar w:fldCharType="end"/>
            </w:r>
          </w:p>
        </w:tc>
        <w:tc>
          <w:tcPr>
            <w:tcW w:w="1276" w:type="dxa"/>
            <w:noWrap w:val="0"/>
            <w:tcMar>
              <w:left w:w="28" w:type="dxa"/>
              <w:right w:w="28" w:type="dxa"/>
            </w:tcMar>
            <w:vAlign w:val="center"/>
          </w:tcPr>
          <w:p w14:paraId="75A55CBA">
            <w:pPr>
              <w:bidi w:val="0"/>
              <w:jc w:val="center"/>
              <w:rPr>
                <w:b/>
                <w:bCs/>
                <w:color w:val="auto"/>
              </w:rPr>
            </w:pPr>
            <w:r>
              <w:rPr>
                <w:b/>
                <w:bCs/>
                <w:color w:val="auto"/>
              </w:rPr>
              <w:t>现有工程</w:t>
            </w:r>
          </w:p>
          <w:p w14:paraId="59FF3A5A">
            <w:pPr>
              <w:bidi w:val="0"/>
              <w:jc w:val="center"/>
              <w:rPr>
                <w:b/>
                <w:bCs/>
                <w:color w:val="auto"/>
              </w:rPr>
            </w:pPr>
            <w:r>
              <w:rPr>
                <w:b/>
                <w:bCs/>
                <w:color w:val="auto"/>
              </w:rPr>
              <w:t>许可排放量</w:t>
            </w:r>
          </w:p>
          <w:p w14:paraId="6A908F19">
            <w:pPr>
              <w:bidi w:val="0"/>
              <w:jc w:val="center"/>
              <w:rPr>
                <w:b/>
                <w:bCs/>
                <w:color w:val="auto"/>
              </w:rPr>
            </w:pPr>
            <w:r>
              <w:rPr>
                <w:b/>
                <w:bCs/>
                <w:color w:val="auto"/>
              </w:rPr>
              <w:fldChar w:fldCharType="begin"/>
            </w:r>
            <w:r>
              <w:rPr>
                <w:b/>
                <w:bCs/>
                <w:color w:val="auto"/>
              </w:rPr>
              <w:instrText xml:space="preserve"> = 2 \* GB3 \* MERGEFORMAT </w:instrText>
            </w:r>
            <w:r>
              <w:rPr>
                <w:b/>
                <w:bCs/>
                <w:color w:val="auto"/>
              </w:rPr>
              <w:fldChar w:fldCharType="separate"/>
            </w:r>
            <w:r>
              <w:rPr>
                <w:rFonts w:hint="eastAsia"/>
                <w:b/>
                <w:bCs/>
                <w:color w:val="auto"/>
              </w:rPr>
              <w:t>②</w:t>
            </w:r>
            <w:r>
              <w:rPr>
                <w:b/>
                <w:bCs/>
                <w:color w:val="auto"/>
              </w:rPr>
              <w:fldChar w:fldCharType="end"/>
            </w:r>
          </w:p>
        </w:tc>
        <w:tc>
          <w:tcPr>
            <w:tcW w:w="1701" w:type="dxa"/>
            <w:noWrap w:val="0"/>
            <w:tcMar>
              <w:left w:w="28" w:type="dxa"/>
              <w:right w:w="28" w:type="dxa"/>
            </w:tcMar>
            <w:vAlign w:val="center"/>
          </w:tcPr>
          <w:p w14:paraId="6573E1E1">
            <w:pPr>
              <w:bidi w:val="0"/>
              <w:jc w:val="center"/>
              <w:rPr>
                <w:rFonts w:hint="eastAsia"/>
                <w:b/>
                <w:bCs/>
                <w:color w:val="auto"/>
              </w:rPr>
            </w:pPr>
            <w:r>
              <w:rPr>
                <w:b/>
                <w:bCs/>
                <w:color w:val="auto"/>
              </w:rPr>
              <w:t>在建工程</w:t>
            </w:r>
          </w:p>
          <w:p w14:paraId="77BB7942">
            <w:pPr>
              <w:bidi w:val="0"/>
              <w:jc w:val="center"/>
              <w:rPr>
                <w:b/>
                <w:bCs/>
                <w:color w:val="auto"/>
              </w:rPr>
            </w:pPr>
            <w:r>
              <w:rPr>
                <w:b/>
                <w:bCs/>
                <w:color w:val="auto"/>
              </w:rPr>
              <w:t>排放量（固</w:t>
            </w:r>
            <w:r>
              <w:rPr>
                <w:rFonts w:hint="eastAsia"/>
                <w:b/>
                <w:bCs/>
                <w:color w:val="auto"/>
              </w:rPr>
              <w:t>体</w:t>
            </w:r>
            <w:r>
              <w:rPr>
                <w:b/>
                <w:bCs/>
                <w:color w:val="auto"/>
              </w:rPr>
              <w:t>废</w:t>
            </w:r>
            <w:r>
              <w:rPr>
                <w:rFonts w:hint="eastAsia"/>
                <w:b/>
                <w:bCs/>
                <w:color w:val="auto"/>
              </w:rPr>
              <w:t>物</w:t>
            </w:r>
            <w:r>
              <w:rPr>
                <w:b/>
                <w:bCs/>
                <w:color w:val="auto"/>
              </w:rPr>
              <w:t>产生量）</w:t>
            </w:r>
            <w:r>
              <w:rPr>
                <w:b/>
                <w:bCs/>
                <w:color w:val="auto"/>
              </w:rPr>
              <w:fldChar w:fldCharType="begin"/>
            </w:r>
            <w:r>
              <w:rPr>
                <w:b/>
                <w:bCs/>
                <w:color w:val="auto"/>
              </w:rPr>
              <w:instrText xml:space="preserve"> = 3 \* GB3 \* MERGEFORMAT </w:instrText>
            </w:r>
            <w:r>
              <w:rPr>
                <w:b/>
                <w:bCs/>
                <w:color w:val="auto"/>
              </w:rPr>
              <w:fldChar w:fldCharType="separate"/>
            </w:r>
            <w:r>
              <w:rPr>
                <w:rFonts w:hint="eastAsia"/>
                <w:b/>
                <w:bCs/>
                <w:color w:val="auto"/>
              </w:rPr>
              <w:t>③</w:t>
            </w:r>
            <w:r>
              <w:rPr>
                <w:b/>
                <w:bCs/>
                <w:color w:val="auto"/>
              </w:rPr>
              <w:fldChar w:fldCharType="end"/>
            </w:r>
          </w:p>
        </w:tc>
        <w:tc>
          <w:tcPr>
            <w:tcW w:w="1559" w:type="dxa"/>
            <w:noWrap w:val="0"/>
            <w:tcMar>
              <w:left w:w="28" w:type="dxa"/>
              <w:right w:w="28" w:type="dxa"/>
            </w:tcMar>
            <w:vAlign w:val="center"/>
          </w:tcPr>
          <w:p w14:paraId="0B242F04">
            <w:pPr>
              <w:bidi w:val="0"/>
              <w:jc w:val="center"/>
              <w:rPr>
                <w:rFonts w:hint="eastAsia"/>
                <w:b/>
                <w:bCs/>
                <w:color w:val="auto"/>
              </w:rPr>
            </w:pPr>
            <w:r>
              <w:rPr>
                <w:b/>
                <w:bCs/>
                <w:color w:val="auto"/>
              </w:rPr>
              <w:t>本项目</w:t>
            </w:r>
          </w:p>
          <w:p w14:paraId="2155B81C">
            <w:pPr>
              <w:bidi w:val="0"/>
              <w:jc w:val="center"/>
              <w:rPr>
                <w:b/>
                <w:bCs/>
                <w:color w:val="auto"/>
              </w:rPr>
            </w:pPr>
            <w:r>
              <w:rPr>
                <w:b/>
                <w:bCs/>
                <w:color w:val="auto"/>
              </w:rPr>
              <w:t>排放量（固</w:t>
            </w:r>
            <w:r>
              <w:rPr>
                <w:rFonts w:hint="eastAsia"/>
                <w:b/>
                <w:bCs/>
                <w:color w:val="auto"/>
              </w:rPr>
              <w:t>体</w:t>
            </w:r>
            <w:r>
              <w:rPr>
                <w:b/>
                <w:bCs/>
                <w:color w:val="auto"/>
              </w:rPr>
              <w:t>废</w:t>
            </w:r>
            <w:r>
              <w:rPr>
                <w:rFonts w:hint="eastAsia"/>
                <w:b/>
                <w:bCs/>
                <w:color w:val="auto"/>
              </w:rPr>
              <w:t>物</w:t>
            </w:r>
            <w:r>
              <w:rPr>
                <w:b/>
                <w:bCs/>
                <w:color w:val="auto"/>
              </w:rPr>
              <w:t>产生量）</w:t>
            </w:r>
            <w:r>
              <w:rPr>
                <w:b/>
                <w:bCs/>
                <w:color w:val="auto"/>
              </w:rPr>
              <w:fldChar w:fldCharType="begin"/>
            </w:r>
            <w:r>
              <w:rPr>
                <w:b/>
                <w:bCs/>
                <w:color w:val="auto"/>
              </w:rPr>
              <w:instrText xml:space="preserve"> = 4 \* GB3 \* MERGEFORMAT </w:instrText>
            </w:r>
            <w:r>
              <w:rPr>
                <w:b/>
                <w:bCs/>
                <w:color w:val="auto"/>
              </w:rPr>
              <w:fldChar w:fldCharType="separate"/>
            </w:r>
            <w:r>
              <w:rPr>
                <w:rFonts w:hint="eastAsia"/>
                <w:b/>
                <w:bCs/>
                <w:color w:val="auto"/>
              </w:rPr>
              <w:t>④</w:t>
            </w:r>
            <w:r>
              <w:rPr>
                <w:b/>
                <w:bCs/>
                <w:color w:val="auto"/>
              </w:rPr>
              <w:fldChar w:fldCharType="end"/>
            </w:r>
          </w:p>
        </w:tc>
        <w:tc>
          <w:tcPr>
            <w:tcW w:w="1567" w:type="dxa"/>
            <w:noWrap w:val="0"/>
            <w:tcMar>
              <w:left w:w="28" w:type="dxa"/>
              <w:right w:w="28" w:type="dxa"/>
            </w:tcMar>
            <w:vAlign w:val="center"/>
          </w:tcPr>
          <w:p w14:paraId="0D3432CF">
            <w:pPr>
              <w:bidi w:val="0"/>
              <w:jc w:val="center"/>
              <w:rPr>
                <w:rFonts w:hint="eastAsia"/>
                <w:b/>
                <w:bCs/>
                <w:color w:val="auto"/>
              </w:rPr>
            </w:pPr>
            <w:r>
              <w:rPr>
                <w:b/>
                <w:bCs/>
                <w:color w:val="auto"/>
              </w:rPr>
              <w:t>以新带老削减量</w:t>
            </w:r>
          </w:p>
          <w:p w14:paraId="52137091">
            <w:pPr>
              <w:bidi w:val="0"/>
              <w:jc w:val="center"/>
              <w:rPr>
                <w:b/>
                <w:bCs/>
                <w:color w:val="auto"/>
              </w:rPr>
            </w:pPr>
            <w:r>
              <w:rPr>
                <w:b/>
                <w:bCs/>
                <w:color w:val="auto"/>
              </w:rPr>
              <w:t>（新建项目不填）</w:t>
            </w:r>
            <w:r>
              <w:rPr>
                <w:b/>
                <w:bCs/>
                <w:color w:val="auto"/>
              </w:rPr>
              <w:fldChar w:fldCharType="begin"/>
            </w:r>
            <w:r>
              <w:rPr>
                <w:b/>
                <w:bCs/>
                <w:color w:val="auto"/>
              </w:rPr>
              <w:instrText xml:space="preserve"> = 5 \* GB3 \* MERGEFORMAT </w:instrText>
            </w:r>
            <w:r>
              <w:rPr>
                <w:b/>
                <w:bCs/>
                <w:color w:val="auto"/>
              </w:rPr>
              <w:fldChar w:fldCharType="separate"/>
            </w:r>
            <w:r>
              <w:rPr>
                <w:rFonts w:hint="eastAsia"/>
                <w:b/>
                <w:bCs/>
                <w:color w:val="auto"/>
              </w:rPr>
              <w:t>⑤</w:t>
            </w:r>
            <w:r>
              <w:rPr>
                <w:b/>
                <w:bCs/>
                <w:color w:val="auto"/>
              </w:rPr>
              <w:fldChar w:fldCharType="end"/>
            </w:r>
          </w:p>
        </w:tc>
        <w:tc>
          <w:tcPr>
            <w:tcW w:w="1785" w:type="dxa"/>
            <w:noWrap w:val="0"/>
            <w:tcMar>
              <w:left w:w="28" w:type="dxa"/>
              <w:right w:w="28" w:type="dxa"/>
            </w:tcMar>
            <w:vAlign w:val="center"/>
          </w:tcPr>
          <w:p w14:paraId="5698BB8E">
            <w:pPr>
              <w:bidi w:val="0"/>
              <w:jc w:val="center"/>
              <w:rPr>
                <w:rFonts w:hint="eastAsia"/>
                <w:b/>
                <w:bCs/>
                <w:color w:val="auto"/>
              </w:rPr>
            </w:pPr>
            <w:r>
              <w:rPr>
                <w:b/>
                <w:bCs/>
                <w:color w:val="auto"/>
              </w:rPr>
              <w:t>本项目建成后</w:t>
            </w:r>
          </w:p>
          <w:p w14:paraId="0B4F0FD1">
            <w:pPr>
              <w:bidi w:val="0"/>
              <w:jc w:val="center"/>
              <w:rPr>
                <w:b/>
                <w:bCs/>
                <w:color w:val="auto"/>
              </w:rPr>
            </w:pPr>
            <w:r>
              <w:rPr>
                <w:rFonts w:hint="eastAsia"/>
                <w:b/>
                <w:bCs/>
                <w:color w:val="auto"/>
              </w:rPr>
              <w:t>全厂</w:t>
            </w:r>
            <w:r>
              <w:rPr>
                <w:b/>
                <w:bCs/>
                <w:color w:val="auto"/>
              </w:rPr>
              <w:t>排放量（固</w:t>
            </w:r>
            <w:r>
              <w:rPr>
                <w:rFonts w:hint="eastAsia"/>
                <w:b/>
                <w:bCs/>
                <w:color w:val="auto"/>
              </w:rPr>
              <w:t>体</w:t>
            </w:r>
            <w:r>
              <w:rPr>
                <w:b/>
                <w:bCs/>
                <w:color w:val="auto"/>
              </w:rPr>
              <w:t>废</w:t>
            </w:r>
            <w:r>
              <w:rPr>
                <w:rFonts w:hint="eastAsia"/>
                <w:b/>
                <w:bCs/>
                <w:color w:val="auto"/>
              </w:rPr>
              <w:t>物</w:t>
            </w:r>
            <w:r>
              <w:rPr>
                <w:b/>
                <w:bCs/>
                <w:color w:val="auto"/>
              </w:rPr>
              <w:t>产生量）</w:t>
            </w:r>
            <w:r>
              <w:rPr>
                <w:b/>
                <w:bCs/>
                <w:color w:val="auto"/>
              </w:rPr>
              <w:fldChar w:fldCharType="begin"/>
            </w:r>
            <w:r>
              <w:rPr>
                <w:b/>
                <w:bCs/>
                <w:color w:val="auto"/>
              </w:rPr>
              <w:instrText xml:space="preserve"> = 6 \* GB3 \* MERGEFORMAT </w:instrText>
            </w:r>
            <w:r>
              <w:rPr>
                <w:b/>
                <w:bCs/>
                <w:color w:val="auto"/>
              </w:rPr>
              <w:fldChar w:fldCharType="separate"/>
            </w:r>
            <w:r>
              <w:rPr>
                <w:rFonts w:hint="eastAsia"/>
                <w:b/>
                <w:bCs/>
                <w:color w:val="auto"/>
              </w:rPr>
              <w:t>⑥</w:t>
            </w:r>
            <w:r>
              <w:rPr>
                <w:b/>
                <w:bCs/>
                <w:color w:val="auto"/>
              </w:rPr>
              <w:fldChar w:fldCharType="end"/>
            </w:r>
          </w:p>
        </w:tc>
        <w:tc>
          <w:tcPr>
            <w:tcW w:w="1194" w:type="dxa"/>
            <w:noWrap w:val="0"/>
            <w:tcMar>
              <w:left w:w="28" w:type="dxa"/>
              <w:right w:w="28" w:type="dxa"/>
            </w:tcMar>
            <w:vAlign w:val="center"/>
          </w:tcPr>
          <w:p w14:paraId="391D7BE4">
            <w:pPr>
              <w:bidi w:val="0"/>
              <w:jc w:val="center"/>
              <w:rPr>
                <w:b/>
                <w:bCs/>
                <w:color w:val="auto"/>
              </w:rPr>
            </w:pPr>
            <w:r>
              <w:rPr>
                <w:b/>
                <w:bCs/>
                <w:color w:val="auto"/>
              </w:rPr>
              <w:t>变化量</w:t>
            </w:r>
          </w:p>
          <w:p w14:paraId="3E299118">
            <w:pPr>
              <w:bidi w:val="0"/>
              <w:jc w:val="center"/>
              <w:rPr>
                <w:b/>
                <w:bCs/>
                <w:color w:val="auto"/>
              </w:rPr>
            </w:pPr>
            <w:r>
              <w:rPr>
                <w:b/>
                <w:bCs/>
                <w:color w:val="auto"/>
              </w:rPr>
              <w:fldChar w:fldCharType="begin"/>
            </w:r>
            <w:r>
              <w:rPr>
                <w:b/>
                <w:bCs/>
                <w:color w:val="auto"/>
              </w:rPr>
              <w:instrText xml:space="preserve"> = 7 \* GB3 \* MERGEFORMAT </w:instrText>
            </w:r>
            <w:r>
              <w:rPr>
                <w:b/>
                <w:bCs/>
                <w:color w:val="auto"/>
              </w:rPr>
              <w:fldChar w:fldCharType="separate"/>
            </w:r>
            <w:r>
              <w:rPr>
                <w:rFonts w:hint="eastAsia"/>
                <w:b/>
                <w:bCs/>
                <w:color w:val="auto"/>
              </w:rPr>
              <w:t>⑦</w:t>
            </w:r>
            <w:r>
              <w:rPr>
                <w:b/>
                <w:bCs/>
                <w:color w:val="auto"/>
              </w:rPr>
              <w:fldChar w:fldCharType="end"/>
            </w:r>
          </w:p>
        </w:tc>
      </w:tr>
      <w:tr w14:paraId="69A30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2DB62433">
            <w:pPr>
              <w:pStyle w:val="48"/>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废气</w:t>
            </w:r>
          </w:p>
        </w:tc>
        <w:tc>
          <w:tcPr>
            <w:tcW w:w="1417" w:type="dxa"/>
            <w:noWrap w:val="0"/>
            <w:vAlign w:val="center"/>
          </w:tcPr>
          <w:p w14:paraId="6C2C19B7">
            <w:pPr>
              <w:pStyle w:val="48"/>
              <w:spacing w:beforeLines="0" w:afterLines="0" w:line="240" w:lineRule="auto"/>
              <w:rPr>
                <w:rFonts w:hint="eastAsia" w:ascii="宋体" w:hAnsi="宋体" w:eastAsia="宋体" w:cs="宋体"/>
                <w:snapToGrid w:val="0"/>
                <w:color w:val="auto"/>
                <w:kern w:val="21"/>
                <w:sz w:val="21"/>
                <w:szCs w:val="21"/>
                <w:lang w:val="en-US" w:eastAsia="zh-CN" w:bidi="ar-SA"/>
              </w:rPr>
            </w:pPr>
            <w:r>
              <w:rPr>
                <w:rFonts w:hint="eastAsia" w:hAnsi="宋体" w:cs="宋体"/>
                <w:snapToGrid w:val="0"/>
                <w:color w:val="auto"/>
                <w:kern w:val="21"/>
                <w:szCs w:val="21"/>
                <w:lang w:val="en-US" w:eastAsia="zh-CN"/>
              </w:rPr>
              <w:t>颗粒物</w:t>
            </w:r>
          </w:p>
        </w:tc>
        <w:tc>
          <w:tcPr>
            <w:tcW w:w="1701" w:type="dxa"/>
            <w:noWrap w:val="0"/>
            <w:vAlign w:val="center"/>
          </w:tcPr>
          <w:p w14:paraId="384C38A4">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382B05F1">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4A516195">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35B1F63D">
            <w:pPr>
              <w:pStyle w:val="48"/>
              <w:spacing w:beforeLines="0" w:afterLines="0" w:line="240" w:lineRule="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6.7947t/a</w:t>
            </w:r>
          </w:p>
        </w:tc>
        <w:tc>
          <w:tcPr>
            <w:tcW w:w="1567" w:type="dxa"/>
            <w:noWrap w:val="0"/>
            <w:vAlign w:val="center"/>
          </w:tcPr>
          <w:p w14:paraId="7A9E62DD">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w:t>
            </w:r>
          </w:p>
        </w:tc>
        <w:tc>
          <w:tcPr>
            <w:tcW w:w="1785" w:type="dxa"/>
            <w:noWrap w:val="0"/>
            <w:vAlign w:val="center"/>
          </w:tcPr>
          <w:p w14:paraId="140B927E">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6.7947t/a</w:t>
            </w:r>
          </w:p>
        </w:tc>
        <w:tc>
          <w:tcPr>
            <w:tcW w:w="1194" w:type="dxa"/>
            <w:noWrap w:val="0"/>
            <w:vAlign w:val="center"/>
          </w:tcPr>
          <w:p w14:paraId="028BE535">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w:t>
            </w:r>
            <w:r>
              <w:rPr>
                <w:rFonts w:hint="default" w:ascii="Times New Roman" w:hAnsi="Times New Roman" w:cs="Times New Roman"/>
                <w:snapToGrid w:val="0"/>
                <w:color w:val="auto"/>
                <w:kern w:val="21"/>
                <w:szCs w:val="21"/>
                <w:lang w:val="en-US" w:eastAsia="zh-CN"/>
              </w:rPr>
              <w:t>6.7947t/a</w:t>
            </w:r>
          </w:p>
        </w:tc>
      </w:tr>
      <w:tr w14:paraId="6B875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1E26556">
            <w:pPr>
              <w:pStyle w:val="48"/>
              <w:spacing w:beforeLines="0" w:afterLines="0" w:line="240" w:lineRule="auto"/>
              <w:rPr>
                <w:rFonts w:hint="eastAsia" w:hAnsi="宋体" w:cs="宋体"/>
                <w:snapToGrid w:val="0"/>
                <w:color w:val="auto"/>
                <w:kern w:val="21"/>
                <w:szCs w:val="21"/>
              </w:rPr>
            </w:pPr>
          </w:p>
        </w:tc>
        <w:tc>
          <w:tcPr>
            <w:tcW w:w="1417" w:type="dxa"/>
            <w:noWrap w:val="0"/>
            <w:vAlign w:val="center"/>
          </w:tcPr>
          <w:p w14:paraId="5B8F322E">
            <w:pPr>
              <w:pStyle w:val="48"/>
              <w:spacing w:beforeLines="0" w:afterLines="0" w:line="240" w:lineRule="auto"/>
              <w:rPr>
                <w:rFonts w:hint="eastAsia" w:hAnsi="宋体" w:eastAsia="宋体" w:cs="宋体"/>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181998F5">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08ABDEC0">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4B534A6F">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6EF4302E">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567" w:type="dxa"/>
            <w:noWrap w:val="0"/>
            <w:vAlign w:val="center"/>
          </w:tcPr>
          <w:p w14:paraId="795F5F9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1148CDD6">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194" w:type="dxa"/>
            <w:noWrap w:val="0"/>
            <w:vAlign w:val="center"/>
          </w:tcPr>
          <w:p w14:paraId="384E08EC">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r>
      <w:tr w14:paraId="06725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31793A35">
            <w:pPr>
              <w:pStyle w:val="48"/>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废水</w:t>
            </w:r>
          </w:p>
        </w:tc>
        <w:tc>
          <w:tcPr>
            <w:tcW w:w="1417" w:type="dxa"/>
            <w:noWrap w:val="0"/>
            <w:vAlign w:val="center"/>
          </w:tcPr>
          <w:p w14:paraId="76429FEB">
            <w:pPr>
              <w:pStyle w:val="48"/>
              <w:spacing w:beforeLines="0" w:afterLines="0" w:line="240" w:lineRule="auto"/>
              <w:rPr>
                <w:rFonts w:hAnsi="宋体" w:cs="宋体"/>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1FABCD8B">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44DA2656">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3B37F223">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59F809F3">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67" w:type="dxa"/>
            <w:noWrap w:val="0"/>
            <w:vAlign w:val="center"/>
          </w:tcPr>
          <w:p w14:paraId="4373DEB9">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6320095F">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194" w:type="dxa"/>
            <w:noWrap w:val="0"/>
            <w:vAlign w:val="center"/>
          </w:tcPr>
          <w:p w14:paraId="7FAD4293">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r>
      <w:tr w14:paraId="15065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1254D407">
            <w:pPr>
              <w:pStyle w:val="48"/>
              <w:spacing w:beforeLines="0" w:afterLines="0" w:line="240" w:lineRule="auto"/>
              <w:rPr>
                <w:rFonts w:hint="eastAsia" w:hAnsi="宋体" w:cs="宋体"/>
                <w:snapToGrid w:val="0"/>
                <w:color w:val="auto"/>
                <w:kern w:val="21"/>
                <w:szCs w:val="21"/>
              </w:rPr>
            </w:pPr>
          </w:p>
        </w:tc>
        <w:tc>
          <w:tcPr>
            <w:tcW w:w="1417" w:type="dxa"/>
            <w:noWrap w:val="0"/>
            <w:vAlign w:val="center"/>
          </w:tcPr>
          <w:p w14:paraId="4DBADDA6">
            <w:pPr>
              <w:pStyle w:val="48"/>
              <w:spacing w:beforeLines="0" w:afterLines="0" w:line="240" w:lineRule="auto"/>
              <w:rPr>
                <w:rFonts w:hint="eastAsia" w:hAnsi="宋体" w:cs="宋体"/>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75036E7C">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6C158BCB">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02B8274D">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7DE1D4CA">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67" w:type="dxa"/>
            <w:noWrap w:val="0"/>
            <w:vAlign w:val="center"/>
          </w:tcPr>
          <w:p w14:paraId="139140E6">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6A01B892">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194" w:type="dxa"/>
            <w:noWrap w:val="0"/>
            <w:vAlign w:val="center"/>
          </w:tcPr>
          <w:p w14:paraId="0DCC1CF9">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r>
      <w:tr w14:paraId="1EAB9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78F43CA3">
            <w:pPr>
              <w:pStyle w:val="48"/>
              <w:spacing w:beforeLines="0" w:afterLines="0" w:line="240" w:lineRule="auto"/>
              <w:rPr>
                <w:rFonts w:hint="eastAsia" w:hAnsi="宋体" w:eastAsia="宋体" w:cs="宋体"/>
                <w:snapToGrid w:val="0"/>
                <w:color w:val="auto"/>
                <w:kern w:val="21"/>
                <w:szCs w:val="21"/>
                <w:lang w:val="en-US" w:eastAsia="zh-CN"/>
              </w:rPr>
            </w:pPr>
            <w:r>
              <w:rPr>
                <w:rFonts w:hint="eastAsia" w:hAnsi="宋体" w:cs="宋体"/>
                <w:snapToGrid w:val="0"/>
                <w:color w:val="auto"/>
                <w:kern w:val="21"/>
                <w:szCs w:val="21"/>
                <w:lang w:val="en-US" w:eastAsia="zh-CN"/>
              </w:rPr>
              <w:t>生活垃圾</w:t>
            </w:r>
          </w:p>
        </w:tc>
        <w:tc>
          <w:tcPr>
            <w:tcW w:w="1417" w:type="dxa"/>
            <w:noWrap w:val="0"/>
            <w:vAlign w:val="center"/>
          </w:tcPr>
          <w:p w14:paraId="0F1DE612">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eastAsia" w:hAnsi="宋体" w:cs="宋体"/>
                <w:snapToGrid w:val="0"/>
                <w:color w:val="auto"/>
                <w:kern w:val="21"/>
                <w:szCs w:val="21"/>
                <w:lang w:val="en-US" w:eastAsia="zh-CN"/>
              </w:rPr>
              <w:t>生活垃圾</w:t>
            </w:r>
          </w:p>
        </w:tc>
        <w:tc>
          <w:tcPr>
            <w:tcW w:w="1701" w:type="dxa"/>
            <w:noWrap w:val="0"/>
            <w:vAlign w:val="center"/>
          </w:tcPr>
          <w:p w14:paraId="051E59DB">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0999F35A">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274452E3">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6D3C4ABA">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eastAsia" w:ascii="Times New Roman" w:hAnsi="Times New Roman" w:cs="Times New Roman"/>
                <w:snapToGrid w:val="0"/>
                <w:color w:val="auto"/>
                <w:kern w:val="21"/>
                <w:szCs w:val="21"/>
                <w:lang w:val="en-US" w:eastAsia="zh-CN"/>
              </w:rPr>
              <w:t>3.3t/a</w:t>
            </w:r>
          </w:p>
        </w:tc>
        <w:tc>
          <w:tcPr>
            <w:tcW w:w="1567" w:type="dxa"/>
            <w:noWrap w:val="0"/>
            <w:vAlign w:val="center"/>
          </w:tcPr>
          <w:p w14:paraId="3D775A00">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1555174A">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eastAsia" w:ascii="Times New Roman" w:hAnsi="Times New Roman" w:cs="Times New Roman"/>
                <w:snapToGrid w:val="0"/>
                <w:color w:val="auto"/>
                <w:kern w:val="21"/>
                <w:szCs w:val="21"/>
                <w:lang w:val="en-US" w:eastAsia="zh-CN"/>
              </w:rPr>
              <w:t>3.3t/a</w:t>
            </w:r>
          </w:p>
        </w:tc>
        <w:tc>
          <w:tcPr>
            <w:tcW w:w="1194" w:type="dxa"/>
            <w:noWrap w:val="0"/>
            <w:vAlign w:val="center"/>
          </w:tcPr>
          <w:p w14:paraId="06838E85">
            <w:pPr>
              <w:pStyle w:val="48"/>
              <w:spacing w:beforeLines="0" w:afterLines="0" w:line="240" w:lineRule="auto"/>
              <w:rPr>
                <w:rFonts w:hint="default" w:ascii="Times New Roman" w:hAnsi="Times New Roman" w:cs="Times New Roman"/>
                <w:snapToGrid w:val="0"/>
                <w:color w:val="auto"/>
                <w:kern w:val="21"/>
                <w:szCs w:val="21"/>
                <w:lang w:val="en-US" w:eastAsia="zh-CN"/>
              </w:rPr>
            </w:pPr>
            <w:r>
              <w:rPr>
                <w:rFonts w:hint="eastAsia" w:ascii="Times New Roman" w:hAnsi="Times New Roman" w:cs="Times New Roman"/>
                <w:snapToGrid w:val="0"/>
                <w:color w:val="auto"/>
                <w:kern w:val="21"/>
                <w:szCs w:val="21"/>
                <w:lang w:val="en-US" w:eastAsia="zh-CN"/>
              </w:rPr>
              <w:t>+3.3t/a</w:t>
            </w:r>
          </w:p>
        </w:tc>
      </w:tr>
      <w:tr w14:paraId="05389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2A71C07">
            <w:pPr>
              <w:pStyle w:val="48"/>
              <w:spacing w:beforeLines="0" w:afterLines="0" w:line="240" w:lineRule="auto"/>
              <w:rPr>
                <w:rFonts w:hAnsi="宋体" w:cs="宋体"/>
                <w:snapToGrid w:val="0"/>
                <w:color w:val="auto"/>
                <w:kern w:val="21"/>
                <w:szCs w:val="21"/>
              </w:rPr>
            </w:pPr>
            <w:r>
              <w:rPr>
                <w:rFonts w:hint="eastAsia" w:hAnsi="宋体" w:cs="宋体"/>
                <w:snapToGrid w:val="0"/>
                <w:color w:val="auto"/>
                <w:kern w:val="21"/>
                <w:szCs w:val="21"/>
              </w:rPr>
              <w:t>一般工业</w:t>
            </w:r>
          </w:p>
          <w:p w14:paraId="7B70E6B1">
            <w:pPr>
              <w:pStyle w:val="48"/>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固体废物</w:t>
            </w:r>
          </w:p>
        </w:tc>
        <w:tc>
          <w:tcPr>
            <w:tcW w:w="1417" w:type="dxa"/>
            <w:noWrap w:val="0"/>
            <w:vAlign w:val="center"/>
          </w:tcPr>
          <w:p w14:paraId="0BBB6AEE">
            <w:pPr>
              <w:pStyle w:val="48"/>
              <w:spacing w:beforeLines="0" w:afterLines="0" w:line="240" w:lineRule="auto"/>
              <w:rPr>
                <w:rFonts w:hint="default" w:ascii="宋体" w:hAnsi="宋体" w:cs="宋体"/>
                <w:snapToGrid w:val="0"/>
                <w:color w:val="auto"/>
                <w:kern w:val="21"/>
                <w:sz w:val="21"/>
                <w:szCs w:val="21"/>
                <w:lang w:val="en-US" w:eastAsia="zh-CN" w:bidi="ar-SA"/>
              </w:rPr>
            </w:pPr>
            <w:r>
              <w:rPr>
                <w:rFonts w:hint="eastAsia" w:hAnsi="宋体" w:cs="宋体"/>
                <w:snapToGrid w:val="0"/>
                <w:color w:val="auto"/>
                <w:kern w:val="21"/>
                <w:szCs w:val="21"/>
                <w:lang w:val="en-US" w:eastAsia="zh-CN"/>
              </w:rPr>
              <w:t>粉尘</w:t>
            </w:r>
          </w:p>
        </w:tc>
        <w:tc>
          <w:tcPr>
            <w:tcW w:w="1701" w:type="dxa"/>
            <w:noWrap w:val="0"/>
            <w:vAlign w:val="center"/>
          </w:tcPr>
          <w:p w14:paraId="2E6CD87D">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7AFAFFBB">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72E25099">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6D2EA4DF">
            <w:pPr>
              <w:pStyle w:val="48"/>
              <w:spacing w:beforeLines="0" w:afterLines="0" w:line="240" w:lineRule="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4.526t/a</w:t>
            </w:r>
          </w:p>
        </w:tc>
        <w:tc>
          <w:tcPr>
            <w:tcW w:w="1567" w:type="dxa"/>
            <w:noWrap w:val="0"/>
            <w:vAlign w:val="center"/>
          </w:tcPr>
          <w:p w14:paraId="48DC6146">
            <w:pPr>
              <w:pStyle w:val="48"/>
              <w:spacing w:beforeLines="0" w:afterLines="0" w:line="240" w:lineRule="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w:t>
            </w:r>
          </w:p>
        </w:tc>
        <w:tc>
          <w:tcPr>
            <w:tcW w:w="1785" w:type="dxa"/>
            <w:noWrap w:val="0"/>
            <w:vAlign w:val="center"/>
          </w:tcPr>
          <w:p w14:paraId="13BDE752">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4.526t/a</w:t>
            </w:r>
          </w:p>
        </w:tc>
        <w:tc>
          <w:tcPr>
            <w:tcW w:w="1194" w:type="dxa"/>
            <w:noWrap w:val="0"/>
            <w:vAlign w:val="center"/>
          </w:tcPr>
          <w:p w14:paraId="5723BF3B">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+4.526t/a</w:t>
            </w:r>
          </w:p>
        </w:tc>
      </w:tr>
      <w:tr w14:paraId="04527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4E942975">
            <w:pPr>
              <w:pStyle w:val="48"/>
              <w:spacing w:beforeLines="0" w:afterLines="0" w:line="240" w:lineRule="auto"/>
              <w:rPr>
                <w:rFonts w:hint="eastAsia" w:hAnsi="宋体" w:cs="宋体"/>
                <w:snapToGrid w:val="0"/>
                <w:color w:val="auto"/>
                <w:kern w:val="21"/>
                <w:szCs w:val="21"/>
              </w:rPr>
            </w:pPr>
          </w:p>
        </w:tc>
        <w:tc>
          <w:tcPr>
            <w:tcW w:w="1417" w:type="dxa"/>
            <w:noWrap w:val="0"/>
            <w:vAlign w:val="center"/>
          </w:tcPr>
          <w:p w14:paraId="0128EBB8">
            <w:pPr>
              <w:pStyle w:val="48"/>
              <w:spacing w:beforeLines="0" w:afterLines="0" w:line="240" w:lineRule="auto"/>
              <w:rPr>
                <w:rFonts w:hint="default" w:ascii="宋体" w:hAnsi="宋体" w:cs="宋体"/>
                <w:snapToGrid w:val="0"/>
                <w:color w:val="auto"/>
                <w:kern w:val="21"/>
                <w:sz w:val="21"/>
                <w:szCs w:val="21"/>
                <w:lang w:val="en-US" w:eastAsia="zh-CN" w:bidi="ar-SA"/>
              </w:rPr>
            </w:pPr>
            <w:r>
              <w:rPr>
                <w:rFonts w:hint="eastAsia" w:hAnsi="宋体" w:cs="宋体"/>
                <w:snapToGrid w:val="0"/>
                <w:color w:val="auto"/>
                <w:kern w:val="21"/>
                <w:szCs w:val="21"/>
                <w:lang w:val="en-US" w:eastAsia="zh-CN"/>
              </w:rPr>
              <w:t>沉渣</w:t>
            </w:r>
          </w:p>
        </w:tc>
        <w:tc>
          <w:tcPr>
            <w:tcW w:w="1701" w:type="dxa"/>
            <w:noWrap w:val="0"/>
            <w:vAlign w:val="center"/>
          </w:tcPr>
          <w:p w14:paraId="4A4683AB">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44A7D385">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1C7BA1D3">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78862F64">
            <w:pPr>
              <w:pStyle w:val="48"/>
              <w:spacing w:beforeLines="0" w:afterLines="0" w:line="240" w:lineRule="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6t/a</w:t>
            </w:r>
          </w:p>
        </w:tc>
        <w:tc>
          <w:tcPr>
            <w:tcW w:w="1567" w:type="dxa"/>
            <w:noWrap w:val="0"/>
            <w:vAlign w:val="center"/>
          </w:tcPr>
          <w:p w14:paraId="3367724A">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w:t>
            </w:r>
          </w:p>
        </w:tc>
        <w:tc>
          <w:tcPr>
            <w:tcW w:w="1785" w:type="dxa"/>
            <w:noWrap w:val="0"/>
            <w:vAlign w:val="center"/>
          </w:tcPr>
          <w:p w14:paraId="3094A07D">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6t/a</w:t>
            </w:r>
          </w:p>
        </w:tc>
        <w:tc>
          <w:tcPr>
            <w:tcW w:w="1194" w:type="dxa"/>
            <w:noWrap w:val="0"/>
            <w:vAlign w:val="center"/>
          </w:tcPr>
          <w:p w14:paraId="604D297A">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+6t/a</w:t>
            </w:r>
          </w:p>
        </w:tc>
      </w:tr>
      <w:tr w14:paraId="2B1FB9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7C94D2F">
            <w:pPr>
              <w:pStyle w:val="48"/>
              <w:spacing w:beforeLines="0" w:afterLines="0" w:line="240" w:lineRule="auto"/>
              <w:rPr>
                <w:rFonts w:hint="eastAsia" w:hAnsi="宋体" w:cs="宋体"/>
                <w:snapToGrid w:val="0"/>
                <w:color w:val="auto"/>
                <w:kern w:val="21"/>
                <w:szCs w:val="21"/>
              </w:rPr>
            </w:pPr>
          </w:p>
        </w:tc>
        <w:tc>
          <w:tcPr>
            <w:tcW w:w="1417" w:type="dxa"/>
            <w:noWrap w:val="0"/>
            <w:vAlign w:val="center"/>
          </w:tcPr>
          <w:p w14:paraId="2539184E">
            <w:pPr>
              <w:pStyle w:val="48"/>
              <w:spacing w:beforeLines="0" w:afterLines="0" w:line="240" w:lineRule="auto"/>
              <w:rPr>
                <w:rFonts w:hint="default" w:ascii="宋体" w:hAnsi="宋体" w:eastAsia="宋体" w:cs="宋体"/>
                <w:snapToGrid w:val="0"/>
                <w:color w:val="auto"/>
                <w:kern w:val="21"/>
                <w:sz w:val="21"/>
                <w:szCs w:val="21"/>
                <w:lang w:val="en-US" w:eastAsia="zh-CN" w:bidi="ar-SA"/>
              </w:rPr>
            </w:pPr>
            <w:r>
              <w:rPr>
                <w:rFonts w:hint="eastAsia" w:hAnsi="宋体" w:cs="宋体"/>
                <w:snapToGrid w:val="0"/>
                <w:color w:val="auto"/>
                <w:kern w:val="21"/>
                <w:szCs w:val="21"/>
                <w:lang w:val="en-US" w:eastAsia="zh-CN"/>
              </w:rPr>
              <w:t>废砼</w:t>
            </w:r>
          </w:p>
        </w:tc>
        <w:tc>
          <w:tcPr>
            <w:tcW w:w="1701" w:type="dxa"/>
            <w:noWrap w:val="0"/>
            <w:vAlign w:val="center"/>
          </w:tcPr>
          <w:p w14:paraId="36D2B30F">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06067794">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7E398455">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3F9BFD1B">
            <w:pPr>
              <w:pStyle w:val="48"/>
              <w:spacing w:beforeLines="0" w:afterLines="0" w:line="240" w:lineRule="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0.8t/a</w:t>
            </w:r>
          </w:p>
        </w:tc>
        <w:tc>
          <w:tcPr>
            <w:tcW w:w="1567" w:type="dxa"/>
            <w:noWrap w:val="0"/>
            <w:vAlign w:val="center"/>
          </w:tcPr>
          <w:p w14:paraId="4AC5D583">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w:t>
            </w:r>
          </w:p>
        </w:tc>
        <w:tc>
          <w:tcPr>
            <w:tcW w:w="1785" w:type="dxa"/>
            <w:noWrap w:val="0"/>
            <w:vAlign w:val="center"/>
          </w:tcPr>
          <w:p w14:paraId="180BA6E0">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0.8t/a</w:t>
            </w:r>
          </w:p>
        </w:tc>
        <w:tc>
          <w:tcPr>
            <w:tcW w:w="1194" w:type="dxa"/>
            <w:noWrap w:val="0"/>
            <w:vAlign w:val="center"/>
          </w:tcPr>
          <w:p w14:paraId="4A787878">
            <w:pPr>
              <w:pStyle w:val="48"/>
              <w:spacing w:beforeLines="0" w:afterLines="0" w:line="240" w:lineRule="auto"/>
              <w:rPr>
                <w:rFonts w:hint="default" w:ascii="Times New Roman" w:hAnsi="Times New Roman" w:cs="Times New Roman"/>
                <w:snapToGrid w:val="0"/>
                <w:color w:val="auto"/>
                <w:kern w:val="21"/>
                <w:sz w:val="21"/>
                <w:szCs w:val="21"/>
                <w:lang w:val="en-US" w:eastAsia="zh-CN" w:bidi="ar-SA"/>
              </w:rPr>
            </w:pPr>
            <w:r>
              <w:rPr>
                <w:rFonts w:hint="eastAsia" w:ascii="Times New Roman" w:hAnsi="Times New Roman" w:cs="Times New Roman"/>
                <w:snapToGrid w:val="0"/>
                <w:color w:val="auto"/>
                <w:kern w:val="21"/>
                <w:szCs w:val="21"/>
                <w:lang w:val="en-US" w:eastAsia="zh-CN"/>
              </w:rPr>
              <w:t>+0.8t/a</w:t>
            </w:r>
          </w:p>
        </w:tc>
      </w:tr>
      <w:tr w14:paraId="7DDDB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481781C0">
            <w:pPr>
              <w:pStyle w:val="48"/>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危险废物</w:t>
            </w:r>
          </w:p>
        </w:tc>
        <w:tc>
          <w:tcPr>
            <w:tcW w:w="1417" w:type="dxa"/>
            <w:noWrap w:val="0"/>
            <w:vAlign w:val="center"/>
          </w:tcPr>
          <w:p w14:paraId="7F759A13">
            <w:pPr>
              <w:pStyle w:val="48"/>
              <w:spacing w:beforeLines="0" w:afterLines="0" w:line="240" w:lineRule="auto"/>
              <w:rPr>
                <w:rFonts w:hint="eastAsia" w:hAnsi="宋体" w:cs="宋体"/>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748FBD59">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168E3A47">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0A1ED094">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5C9CBB87">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67" w:type="dxa"/>
            <w:noWrap w:val="0"/>
            <w:vAlign w:val="center"/>
          </w:tcPr>
          <w:p w14:paraId="7D80815B">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4E38EA7E">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194" w:type="dxa"/>
            <w:noWrap w:val="0"/>
            <w:vAlign w:val="center"/>
          </w:tcPr>
          <w:p w14:paraId="57A71D58">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r>
      <w:tr w14:paraId="5DF99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1C77D1EF">
            <w:pPr>
              <w:pStyle w:val="48"/>
              <w:spacing w:beforeLines="0" w:afterLines="0" w:line="240" w:lineRule="auto"/>
              <w:rPr>
                <w:rFonts w:hAnsi="宋体" w:cs="宋体"/>
                <w:snapToGrid w:val="0"/>
                <w:color w:val="auto"/>
                <w:kern w:val="21"/>
                <w:szCs w:val="21"/>
              </w:rPr>
            </w:pPr>
          </w:p>
        </w:tc>
        <w:tc>
          <w:tcPr>
            <w:tcW w:w="1417" w:type="dxa"/>
            <w:noWrap w:val="0"/>
            <w:vAlign w:val="center"/>
          </w:tcPr>
          <w:p w14:paraId="5B857377">
            <w:pPr>
              <w:pStyle w:val="48"/>
              <w:spacing w:beforeLines="0" w:afterLines="0" w:line="240" w:lineRule="auto"/>
              <w:rPr>
                <w:rFonts w:hint="eastAsia" w:hAnsi="宋体" w:cs="宋体"/>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392580FE">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276" w:type="dxa"/>
            <w:noWrap w:val="0"/>
            <w:vAlign w:val="center"/>
          </w:tcPr>
          <w:p w14:paraId="77A931F1">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01" w:type="dxa"/>
            <w:noWrap w:val="0"/>
            <w:vAlign w:val="center"/>
          </w:tcPr>
          <w:p w14:paraId="3D0BA618">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59" w:type="dxa"/>
            <w:noWrap w:val="0"/>
            <w:vAlign w:val="center"/>
          </w:tcPr>
          <w:p w14:paraId="5B8782D2">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567" w:type="dxa"/>
            <w:noWrap w:val="0"/>
            <w:vAlign w:val="center"/>
          </w:tcPr>
          <w:p w14:paraId="5F0E44AE">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785" w:type="dxa"/>
            <w:noWrap w:val="0"/>
            <w:vAlign w:val="center"/>
          </w:tcPr>
          <w:p w14:paraId="551A2D3A">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c>
          <w:tcPr>
            <w:tcW w:w="1194" w:type="dxa"/>
            <w:noWrap w:val="0"/>
            <w:vAlign w:val="center"/>
          </w:tcPr>
          <w:p w14:paraId="64DDDBFD">
            <w:pPr>
              <w:pStyle w:val="48"/>
              <w:spacing w:beforeLines="0" w:afterLines="0" w:line="240" w:lineRule="auto"/>
              <w:rPr>
                <w:rFonts w:hint="default" w:ascii="Times New Roman" w:hAnsi="Times New Roman" w:cs="Times New Roman"/>
                <w:snapToGrid w:val="0"/>
                <w:color w:val="auto"/>
                <w:kern w:val="21"/>
                <w:szCs w:val="21"/>
              </w:rPr>
            </w:pPr>
            <w:r>
              <w:rPr>
                <w:rFonts w:hint="default" w:ascii="Times New Roman" w:hAnsi="Times New Roman" w:cs="Times New Roman"/>
                <w:snapToGrid w:val="0"/>
                <w:color w:val="auto"/>
                <w:kern w:val="21"/>
                <w:szCs w:val="21"/>
                <w:lang w:val="en-US" w:eastAsia="zh-CN"/>
              </w:rPr>
              <w:t>/</w:t>
            </w:r>
          </w:p>
        </w:tc>
      </w:tr>
    </w:tbl>
    <w:p w14:paraId="0FC19E5C">
      <w:pPr>
        <w:pStyle w:val="48"/>
        <w:spacing w:before="192" w:beforeLines="80" w:after="24"/>
        <w:jc w:val="left"/>
        <w:rPr>
          <w:rFonts w:hint="eastAsia"/>
          <w:color w:val="auto"/>
          <w:lang w:eastAsia="zh-CN"/>
        </w:r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sectPr>
      <w:footerReference r:id="rId5"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CD2E74-57BF-4578-A2E5-2081950BC305}"/>
  </w:font>
  <w:font w:name="黑体">
    <w:panose1 w:val="02010609060101010101"/>
    <w:charset w:val="86"/>
    <w:family w:val="auto"/>
    <w:pitch w:val="default"/>
    <w:sig w:usb0="800002BF" w:usb1="38CF7CFA" w:usb2="00000016" w:usb3="00000000" w:csb0="00040001" w:csb1="00000000"/>
    <w:embedRegular r:id="rId2" w:fontKey="{D610F657-B6FD-4021-9B66-975C14512B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3" w:fontKey="{DA63513F-2754-45C3-83C2-05EBD3E5A308}"/>
  </w:font>
  <w:font w:name="仿宋">
    <w:panose1 w:val="02010609060101010101"/>
    <w:charset w:val="86"/>
    <w:family w:val="modern"/>
    <w:pitch w:val="default"/>
    <w:sig w:usb0="800002BF" w:usb1="38CF7CFA" w:usb2="00000016" w:usb3="00000000" w:csb0="00040001" w:csb1="00000000"/>
    <w:embedRegular r:id="rId4" w:fontKey="{91A1517A-1A18-4C1B-9604-55F02392EE17}"/>
  </w:font>
  <w:font w:name="方正小标宋_GBK">
    <w:altName w:val="微软雅黑"/>
    <w:panose1 w:val="03000509000000000000"/>
    <w:charset w:val="86"/>
    <w:family w:val="script"/>
    <w:pitch w:val="default"/>
    <w:sig w:usb0="00000000" w:usb1="00000000" w:usb2="00000010" w:usb3="00000000" w:csb0="00040000" w:csb1="00000000"/>
    <w:embedRegular r:id="rId5" w:fontKey="{210D87CE-5804-40A7-81AD-7155C7ED460D}"/>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embedRegular r:id="rId6" w:fontKey="{985F2183-0307-4877-A6DE-A3F453D70FC4}"/>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embedRegular r:id="rId7" w:fontKey="{87EDF871-BF61-4150-8CD0-929A583493D9}"/>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DBC72">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6129E">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4B75D3">
                          <w:pPr>
                            <w:pStyle w:val="19"/>
                          </w:pPr>
                          <w:r>
                            <w:rPr>
                              <w:sz w:val="21"/>
                              <w:szCs w:val="22"/>
                            </w:rPr>
                            <w:fldChar w:fldCharType="begin"/>
                          </w:r>
                          <w:r>
                            <w:rPr>
                              <w:sz w:val="21"/>
                              <w:szCs w:val="22"/>
                            </w:rPr>
                            <w:instrText xml:space="preserve"> PAGE  \* MERGEFORMAT </w:instrText>
                          </w:r>
                          <w:r>
                            <w:rPr>
                              <w:sz w:val="21"/>
                              <w:szCs w:val="22"/>
                            </w:rPr>
                            <w:fldChar w:fldCharType="separate"/>
                          </w:r>
                          <w:r>
                            <w:rPr>
                              <w:sz w:val="21"/>
                              <w:szCs w:val="22"/>
                            </w:rPr>
                            <w:t>4</w:t>
                          </w:r>
                          <w:r>
                            <w:rPr>
                              <w:sz w:val="21"/>
                              <w:szCs w:val="22"/>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oWOxeIBAADCAwAADgAA&#10;AAAAAAABACAAAAAeAQAAZHJzL2Uyb0RvYy54bWxQSwUGAAAAAAYABgBZAQAAcgUAAAAA&#10;">
              <v:fill on="f" focussize="0,0"/>
              <v:stroke on="f"/>
              <v:imagedata o:title=""/>
              <o:lock v:ext="edit" aspectratio="f"/>
              <v:textbox inset="0mm,0mm,0mm,0mm" style="mso-fit-shape-to-text:t;">
                <w:txbxContent>
                  <w:p w14:paraId="6E4B75D3">
                    <w:pPr>
                      <w:pStyle w:val="19"/>
                    </w:pPr>
                    <w:r>
                      <w:rPr>
                        <w:sz w:val="21"/>
                        <w:szCs w:val="22"/>
                      </w:rPr>
                      <w:fldChar w:fldCharType="begin"/>
                    </w:r>
                    <w:r>
                      <w:rPr>
                        <w:sz w:val="21"/>
                        <w:szCs w:val="22"/>
                      </w:rPr>
                      <w:instrText xml:space="preserve"> PAGE  \* MERGEFORMAT </w:instrText>
                    </w:r>
                    <w:r>
                      <w:rPr>
                        <w:sz w:val="21"/>
                        <w:szCs w:val="22"/>
                      </w:rPr>
                      <w:fldChar w:fldCharType="separate"/>
                    </w:r>
                    <w:r>
                      <w:rPr>
                        <w:sz w:val="21"/>
                        <w:szCs w:val="22"/>
                      </w:rPr>
                      <w:t>4</w:t>
                    </w:r>
                    <w:r>
                      <w:rPr>
                        <w:sz w:val="21"/>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D360A">
    <w:pPr>
      <w:pStyle w:val="1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A4D6D3">
                          <w:pPr>
                            <w:pStyle w:val="19"/>
                          </w:pPr>
                          <w:r>
                            <w:fldChar w:fldCharType="begin"/>
                          </w:r>
                          <w:r>
                            <w:instrText xml:space="preserve"> PAGE  \* MERGEFORMAT </w:instrText>
                          </w:r>
                          <w:r>
                            <w:fldChar w:fldCharType="separate"/>
                          </w:r>
                          <w:r>
                            <w:t>10</w:t>
                          </w:r>
                          <w:r>
                            <w:fldChar w:fldCharType="end"/>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M4E7c4QEAAMIDAAAOAAAA&#10;AAAAAAEAIAAAAB4BAABkcnMvZTJvRG9jLnhtbFBLBQYAAAAABgAGAFkBAABxBQAAAAA=&#10;">
              <v:fill on="f" focussize="0,0"/>
              <v:stroke on="f"/>
              <v:imagedata o:title=""/>
              <o:lock v:ext="edit" aspectratio="f"/>
              <v:textbox inset="0mm,0mm,0mm,0mm" style="mso-fit-shape-to-text:t;">
                <w:txbxContent>
                  <w:p w14:paraId="77A4D6D3">
                    <w:pPr>
                      <w:pStyle w:val="1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xNWQ4NGJlNzE0ODAwOWMxMDUyNGI5Zjk4ZTUyZTk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1ADF"/>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641FB"/>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2690"/>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86E"/>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20B4D"/>
    <w:rsid w:val="00D308ED"/>
    <w:rsid w:val="00D36D86"/>
    <w:rsid w:val="00D428AA"/>
    <w:rsid w:val="00D50A34"/>
    <w:rsid w:val="00D53EFA"/>
    <w:rsid w:val="00D94A7C"/>
    <w:rsid w:val="00D95896"/>
    <w:rsid w:val="00DB2983"/>
    <w:rsid w:val="00DC1257"/>
    <w:rsid w:val="00DC3DC0"/>
    <w:rsid w:val="00DC5B2B"/>
    <w:rsid w:val="00DC64F4"/>
    <w:rsid w:val="00DD318D"/>
    <w:rsid w:val="00DF2E12"/>
    <w:rsid w:val="00DF514A"/>
    <w:rsid w:val="00DF6690"/>
    <w:rsid w:val="00DF6804"/>
    <w:rsid w:val="00E0358D"/>
    <w:rsid w:val="00E04323"/>
    <w:rsid w:val="00E070A2"/>
    <w:rsid w:val="00E2656A"/>
    <w:rsid w:val="00E32D5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827C0"/>
    <w:rsid w:val="01170C55"/>
    <w:rsid w:val="01290F7E"/>
    <w:rsid w:val="012B734C"/>
    <w:rsid w:val="012F1A4A"/>
    <w:rsid w:val="01303AC5"/>
    <w:rsid w:val="015D1E09"/>
    <w:rsid w:val="0184283E"/>
    <w:rsid w:val="019B3634"/>
    <w:rsid w:val="01AE6E8C"/>
    <w:rsid w:val="01D373F9"/>
    <w:rsid w:val="01F21968"/>
    <w:rsid w:val="02142E5C"/>
    <w:rsid w:val="02165C47"/>
    <w:rsid w:val="022655F4"/>
    <w:rsid w:val="02590402"/>
    <w:rsid w:val="02697903"/>
    <w:rsid w:val="02AF2EF4"/>
    <w:rsid w:val="02B32C00"/>
    <w:rsid w:val="02DB4E4E"/>
    <w:rsid w:val="02E84657"/>
    <w:rsid w:val="02F96569"/>
    <w:rsid w:val="03062D2F"/>
    <w:rsid w:val="030D234B"/>
    <w:rsid w:val="035E700F"/>
    <w:rsid w:val="03AA7DC4"/>
    <w:rsid w:val="03E17C80"/>
    <w:rsid w:val="03E2554B"/>
    <w:rsid w:val="03EA7B21"/>
    <w:rsid w:val="042F7309"/>
    <w:rsid w:val="04333FF8"/>
    <w:rsid w:val="04406715"/>
    <w:rsid w:val="0469198F"/>
    <w:rsid w:val="04C9495C"/>
    <w:rsid w:val="04D51F1A"/>
    <w:rsid w:val="04F00C4B"/>
    <w:rsid w:val="050C6899"/>
    <w:rsid w:val="05137986"/>
    <w:rsid w:val="05212F61"/>
    <w:rsid w:val="053F1565"/>
    <w:rsid w:val="054D2E8C"/>
    <w:rsid w:val="05583F39"/>
    <w:rsid w:val="059565ED"/>
    <w:rsid w:val="05B0498B"/>
    <w:rsid w:val="05B11678"/>
    <w:rsid w:val="05EA33DB"/>
    <w:rsid w:val="05F640D3"/>
    <w:rsid w:val="05F83EAE"/>
    <w:rsid w:val="062A142B"/>
    <w:rsid w:val="063E7D85"/>
    <w:rsid w:val="06574E75"/>
    <w:rsid w:val="066F086A"/>
    <w:rsid w:val="06703B52"/>
    <w:rsid w:val="06BA1548"/>
    <w:rsid w:val="06C13B3D"/>
    <w:rsid w:val="06C673A5"/>
    <w:rsid w:val="06D05B2E"/>
    <w:rsid w:val="06D32749"/>
    <w:rsid w:val="06D72E19"/>
    <w:rsid w:val="06F97EFA"/>
    <w:rsid w:val="07100838"/>
    <w:rsid w:val="07293586"/>
    <w:rsid w:val="07295285"/>
    <w:rsid w:val="072F6984"/>
    <w:rsid w:val="075A189C"/>
    <w:rsid w:val="07636392"/>
    <w:rsid w:val="07743A9C"/>
    <w:rsid w:val="07770C56"/>
    <w:rsid w:val="08122176"/>
    <w:rsid w:val="08165E8D"/>
    <w:rsid w:val="0858227F"/>
    <w:rsid w:val="087150EF"/>
    <w:rsid w:val="08A474A1"/>
    <w:rsid w:val="08AA23AF"/>
    <w:rsid w:val="08FB2C0B"/>
    <w:rsid w:val="08FF26FB"/>
    <w:rsid w:val="08FF6B9F"/>
    <w:rsid w:val="09216B15"/>
    <w:rsid w:val="092217DD"/>
    <w:rsid w:val="09347402"/>
    <w:rsid w:val="093604E6"/>
    <w:rsid w:val="093A7294"/>
    <w:rsid w:val="096E0154"/>
    <w:rsid w:val="099B0913"/>
    <w:rsid w:val="09CA0D6F"/>
    <w:rsid w:val="09D70151"/>
    <w:rsid w:val="09D83DD8"/>
    <w:rsid w:val="09D92F4C"/>
    <w:rsid w:val="09E7549D"/>
    <w:rsid w:val="0A026946"/>
    <w:rsid w:val="0A263993"/>
    <w:rsid w:val="0A2D3AC2"/>
    <w:rsid w:val="0A5711E0"/>
    <w:rsid w:val="0A5B1BB3"/>
    <w:rsid w:val="0A7473CE"/>
    <w:rsid w:val="0A8E1F88"/>
    <w:rsid w:val="0AA755DF"/>
    <w:rsid w:val="0ABE2142"/>
    <w:rsid w:val="0AC22AF4"/>
    <w:rsid w:val="0ACE4A7B"/>
    <w:rsid w:val="0B120D44"/>
    <w:rsid w:val="0B204BAA"/>
    <w:rsid w:val="0B5605CC"/>
    <w:rsid w:val="0B8D069C"/>
    <w:rsid w:val="0BA17A99"/>
    <w:rsid w:val="0BA62885"/>
    <w:rsid w:val="0BBC0D77"/>
    <w:rsid w:val="0BCD088E"/>
    <w:rsid w:val="0BD27BF6"/>
    <w:rsid w:val="0BD87233"/>
    <w:rsid w:val="0BE36304"/>
    <w:rsid w:val="0C186475"/>
    <w:rsid w:val="0C29500B"/>
    <w:rsid w:val="0C2D2B48"/>
    <w:rsid w:val="0C3B3C7D"/>
    <w:rsid w:val="0C3C447E"/>
    <w:rsid w:val="0C721436"/>
    <w:rsid w:val="0C8B4F1B"/>
    <w:rsid w:val="0CAA31D4"/>
    <w:rsid w:val="0CAB2EAE"/>
    <w:rsid w:val="0CB63A18"/>
    <w:rsid w:val="0CD9038A"/>
    <w:rsid w:val="0CDC5DEF"/>
    <w:rsid w:val="0D237D3D"/>
    <w:rsid w:val="0D3861DB"/>
    <w:rsid w:val="0D3D1F3C"/>
    <w:rsid w:val="0D621C7D"/>
    <w:rsid w:val="0D6671EC"/>
    <w:rsid w:val="0DEF71E2"/>
    <w:rsid w:val="0E38608B"/>
    <w:rsid w:val="0E721BC1"/>
    <w:rsid w:val="0E73034D"/>
    <w:rsid w:val="0E8371B5"/>
    <w:rsid w:val="0E912047"/>
    <w:rsid w:val="0EDC703A"/>
    <w:rsid w:val="0EFB1BB6"/>
    <w:rsid w:val="0F0862D6"/>
    <w:rsid w:val="0F13775A"/>
    <w:rsid w:val="0F362BEE"/>
    <w:rsid w:val="0F454C2B"/>
    <w:rsid w:val="0F5F45FE"/>
    <w:rsid w:val="0F9022FF"/>
    <w:rsid w:val="0F9242C9"/>
    <w:rsid w:val="0F9718DF"/>
    <w:rsid w:val="0F9764DC"/>
    <w:rsid w:val="0F9A112B"/>
    <w:rsid w:val="0FA43795"/>
    <w:rsid w:val="0FAE6C29"/>
    <w:rsid w:val="0FB029A1"/>
    <w:rsid w:val="0FC06D70"/>
    <w:rsid w:val="0FD7594D"/>
    <w:rsid w:val="0FDD12BC"/>
    <w:rsid w:val="102313C5"/>
    <w:rsid w:val="10376C1E"/>
    <w:rsid w:val="10417A9D"/>
    <w:rsid w:val="104666EA"/>
    <w:rsid w:val="1051485A"/>
    <w:rsid w:val="105E064F"/>
    <w:rsid w:val="106D2F64"/>
    <w:rsid w:val="107A6B0B"/>
    <w:rsid w:val="107F4121"/>
    <w:rsid w:val="10831E63"/>
    <w:rsid w:val="109A1038"/>
    <w:rsid w:val="10A122E9"/>
    <w:rsid w:val="10B63710"/>
    <w:rsid w:val="10BB784F"/>
    <w:rsid w:val="10C72BB8"/>
    <w:rsid w:val="10F10820"/>
    <w:rsid w:val="111C2F7A"/>
    <w:rsid w:val="11665CA1"/>
    <w:rsid w:val="1191417C"/>
    <w:rsid w:val="11A15AE1"/>
    <w:rsid w:val="11B052D9"/>
    <w:rsid w:val="11B218A2"/>
    <w:rsid w:val="11C73FD2"/>
    <w:rsid w:val="1214532B"/>
    <w:rsid w:val="122136E2"/>
    <w:rsid w:val="122D2087"/>
    <w:rsid w:val="12535865"/>
    <w:rsid w:val="12757B01"/>
    <w:rsid w:val="12920BC3"/>
    <w:rsid w:val="13007463"/>
    <w:rsid w:val="137774F8"/>
    <w:rsid w:val="138C7281"/>
    <w:rsid w:val="1390019C"/>
    <w:rsid w:val="13951726"/>
    <w:rsid w:val="13A22600"/>
    <w:rsid w:val="13AC7923"/>
    <w:rsid w:val="13C436B0"/>
    <w:rsid w:val="13C927E6"/>
    <w:rsid w:val="13C92B52"/>
    <w:rsid w:val="14103A0E"/>
    <w:rsid w:val="141F1EA3"/>
    <w:rsid w:val="14204C5D"/>
    <w:rsid w:val="14396509"/>
    <w:rsid w:val="145E2120"/>
    <w:rsid w:val="147C72F5"/>
    <w:rsid w:val="1485147D"/>
    <w:rsid w:val="14DD2C3C"/>
    <w:rsid w:val="14ED1FA1"/>
    <w:rsid w:val="14F72E20"/>
    <w:rsid w:val="14FD6C55"/>
    <w:rsid w:val="15086875"/>
    <w:rsid w:val="15310BEF"/>
    <w:rsid w:val="153315F7"/>
    <w:rsid w:val="153B0F5F"/>
    <w:rsid w:val="15502585"/>
    <w:rsid w:val="15712BD2"/>
    <w:rsid w:val="157B368E"/>
    <w:rsid w:val="15B90272"/>
    <w:rsid w:val="15C54AC9"/>
    <w:rsid w:val="15CC0DB8"/>
    <w:rsid w:val="15CC6103"/>
    <w:rsid w:val="15D01BB6"/>
    <w:rsid w:val="15D2340D"/>
    <w:rsid w:val="15DF7B3C"/>
    <w:rsid w:val="16017E9D"/>
    <w:rsid w:val="16087E1D"/>
    <w:rsid w:val="161813F5"/>
    <w:rsid w:val="163D44F0"/>
    <w:rsid w:val="164A75BB"/>
    <w:rsid w:val="166319AB"/>
    <w:rsid w:val="168801D3"/>
    <w:rsid w:val="16977B43"/>
    <w:rsid w:val="16B25250"/>
    <w:rsid w:val="16D73437"/>
    <w:rsid w:val="16D831AB"/>
    <w:rsid w:val="17242614"/>
    <w:rsid w:val="1727589C"/>
    <w:rsid w:val="174E2D0E"/>
    <w:rsid w:val="176A78D9"/>
    <w:rsid w:val="17701D14"/>
    <w:rsid w:val="17735226"/>
    <w:rsid w:val="177644D0"/>
    <w:rsid w:val="178E244B"/>
    <w:rsid w:val="179606CE"/>
    <w:rsid w:val="179901BE"/>
    <w:rsid w:val="17C57205"/>
    <w:rsid w:val="17D336D0"/>
    <w:rsid w:val="17D77D27"/>
    <w:rsid w:val="17FE59D9"/>
    <w:rsid w:val="17FF2717"/>
    <w:rsid w:val="181C3963"/>
    <w:rsid w:val="185F78CE"/>
    <w:rsid w:val="189F624C"/>
    <w:rsid w:val="18D71994"/>
    <w:rsid w:val="18E25AE6"/>
    <w:rsid w:val="190F4FA6"/>
    <w:rsid w:val="1912797C"/>
    <w:rsid w:val="192F2B88"/>
    <w:rsid w:val="19397563"/>
    <w:rsid w:val="193A5696"/>
    <w:rsid w:val="194F425A"/>
    <w:rsid w:val="19AF7825"/>
    <w:rsid w:val="19C61E08"/>
    <w:rsid w:val="19E80F89"/>
    <w:rsid w:val="1A1C66C0"/>
    <w:rsid w:val="1A42393B"/>
    <w:rsid w:val="1A5C35A2"/>
    <w:rsid w:val="1A6F016E"/>
    <w:rsid w:val="1A746AFF"/>
    <w:rsid w:val="1A9F3D3E"/>
    <w:rsid w:val="1AA67A69"/>
    <w:rsid w:val="1AAD45DE"/>
    <w:rsid w:val="1AE71241"/>
    <w:rsid w:val="1AE96D67"/>
    <w:rsid w:val="1B046F80"/>
    <w:rsid w:val="1B0D2FE0"/>
    <w:rsid w:val="1B2F50C2"/>
    <w:rsid w:val="1B3267B5"/>
    <w:rsid w:val="1B40161D"/>
    <w:rsid w:val="1B413BDA"/>
    <w:rsid w:val="1B441859"/>
    <w:rsid w:val="1B4A1593"/>
    <w:rsid w:val="1B6606B1"/>
    <w:rsid w:val="1B9405AB"/>
    <w:rsid w:val="1B9A62B3"/>
    <w:rsid w:val="1BC44D83"/>
    <w:rsid w:val="1BDC1373"/>
    <w:rsid w:val="1BE872A1"/>
    <w:rsid w:val="1BFB3B62"/>
    <w:rsid w:val="1C1918CE"/>
    <w:rsid w:val="1C2555CD"/>
    <w:rsid w:val="1C5E7925"/>
    <w:rsid w:val="1C6012AB"/>
    <w:rsid w:val="1C6D6FCE"/>
    <w:rsid w:val="1C861031"/>
    <w:rsid w:val="1C8F2BB4"/>
    <w:rsid w:val="1CA94A00"/>
    <w:rsid w:val="1CC31A6E"/>
    <w:rsid w:val="1CC47A8B"/>
    <w:rsid w:val="1CE247F8"/>
    <w:rsid w:val="1CFD070F"/>
    <w:rsid w:val="1CFE11EF"/>
    <w:rsid w:val="1D0165EA"/>
    <w:rsid w:val="1D44739B"/>
    <w:rsid w:val="1D5D0701"/>
    <w:rsid w:val="1D5F6196"/>
    <w:rsid w:val="1D6132A5"/>
    <w:rsid w:val="1D6848BB"/>
    <w:rsid w:val="1D7A64B7"/>
    <w:rsid w:val="1D8E56D5"/>
    <w:rsid w:val="1DE303E5"/>
    <w:rsid w:val="1E026ABD"/>
    <w:rsid w:val="1E521269"/>
    <w:rsid w:val="1E7A43DA"/>
    <w:rsid w:val="1E7D4396"/>
    <w:rsid w:val="1ED02718"/>
    <w:rsid w:val="1EDF5D2E"/>
    <w:rsid w:val="1EDF6DFF"/>
    <w:rsid w:val="1EE00481"/>
    <w:rsid w:val="1EF04B68"/>
    <w:rsid w:val="1F1A7E37"/>
    <w:rsid w:val="1F354586"/>
    <w:rsid w:val="1F364345"/>
    <w:rsid w:val="1F5275D0"/>
    <w:rsid w:val="1F6D77C8"/>
    <w:rsid w:val="1F8D59CA"/>
    <w:rsid w:val="1FA1762B"/>
    <w:rsid w:val="1FAD2A59"/>
    <w:rsid w:val="1FE7539E"/>
    <w:rsid w:val="1FF70178"/>
    <w:rsid w:val="2004499A"/>
    <w:rsid w:val="200F7C52"/>
    <w:rsid w:val="20671BE0"/>
    <w:rsid w:val="207417C9"/>
    <w:rsid w:val="20905DFB"/>
    <w:rsid w:val="20963CB8"/>
    <w:rsid w:val="20A81A1B"/>
    <w:rsid w:val="20B07FB6"/>
    <w:rsid w:val="20B646FB"/>
    <w:rsid w:val="20C77B4A"/>
    <w:rsid w:val="211663DC"/>
    <w:rsid w:val="211D59BC"/>
    <w:rsid w:val="213B74B1"/>
    <w:rsid w:val="215A2310"/>
    <w:rsid w:val="216B3C80"/>
    <w:rsid w:val="217A696B"/>
    <w:rsid w:val="21A8797C"/>
    <w:rsid w:val="21AF0D0A"/>
    <w:rsid w:val="21AF23CC"/>
    <w:rsid w:val="21B77FCD"/>
    <w:rsid w:val="21C65B15"/>
    <w:rsid w:val="21D54201"/>
    <w:rsid w:val="21DE318A"/>
    <w:rsid w:val="21EF5B80"/>
    <w:rsid w:val="21F9792F"/>
    <w:rsid w:val="21FF2415"/>
    <w:rsid w:val="220124C7"/>
    <w:rsid w:val="22350AD9"/>
    <w:rsid w:val="22460F43"/>
    <w:rsid w:val="224D2894"/>
    <w:rsid w:val="225673D8"/>
    <w:rsid w:val="22576990"/>
    <w:rsid w:val="229252F4"/>
    <w:rsid w:val="22F47480"/>
    <w:rsid w:val="23232FE4"/>
    <w:rsid w:val="23307C29"/>
    <w:rsid w:val="23690370"/>
    <w:rsid w:val="238166D6"/>
    <w:rsid w:val="239B7444"/>
    <w:rsid w:val="23C44E18"/>
    <w:rsid w:val="23DC492F"/>
    <w:rsid w:val="23DE1C48"/>
    <w:rsid w:val="23E17175"/>
    <w:rsid w:val="23F46EA8"/>
    <w:rsid w:val="240210CD"/>
    <w:rsid w:val="24132420"/>
    <w:rsid w:val="24184D37"/>
    <w:rsid w:val="24207C9D"/>
    <w:rsid w:val="242552B4"/>
    <w:rsid w:val="24392B0D"/>
    <w:rsid w:val="244D65B8"/>
    <w:rsid w:val="245D6D4B"/>
    <w:rsid w:val="248B0BA0"/>
    <w:rsid w:val="249712AA"/>
    <w:rsid w:val="24A34D25"/>
    <w:rsid w:val="24A96F54"/>
    <w:rsid w:val="24BF09F7"/>
    <w:rsid w:val="24C20D54"/>
    <w:rsid w:val="24E231A5"/>
    <w:rsid w:val="24E770D5"/>
    <w:rsid w:val="251B66B7"/>
    <w:rsid w:val="25244341"/>
    <w:rsid w:val="252D53FE"/>
    <w:rsid w:val="252E63EA"/>
    <w:rsid w:val="258C1362"/>
    <w:rsid w:val="25950217"/>
    <w:rsid w:val="25BB1EE5"/>
    <w:rsid w:val="25D23219"/>
    <w:rsid w:val="25EC2D81"/>
    <w:rsid w:val="25FB0004"/>
    <w:rsid w:val="26215F4F"/>
    <w:rsid w:val="26331EEE"/>
    <w:rsid w:val="263712CE"/>
    <w:rsid w:val="26373D44"/>
    <w:rsid w:val="26541E80"/>
    <w:rsid w:val="265527FC"/>
    <w:rsid w:val="2661459D"/>
    <w:rsid w:val="26655E3B"/>
    <w:rsid w:val="26A34F75"/>
    <w:rsid w:val="26B648E9"/>
    <w:rsid w:val="272E1AD7"/>
    <w:rsid w:val="277057A2"/>
    <w:rsid w:val="277A5916"/>
    <w:rsid w:val="27991A41"/>
    <w:rsid w:val="27A83832"/>
    <w:rsid w:val="27D17500"/>
    <w:rsid w:val="27FA25B3"/>
    <w:rsid w:val="28463A4A"/>
    <w:rsid w:val="285F68BA"/>
    <w:rsid w:val="28697739"/>
    <w:rsid w:val="28706D19"/>
    <w:rsid w:val="28724840"/>
    <w:rsid w:val="288A7DDB"/>
    <w:rsid w:val="28C22AF5"/>
    <w:rsid w:val="28C334D0"/>
    <w:rsid w:val="28EE6DC7"/>
    <w:rsid w:val="29206EB8"/>
    <w:rsid w:val="29595666"/>
    <w:rsid w:val="296B7B75"/>
    <w:rsid w:val="29874881"/>
    <w:rsid w:val="29A97CB7"/>
    <w:rsid w:val="29B844D4"/>
    <w:rsid w:val="29E325E0"/>
    <w:rsid w:val="2A30050E"/>
    <w:rsid w:val="2A3A7029"/>
    <w:rsid w:val="2A452503"/>
    <w:rsid w:val="2A5C071E"/>
    <w:rsid w:val="2A612DBE"/>
    <w:rsid w:val="2A8A4E15"/>
    <w:rsid w:val="2ABC7FF4"/>
    <w:rsid w:val="2AC86999"/>
    <w:rsid w:val="2AC91CE5"/>
    <w:rsid w:val="2B0C0F7B"/>
    <w:rsid w:val="2B14257A"/>
    <w:rsid w:val="2B19705E"/>
    <w:rsid w:val="2B1E480B"/>
    <w:rsid w:val="2B30453E"/>
    <w:rsid w:val="2B514F38"/>
    <w:rsid w:val="2B6C75E4"/>
    <w:rsid w:val="2B88437A"/>
    <w:rsid w:val="2BA936A8"/>
    <w:rsid w:val="2C005C05"/>
    <w:rsid w:val="2C030111"/>
    <w:rsid w:val="2C315A5A"/>
    <w:rsid w:val="2C3B39B0"/>
    <w:rsid w:val="2C4B1C25"/>
    <w:rsid w:val="2C6939B3"/>
    <w:rsid w:val="2C6D3C9C"/>
    <w:rsid w:val="2C923702"/>
    <w:rsid w:val="2CC338BC"/>
    <w:rsid w:val="2CD22F81"/>
    <w:rsid w:val="2CFF241A"/>
    <w:rsid w:val="2D142369"/>
    <w:rsid w:val="2D183950"/>
    <w:rsid w:val="2D297497"/>
    <w:rsid w:val="2D4F514F"/>
    <w:rsid w:val="2D7B5F44"/>
    <w:rsid w:val="2D9E56F5"/>
    <w:rsid w:val="2DA105FB"/>
    <w:rsid w:val="2DC95F1F"/>
    <w:rsid w:val="2DFA13B7"/>
    <w:rsid w:val="2E1660EB"/>
    <w:rsid w:val="2E21722A"/>
    <w:rsid w:val="2E3229A4"/>
    <w:rsid w:val="2E5C3FC8"/>
    <w:rsid w:val="2E667F96"/>
    <w:rsid w:val="2E6E7857"/>
    <w:rsid w:val="2E8226AB"/>
    <w:rsid w:val="2ECF6A3D"/>
    <w:rsid w:val="2EE713B8"/>
    <w:rsid w:val="2EFC30B5"/>
    <w:rsid w:val="2F0A15BB"/>
    <w:rsid w:val="2F3B1E2F"/>
    <w:rsid w:val="2F4D3012"/>
    <w:rsid w:val="2F540059"/>
    <w:rsid w:val="2FB142D9"/>
    <w:rsid w:val="2FCF4325"/>
    <w:rsid w:val="2FD065E6"/>
    <w:rsid w:val="2FD96870"/>
    <w:rsid w:val="2FE8682E"/>
    <w:rsid w:val="2FF63FA8"/>
    <w:rsid w:val="30061DB6"/>
    <w:rsid w:val="30180DCD"/>
    <w:rsid w:val="301B3A0F"/>
    <w:rsid w:val="30311084"/>
    <w:rsid w:val="30355AEB"/>
    <w:rsid w:val="304A7E50"/>
    <w:rsid w:val="30580BC9"/>
    <w:rsid w:val="30963095"/>
    <w:rsid w:val="30B95E98"/>
    <w:rsid w:val="30BE2C23"/>
    <w:rsid w:val="30D75275"/>
    <w:rsid w:val="310B6A3D"/>
    <w:rsid w:val="310F29D8"/>
    <w:rsid w:val="311E2ED7"/>
    <w:rsid w:val="315216B2"/>
    <w:rsid w:val="315619EE"/>
    <w:rsid w:val="315A5193"/>
    <w:rsid w:val="315C449C"/>
    <w:rsid w:val="31B82709"/>
    <w:rsid w:val="31C00DA6"/>
    <w:rsid w:val="31C0661C"/>
    <w:rsid w:val="31CC4FC0"/>
    <w:rsid w:val="31D05482"/>
    <w:rsid w:val="31E5120A"/>
    <w:rsid w:val="31F52564"/>
    <w:rsid w:val="322C0915"/>
    <w:rsid w:val="32400B34"/>
    <w:rsid w:val="326B60A1"/>
    <w:rsid w:val="32896150"/>
    <w:rsid w:val="329E6876"/>
    <w:rsid w:val="32A7158A"/>
    <w:rsid w:val="32BD2B5B"/>
    <w:rsid w:val="32FD564D"/>
    <w:rsid w:val="330469DC"/>
    <w:rsid w:val="3308789D"/>
    <w:rsid w:val="330C5088"/>
    <w:rsid w:val="330D3AE3"/>
    <w:rsid w:val="331A61FF"/>
    <w:rsid w:val="3324727F"/>
    <w:rsid w:val="33292712"/>
    <w:rsid w:val="333015F2"/>
    <w:rsid w:val="334B6320"/>
    <w:rsid w:val="336631F3"/>
    <w:rsid w:val="336E5173"/>
    <w:rsid w:val="336E7CDB"/>
    <w:rsid w:val="33813B89"/>
    <w:rsid w:val="33972172"/>
    <w:rsid w:val="33A8380B"/>
    <w:rsid w:val="33AB1A51"/>
    <w:rsid w:val="33C61EE3"/>
    <w:rsid w:val="33D934D4"/>
    <w:rsid w:val="33DA14EB"/>
    <w:rsid w:val="33FE2F6A"/>
    <w:rsid w:val="340E07E5"/>
    <w:rsid w:val="34207846"/>
    <w:rsid w:val="34235BF7"/>
    <w:rsid w:val="3445105A"/>
    <w:rsid w:val="34735BC7"/>
    <w:rsid w:val="348D1EBF"/>
    <w:rsid w:val="34C957E7"/>
    <w:rsid w:val="34FD7B87"/>
    <w:rsid w:val="350B22A4"/>
    <w:rsid w:val="35244754"/>
    <w:rsid w:val="354B460C"/>
    <w:rsid w:val="358931C8"/>
    <w:rsid w:val="358C5FA8"/>
    <w:rsid w:val="35B46497"/>
    <w:rsid w:val="35B531A9"/>
    <w:rsid w:val="35BC17F0"/>
    <w:rsid w:val="35BF4B8B"/>
    <w:rsid w:val="35C15DF1"/>
    <w:rsid w:val="35C34250"/>
    <w:rsid w:val="35D001EC"/>
    <w:rsid w:val="36015455"/>
    <w:rsid w:val="36074A7F"/>
    <w:rsid w:val="361339D9"/>
    <w:rsid w:val="3623714C"/>
    <w:rsid w:val="362708E9"/>
    <w:rsid w:val="362F0EA3"/>
    <w:rsid w:val="36394BEF"/>
    <w:rsid w:val="36483084"/>
    <w:rsid w:val="36923549"/>
    <w:rsid w:val="36B75FBF"/>
    <w:rsid w:val="36BD0C45"/>
    <w:rsid w:val="36F56D67"/>
    <w:rsid w:val="373C4996"/>
    <w:rsid w:val="376A17D3"/>
    <w:rsid w:val="3776484C"/>
    <w:rsid w:val="37E00298"/>
    <w:rsid w:val="3846585A"/>
    <w:rsid w:val="38563E07"/>
    <w:rsid w:val="385B709E"/>
    <w:rsid w:val="38A767D5"/>
    <w:rsid w:val="38B072E9"/>
    <w:rsid w:val="38B302F9"/>
    <w:rsid w:val="38B30C88"/>
    <w:rsid w:val="38C073F1"/>
    <w:rsid w:val="38F12CD3"/>
    <w:rsid w:val="38F94775"/>
    <w:rsid w:val="390E5EBF"/>
    <w:rsid w:val="391060DB"/>
    <w:rsid w:val="392971ED"/>
    <w:rsid w:val="392D02F5"/>
    <w:rsid w:val="39325651"/>
    <w:rsid w:val="393319BC"/>
    <w:rsid w:val="394878BA"/>
    <w:rsid w:val="395B30CE"/>
    <w:rsid w:val="395F2BBE"/>
    <w:rsid w:val="396106E4"/>
    <w:rsid w:val="398448E3"/>
    <w:rsid w:val="39910DD9"/>
    <w:rsid w:val="39CE6683"/>
    <w:rsid w:val="39E52F7A"/>
    <w:rsid w:val="39F7221A"/>
    <w:rsid w:val="39FD5F33"/>
    <w:rsid w:val="3A2317FB"/>
    <w:rsid w:val="3A2560A7"/>
    <w:rsid w:val="3A2B6F44"/>
    <w:rsid w:val="3A872856"/>
    <w:rsid w:val="3AA56A3E"/>
    <w:rsid w:val="3ACA3B7C"/>
    <w:rsid w:val="3ADD1FEC"/>
    <w:rsid w:val="3B0B4F27"/>
    <w:rsid w:val="3B223EA3"/>
    <w:rsid w:val="3B251BE5"/>
    <w:rsid w:val="3B3763D1"/>
    <w:rsid w:val="3B441599"/>
    <w:rsid w:val="3B492564"/>
    <w:rsid w:val="3B5878C5"/>
    <w:rsid w:val="3B64270E"/>
    <w:rsid w:val="3B707EB1"/>
    <w:rsid w:val="3B726878"/>
    <w:rsid w:val="3B9B7826"/>
    <w:rsid w:val="3BA925ED"/>
    <w:rsid w:val="3BAA5C47"/>
    <w:rsid w:val="3BB6283D"/>
    <w:rsid w:val="3BD3519D"/>
    <w:rsid w:val="3BF52D0E"/>
    <w:rsid w:val="3BF95FD7"/>
    <w:rsid w:val="3C0B587E"/>
    <w:rsid w:val="3C127E7E"/>
    <w:rsid w:val="3C21415B"/>
    <w:rsid w:val="3C236125"/>
    <w:rsid w:val="3C2F6E1E"/>
    <w:rsid w:val="3C4F64BA"/>
    <w:rsid w:val="3C5C16E1"/>
    <w:rsid w:val="3C683B38"/>
    <w:rsid w:val="3C821B58"/>
    <w:rsid w:val="3C8D7A42"/>
    <w:rsid w:val="3C9B5CF4"/>
    <w:rsid w:val="3CDA245A"/>
    <w:rsid w:val="3CF9040D"/>
    <w:rsid w:val="3D1D0DC6"/>
    <w:rsid w:val="3D1E06B7"/>
    <w:rsid w:val="3D45293D"/>
    <w:rsid w:val="3D4E5423"/>
    <w:rsid w:val="3D5936D1"/>
    <w:rsid w:val="3D5C3BD3"/>
    <w:rsid w:val="3D987913"/>
    <w:rsid w:val="3DAC214A"/>
    <w:rsid w:val="3DB80AEF"/>
    <w:rsid w:val="3DD11BB1"/>
    <w:rsid w:val="3E1026D9"/>
    <w:rsid w:val="3E2B688F"/>
    <w:rsid w:val="3E2D62DB"/>
    <w:rsid w:val="3E7F4A22"/>
    <w:rsid w:val="3E86299B"/>
    <w:rsid w:val="3ED731F7"/>
    <w:rsid w:val="3EDA0523"/>
    <w:rsid w:val="3EEB4700"/>
    <w:rsid w:val="3F373C95"/>
    <w:rsid w:val="3F5B7984"/>
    <w:rsid w:val="3F8D2FA7"/>
    <w:rsid w:val="3F9F1F66"/>
    <w:rsid w:val="3FBD3924"/>
    <w:rsid w:val="40032D9A"/>
    <w:rsid w:val="40185875"/>
    <w:rsid w:val="40275AB8"/>
    <w:rsid w:val="40445B2C"/>
    <w:rsid w:val="407566A0"/>
    <w:rsid w:val="407A6407"/>
    <w:rsid w:val="40800D4A"/>
    <w:rsid w:val="40827192"/>
    <w:rsid w:val="4093139F"/>
    <w:rsid w:val="40B51316"/>
    <w:rsid w:val="41004C87"/>
    <w:rsid w:val="413260C8"/>
    <w:rsid w:val="414D77A0"/>
    <w:rsid w:val="416C40CA"/>
    <w:rsid w:val="41850CE8"/>
    <w:rsid w:val="418F36DB"/>
    <w:rsid w:val="41B1600A"/>
    <w:rsid w:val="41B9630E"/>
    <w:rsid w:val="4200449D"/>
    <w:rsid w:val="42050388"/>
    <w:rsid w:val="420B05A0"/>
    <w:rsid w:val="423A3BCC"/>
    <w:rsid w:val="423F17DF"/>
    <w:rsid w:val="424E57D2"/>
    <w:rsid w:val="42985594"/>
    <w:rsid w:val="42B26C49"/>
    <w:rsid w:val="42E77A79"/>
    <w:rsid w:val="43012B66"/>
    <w:rsid w:val="43044F3F"/>
    <w:rsid w:val="43397FDC"/>
    <w:rsid w:val="433A6FE6"/>
    <w:rsid w:val="43480868"/>
    <w:rsid w:val="4350713C"/>
    <w:rsid w:val="43583FCD"/>
    <w:rsid w:val="436653E0"/>
    <w:rsid w:val="43912C5C"/>
    <w:rsid w:val="43A82E55"/>
    <w:rsid w:val="43C4431A"/>
    <w:rsid w:val="43D6077B"/>
    <w:rsid w:val="43E91A02"/>
    <w:rsid w:val="44190B72"/>
    <w:rsid w:val="444F55DD"/>
    <w:rsid w:val="446077EA"/>
    <w:rsid w:val="446A74A4"/>
    <w:rsid w:val="447339C1"/>
    <w:rsid w:val="44823C05"/>
    <w:rsid w:val="44A72149"/>
    <w:rsid w:val="44B50A63"/>
    <w:rsid w:val="44B951CC"/>
    <w:rsid w:val="44CD14E0"/>
    <w:rsid w:val="44E001FA"/>
    <w:rsid w:val="44E67CEF"/>
    <w:rsid w:val="44E95A32"/>
    <w:rsid w:val="44F20B0B"/>
    <w:rsid w:val="44FA0BE3"/>
    <w:rsid w:val="452E5F4C"/>
    <w:rsid w:val="453C3DB3"/>
    <w:rsid w:val="45612018"/>
    <w:rsid w:val="458946E9"/>
    <w:rsid w:val="45950735"/>
    <w:rsid w:val="4597548E"/>
    <w:rsid w:val="459C4852"/>
    <w:rsid w:val="459D5EDD"/>
    <w:rsid w:val="45A47C0E"/>
    <w:rsid w:val="45B608B1"/>
    <w:rsid w:val="45BB265C"/>
    <w:rsid w:val="45F16636"/>
    <w:rsid w:val="4614088C"/>
    <w:rsid w:val="46281B70"/>
    <w:rsid w:val="46577FD6"/>
    <w:rsid w:val="46753A21"/>
    <w:rsid w:val="46955E71"/>
    <w:rsid w:val="46965D88"/>
    <w:rsid w:val="46D955A7"/>
    <w:rsid w:val="46EE7A0C"/>
    <w:rsid w:val="47133957"/>
    <w:rsid w:val="471A4303"/>
    <w:rsid w:val="47266AC9"/>
    <w:rsid w:val="47393878"/>
    <w:rsid w:val="474225B0"/>
    <w:rsid w:val="47491724"/>
    <w:rsid w:val="47816833"/>
    <w:rsid w:val="479F062A"/>
    <w:rsid w:val="479F4F19"/>
    <w:rsid w:val="47A07E0C"/>
    <w:rsid w:val="47AA76FA"/>
    <w:rsid w:val="47AF2C78"/>
    <w:rsid w:val="47BE292C"/>
    <w:rsid w:val="47F44E19"/>
    <w:rsid w:val="48217291"/>
    <w:rsid w:val="48313978"/>
    <w:rsid w:val="4847319B"/>
    <w:rsid w:val="48523EE0"/>
    <w:rsid w:val="486C2C02"/>
    <w:rsid w:val="4870272E"/>
    <w:rsid w:val="48AE4357"/>
    <w:rsid w:val="48BA1BEC"/>
    <w:rsid w:val="48F6071D"/>
    <w:rsid w:val="48FF1A78"/>
    <w:rsid w:val="49137521"/>
    <w:rsid w:val="49326ECC"/>
    <w:rsid w:val="49374FBE"/>
    <w:rsid w:val="49437E06"/>
    <w:rsid w:val="49693E74"/>
    <w:rsid w:val="49810437"/>
    <w:rsid w:val="4981092F"/>
    <w:rsid w:val="49957F36"/>
    <w:rsid w:val="49A81A17"/>
    <w:rsid w:val="49D97FA4"/>
    <w:rsid w:val="49DC7715"/>
    <w:rsid w:val="4A023139"/>
    <w:rsid w:val="4A1B0AA1"/>
    <w:rsid w:val="4A633B90"/>
    <w:rsid w:val="4A7B576F"/>
    <w:rsid w:val="4A8E1972"/>
    <w:rsid w:val="4A942C4A"/>
    <w:rsid w:val="4AA91EEB"/>
    <w:rsid w:val="4ABA7398"/>
    <w:rsid w:val="4AC27530"/>
    <w:rsid w:val="4ACC5BD9"/>
    <w:rsid w:val="4ADA02F6"/>
    <w:rsid w:val="4AF561A9"/>
    <w:rsid w:val="4B1F7CF7"/>
    <w:rsid w:val="4B481704"/>
    <w:rsid w:val="4B5C6F5D"/>
    <w:rsid w:val="4B7E1D99"/>
    <w:rsid w:val="4BA15E9C"/>
    <w:rsid w:val="4BAB57EF"/>
    <w:rsid w:val="4BB16CD5"/>
    <w:rsid w:val="4BBD27E6"/>
    <w:rsid w:val="4BCE35B9"/>
    <w:rsid w:val="4BF821AF"/>
    <w:rsid w:val="4C094936"/>
    <w:rsid w:val="4C1A4723"/>
    <w:rsid w:val="4C3B3017"/>
    <w:rsid w:val="4C4A0649"/>
    <w:rsid w:val="4C5A7D92"/>
    <w:rsid w:val="4C7E5ECA"/>
    <w:rsid w:val="4C876AA5"/>
    <w:rsid w:val="4C885B30"/>
    <w:rsid w:val="4C8F5111"/>
    <w:rsid w:val="4CDE5AAB"/>
    <w:rsid w:val="4D0621ED"/>
    <w:rsid w:val="4D096C71"/>
    <w:rsid w:val="4D0E00FB"/>
    <w:rsid w:val="4D112DB7"/>
    <w:rsid w:val="4D176606"/>
    <w:rsid w:val="4D2A4B22"/>
    <w:rsid w:val="4D3A27CD"/>
    <w:rsid w:val="4D562E36"/>
    <w:rsid w:val="4D682880"/>
    <w:rsid w:val="4DB50629"/>
    <w:rsid w:val="4DB90697"/>
    <w:rsid w:val="4DBA440F"/>
    <w:rsid w:val="4DBE5CAD"/>
    <w:rsid w:val="4DCA28A4"/>
    <w:rsid w:val="4DD30CB1"/>
    <w:rsid w:val="4DEC4FB0"/>
    <w:rsid w:val="4E075D8A"/>
    <w:rsid w:val="4E102281"/>
    <w:rsid w:val="4E121B55"/>
    <w:rsid w:val="4E481A1B"/>
    <w:rsid w:val="4E4D5283"/>
    <w:rsid w:val="4E716678"/>
    <w:rsid w:val="4EC00FAD"/>
    <w:rsid w:val="4EC158AF"/>
    <w:rsid w:val="4EE31744"/>
    <w:rsid w:val="4EF37BD9"/>
    <w:rsid w:val="4F1B164B"/>
    <w:rsid w:val="4F260972"/>
    <w:rsid w:val="4F2A2ECF"/>
    <w:rsid w:val="4F31425D"/>
    <w:rsid w:val="4F587A3C"/>
    <w:rsid w:val="4F894099"/>
    <w:rsid w:val="4F9843DC"/>
    <w:rsid w:val="4FC62A8C"/>
    <w:rsid w:val="4FE20F0D"/>
    <w:rsid w:val="4FE51552"/>
    <w:rsid w:val="4FF9121F"/>
    <w:rsid w:val="50504C4B"/>
    <w:rsid w:val="506B379F"/>
    <w:rsid w:val="506C3517"/>
    <w:rsid w:val="50730B9C"/>
    <w:rsid w:val="509C6E7C"/>
    <w:rsid w:val="50C52267"/>
    <w:rsid w:val="50CF01D2"/>
    <w:rsid w:val="50F814D6"/>
    <w:rsid w:val="5162104E"/>
    <w:rsid w:val="51677F27"/>
    <w:rsid w:val="51750D79"/>
    <w:rsid w:val="51994A4C"/>
    <w:rsid w:val="519D207E"/>
    <w:rsid w:val="521D3A13"/>
    <w:rsid w:val="52293911"/>
    <w:rsid w:val="525505B3"/>
    <w:rsid w:val="52880638"/>
    <w:rsid w:val="529B6283"/>
    <w:rsid w:val="52A337BC"/>
    <w:rsid w:val="52BD5A4C"/>
    <w:rsid w:val="52C10630"/>
    <w:rsid w:val="52C64F29"/>
    <w:rsid w:val="52C8137C"/>
    <w:rsid w:val="53075C2D"/>
    <w:rsid w:val="53123851"/>
    <w:rsid w:val="53144AF9"/>
    <w:rsid w:val="53191BD8"/>
    <w:rsid w:val="53311592"/>
    <w:rsid w:val="535B3F9E"/>
    <w:rsid w:val="535C0D29"/>
    <w:rsid w:val="53970F8F"/>
    <w:rsid w:val="53980D4F"/>
    <w:rsid w:val="539C366E"/>
    <w:rsid w:val="53A039CC"/>
    <w:rsid w:val="53A1505A"/>
    <w:rsid w:val="53FB012A"/>
    <w:rsid w:val="54063E08"/>
    <w:rsid w:val="54191421"/>
    <w:rsid w:val="54271AC6"/>
    <w:rsid w:val="543437E8"/>
    <w:rsid w:val="54372FD6"/>
    <w:rsid w:val="545F7ABE"/>
    <w:rsid w:val="54AD25D8"/>
    <w:rsid w:val="54BA746C"/>
    <w:rsid w:val="54CD3C6B"/>
    <w:rsid w:val="54F73313"/>
    <w:rsid w:val="54F80955"/>
    <w:rsid w:val="55170299"/>
    <w:rsid w:val="55171D5C"/>
    <w:rsid w:val="55264138"/>
    <w:rsid w:val="555170A7"/>
    <w:rsid w:val="5563538C"/>
    <w:rsid w:val="55660505"/>
    <w:rsid w:val="5587536D"/>
    <w:rsid w:val="559B174B"/>
    <w:rsid w:val="55A25EB5"/>
    <w:rsid w:val="55CC6F60"/>
    <w:rsid w:val="55CE0CF4"/>
    <w:rsid w:val="55D12228"/>
    <w:rsid w:val="560C1580"/>
    <w:rsid w:val="561C5C67"/>
    <w:rsid w:val="56265BD3"/>
    <w:rsid w:val="5632548A"/>
    <w:rsid w:val="564231F4"/>
    <w:rsid w:val="565E2B72"/>
    <w:rsid w:val="567333AD"/>
    <w:rsid w:val="56B22A9C"/>
    <w:rsid w:val="56BE0EC5"/>
    <w:rsid w:val="57233CB9"/>
    <w:rsid w:val="573E1C0D"/>
    <w:rsid w:val="5747168F"/>
    <w:rsid w:val="574A02E3"/>
    <w:rsid w:val="57771297"/>
    <w:rsid w:val="579655A5"/>
    <w:rsid w:val="57B72A76"/>
    <w:rsid w:val="57C3426C"/>
    <w:rsid w:val="57CE1F93"/>
    <w:rsid w:val="57E02CC4"/>
    <w:rsid w:val="57EA7690"/>
    <w:rsid w:val="582C7CB7"/>
    <w:rsid w:val="582E3A30"/>
    <w:rsid w:val="58592F4A"/>
    <w:rsid w:val="586D669E"/>
    <w:rsid w:val="588743D1"/>
    <w:rsid w:val="58874B26"/>
    <w:rsid w:val="5887701A"/>
    <w:rsid w:val="589F0489"/>
    <w:rsid w:val="58CB38C0"/>
    <w:rsid w:val="591318FB"/>
    <w:rsid w:val="593863AA"/>
    <w:rsid w:val="59796F2C"/>
    <w:rsid w:val="597E4CEF"/>
    <w:rsid w:val="598F49A2"/>
    <w:rsid w:val="59C0439F"/>
    <w:rsid w:val="59C82416"/>
    <w:rsid w:val="5A0377E1"/>
    <w:rsid w:val="5A1F5392"/>
    <w:rsid w:val="5A234C76"/>
    <w:rsid w:val="5A5A6D5E"/>
    <w:rsid w:val="5A85561B"/>
    <w:rsid w:val="5ABE2233"/>
    <w:rsid w:val="5ABF0555"/>
    <w:rsid w:val="5AC8016B"/>
    <w:rsid w:val="5AEC372E"/>
    <w:rsid w:val="5B2829B8"/>
    <w:rsid w:val="5B3A71B7"/>
    <w:rsid w:val="5B5714EF"/>
    <w:rsid w:val="5B584133"/>
    <w:rsid w:val="5B615779"/>
    <w:rsid w:val="5B9B59CB"/>
    <w:rsid w:val="5BD20B76"/>
    <w:rsid w:val="5BD25946"/>
    <w:rsid w:val="5BD8504C"/>
    <w:rsid w:val="5BDC3402"/>
    <w:rsid w:val="5BDF5D95"/>
    <w:rsid w:val="5BE069CE"/>
    <w:rsid w:val="5BFE7528"/>
    <w:rsid w:val="5C085BFB"/>
    <w:rsid w:val="5C0F5926"/>
    <w:rsid w:val="5C557A17"/>
    <w:rsid w:val="5C567725"/>
    <w:rsid w:val="5C6300BB"/>
    <w:rsid w:val="5C874B1D"/>
    <w:rsid w:val="5C891B7C"/>
    <w:rsid w:val="5CB169DD"/>
    <w:rsid w:val="5CDF179C"/>
    <w:rsid w:val="5D144BCD"/>
    <w:rsid w:val="5D1B7FA1"/>
    <w:rsid w:val="5D83037A"/>
    <w:rsid w:val="5D885B92"/>
    <w:rsid w:val="5DA6050C"/>
    <w:rsid w:val="5DB22A0D"/>
    <w:rsid w:val="5DB4653D"/>
    <w:rsid w:val="5DBE5856"/>
    <w:rsid w:val="5DDD2679"/>
    <w:rsid w:val="5E062EE8"/>
    <w:rsid w:val="5E2467F1"/>
    <w:rsid w:val="5E2E3C7D"/>
    <w:rsid w:val="5E3552D9"/>
    <w:rsid w:val="5E4C73F1"/>
    <w:rsid w:val="5E6071EA"/>
    <w:rsid w:val="5E8638CA"/>
    <w:rsid w:val="5E940365"/>
    <w:rsid w:val="5E9F7435"/>
    <w:rsid w:val="5EB804F7"/>
    <w:rsid w:val="5EC0553F"/>
    <w:rsid w:val="5EC724E8"/>
    <w:rsid w:val="5F1A2B43"/>
    <w:rsid w:val="5F203155"/>
    <w:rsid w:val="5F526256"/>
    <w:rsid w:val="5F8421A1"/>
    <w:rsid w:val="5FAB1E0A"/>
    <w:rsid w:val="5FB837BB"/>
    <w:rsid w:val="5FBF10D2"/>
    <w:rsid w:val="5FC44C79"/>
    <w:rsid w:val="602A588C"/>
    <w:rsid w:val="605C4EFD"/>
    <w:rsid w:val="607B35EA"/>
    <w:rsid w:val="60A73B8C"/>
    <w:rsid w:val="60B92304"/>
    <w:rsid w:val="60CC405A"/>
    <w:rsid w:val="60EE6452"/>
    <w:rsid w:val="611C2BC3"/>
    <w:rsid w:val="61240B03"/>
    <w:rsid w:val="61447E20"/>
    <w:rsid w:val="614B11AE"/>
    <w:rsid w:val="616710AC"/>
    <w:rsid w:val="61691D32"/>
    <w:rsid w:val="61D27EB7"/>
    <w:rsid w:val="61DB6D9C"/>
    <w:rsid w:val="61E215D8"/>
    <w:rsid w:val="61EF4230"/>
    <w:rsid w:val="61F47A98"/>
    <w:rsid w:val="61F82D30"/>
    <w:rsid w:val="61FB0E26"/>
    <w:rsid w:val="62181329"/>
    <w:rsid w:val="62185625"/>
    <w:rsid w:val="621B3775"/>
    <w:rsid w:val="623600B0"/>
    <w:rsid w:val="62364782"/>
    <w:rsid w:val="623A3D29"/>
    <w:rsid w:val="62402CDD"/>
    <w:rsid w:val="62414951"/>
    <w:rsid w:val="62CD2196"/>
    <w:rsid w:val="62F31AFE"/>
    <w:rsid w:val="63184CF0"/>
    <w:rsid w:val="632A736E"/>
    <w:rsid w:val="63424833"/>
    <w:rsid w:val="63493A10"/>
    <w:rsid w:val="63506F50"/>
    <w:rsid w:val="6394356A"/>
    <w:rsid w:val="63BF41F6"/>
    <w:rsid w:val="63C03819"/>
    <w:rsid w:val="63C61B2C"/>
    <w:rsid w:val="63D40BE9"/>
    <w:rsid w:val="63E87BA4"/>
    <w:rsid w:val="640B731B"/>
    <w:rsid w:val="64102431"/>
    <w:rsid w:val="64490689"/>
    <w:rsid w:val="6479315C"/>
    <w:rsid w:val="647A3F6A"/>
    <w:rsid w:val="64942E6C"/>
    <w:rsid w:val="64A5243A"/>
    <w:rsid w:val="64AD68B8"/>
    <w:rsid w:val="64D12312"/>
    <w:rsid w:val="64D23995"/>
    <w:rsid w:val="64EB4A10"/>
    <w:rsid w:val="64F531DE"/>
    <w:rsid w:val="650C293A"/>
    <w:rsid w:val="651D01F2"/>
    <w:rsid w:val="652F0DE7"/>
    <w:rsid w:val="65373578"/>
    <w:rsid w:val="65511CBA"/>
    <w:rsid w:val="658C7FE7"/>
    <w:rsid w:val="65AC0E0D"/>
    <w:rsid w:val="65EB7404"/>
    <w:rsid w:val="66081ABD"/>
    <w:rsid w:val="66292291"/>
    <w:rsid w:val="664C5C95"/>
    <w:rsid w:val="667473F9"/>
    <w:rsid w:val="66763171"/>
    <w:rsid w:val="668F7D8F"/>
    <w:rsid w:val="66BE1368"/>
    <w:rsid w:val="66ED2D08"/>
    <w:rsid w:val="66F928BE"/>
    <w:rsid w:val="670E523D"/>
    <w:rsid w:val="6710264E"/>
    <w:rsid w:val="671958AB"/>
    <w:rsid w:val="671E1113"/>
    <w:rsid w:val="671F124A"/>
    <w:rsid w:val="67541762"/>
    <w:rsid w:val="677A33C6"/>
    <w:rsid w:val="67BA52E0"/>
    <w:rsid w:val="67E179D5"/>
    <w:rsid w:val="67E3217D"/>
    <w:rsid w:val="681F6961"/>
    <w:rsid w:val="684921C0"/>
    <w:rsid w:val="68582403"/>
    <w:rsid w:val="68610A2F"/>
    <w:rsid w:val="687920A3"/>
    <w:rsid w:val="68805514"/>
    <w:rsid w:val="689773CF"/>
    <w:rsid w:val="68A260DE"/>
    <w:rsid w:val="68A65864"/>
    <w:rsid w:val="68AB2E7A"/>
    <w:rsid w:val="68E50ABA"/>
    <w:rsid w:val="690262F9"/>
    <w:rsid w:val="6931512E"/>
    <w:rsid w:val="69316E2F"/>
    <w:rsid w:val="694E2071"/>
    <w:rsid w:val="69766163"/>
    <w:rsid w:val="697A3B33"/>
    <w:rsid w:val="69A07FDC"/>
    <w:rsid w:val="69C97F64"/>
    <w:rsid w:val="69D44760"/>
    <w:rsid w:val="69D71623"/>
    <w:rsid w:val="69D952C7"/>
    <w:rsid w:val="69E623BC"/>
    <w:rsid w:val="69F30635"/>
    <w:rsid w:val="69F61ED3"/>
    <w:rsid w:val="6A0112D7"/>
    <w:rsid w:val="6A0B3BD1"/>
    <w:rsid w:val="6A4E526C"/>
    <w:rsid w:val="6A520EC7"/>
    <w:rsid w:val="6A5645D1"/>
    <w:rsid w:val="6A582B8E"/>
    <w:rsid w:val="6A5C063B"/>
    <w:rsid w:val="6A624A2F"/>
    <w:rsid w:val="6A6257BB"/>
    <w:rsid w:val="6A9B4D03"/>
    <w:rsid w:val="6AB75B07"/>
    <w:rsid w:val="6AE34B4E"/>
    <w:rsid w:val="6AF87E20"/>
    <w:rsid w:val="6B06274F"/>
    <w:rsid w:val="6B322639"/>
    <w:rsid w:val="6B482C03"/>
    <w:rsid w:val="6B5E41D4"/>
    <w:rsid w:val="6B9F1145"/>
    <w:rsid w:val="6BB32256"/>
    <w:rsid w:val="6BD6020E"/>
    <w:rsid w:val="6BE50451"/>
    <w:rsid w:val="6C07486C"/>
    <w:rsid w:val="6C37269B"/>
    <w:rsid w:val="6C524DBC"/>
    <w:rsid w:val="6C636C38"/>
    <w:rsid w:val="6C6C4CB7"/>
    <w:rsid w:val="6C9553E6"/>
    <w:rsid w:val="6CA43E69"/>
    <w:rsid w:val="6CCA2C1A"/>
    <w:rsid w:val="6CD52274"/>
    <w:rsid w:val="6D0019E7"/>
    <w:rsid w:val="6D2869AA"/>
    <w:rsid w:val="6D3C0545"/>
    <w:rsid w:val="6D45389E"/>
    <w:rsid w:val="6D461EAA"/>
    <w:rsid w:val="6D8112C5"/>
    <w:rsid w:val="6DB34098"/>
    <w:rsid w:val="6DB545B6"/>
    <w:rsid w:val="6DD71684"/>
    <w:rsid w:val="6DE02FB4"/>
    <w:rsid w:val="6DF8171E"/>
    <w:rsid w:val="6E1A6AD8"/>
    <w:rsid w:val="6E514CED"/>
    <w:rsid w:val="6E5C0E9F"/>
    <w:rsid w:val="6E697118"/>
    <w:rsid w:val="6E902A69"/>
    <w:rsid w:val="6EB563D5"/>
    <w:rsid w:val="6EB74E1F"/>
    <w:rsid w:val="6EBB7F32"/>
    <w:rsid w:val="6EC85169"/>
    <w:rsid w:val="6ED92677"/>
    <w:rsid w:val="6EE449F0"/>
    <w:rsid w:val="6F1572A0"/>
    <w:rsid w:val="6F225983"/>
    <w:rsid w:val="6F2317C6"/>
    <w:rsid w:val="6F433E0D"/>
    <w:rsid w:val="6F445CA8"/>
    <w:rsid w:val="6F5E2375"/>
    <w:rsid w:val="6FD74555"/>
    <w:rsid w:val="6FFC5590"/>
    <w:rsid w:val="700C70BA"/>
    <w:rsid w:val="701D01BA"/>
    <w:rsid w:val="70227EC6"/>
    <w:rsid w:val="70231548"/>
    <w:rsid w:val="70394CA3"/>
    <w:rsid w:val="70534050"/>
    <w:rsid w:val="70640519"/>
    <w:rsid w:val="706D1DD0"/>
    <w:rsid w:val="70856B87"/>
    <w:rsid w:val="7091072B"/>
    <w:rsid w:val="70A46B2D"/>
    <w:rsid w:val="70AA52D5"/>
    <w:rsid w:val="70AC7790"/>
    <w:rsid w:val="70C76378"/>
    <w:rsid w:val="70CC1BE0"/>
    <w:rsid w:val="70D527EE"/>
    <w:rsid w:val="70D867D7"/>
    <w:rsid w:val="70DA60AB"/>
    <w:rsid w:val="70FC4273"/>
    <w:rsid w:val="712215CC"/>
    <w:rsid w:val="713F0604"/>
    <w:rsid w:val="71542301"/>
    <w:rsid w:val="715B5300"/>
    <w:rsid w:val="716D5171"/>
    <w:rsid w:val="71881333"/>
    <w:rsid w:val="718B55F7"/>
    <w:rsid w:val="71D14601"/>
    <w:rsid w:val="71D27F8A"/>
    <w:rsid w:val="71D90A58"/>
    <w:rsid w:val="71F413EE"/>
    <w:rsid w:val="72037883"/>
    <w:rsid w:val="722424EC"/>
    <w:rsid w:val="723F5BA4"/>
    <w:rsid w:val="72547A50"/>
    <w:rsid w:val="72553024"/>
    <w:rsid w:val="72614F83"/>
    <w:rsid w:val="72673320"/>
    <w:rsid w:val="72AB3D4C"/>
    <w:rsid w:val="72D134DE"/>
    <w:rsid w:val="73122968"/>
    <w:rsid w:val="731F5D5E"/>
    <w:rsid w:val="73356235"/>
    <w:rsid w:val="73385580"/>
    <w:rsid w:val="734E11AA"/>
    <w:rsid w:val="735A7977"/>
    <w:rsid w:val="735C549D"/>
    <w:rsid w:val="73793101"/>
    <w:rsid w:val="737E4B09"/>
    <w:rsid w:val="738749D1"/>
    <w:rsid w:val="738C32BA"/>
    <w:rsid w:val="739C7F8F"/>
    <w:rsid w:val="73AD7AA7"/>
    <w:rsid w:val="73C51AD5"/>
    <w:rsid w:val="73E84F83"/>
    <w:rsid w:val="74143A77"/>
    <w:rsid w:val="741E793C"/>
    <w:rsid w:val="74534AF2"/>
    <w:rsid w:val="745E3944"/>
    <w:rsid w:val="745E6304"/>
    <w:rsid w:val="74A4534E"/>
    <w:rsid w:val="74B35591"/>
    <w:rsid w:val="74B60BDD"/>
    <w:rsid w:val="74D2336D"/>
    <w:rsid w:val="754B7577"/>
    <w:rsid w:val="758B3574"/>
    <w:rsid w:val="758B3E18"/>
    <w:rsid w:val="758D193E"/>
    <w:rsid w:val="75BC66C7"/>
    <w:rsid w:val="7625426C"/>
    <w:rsid w:val="7635099D"/>
    <w:rsid w:val="763E7DF8"/>
    <w:rsid w:val="764861AD"/>
    <w:rsid w:val="766A10B5"/>
    <w:rsid w:val="766F3739"/>
    <w:rsid w:val="76780840"/>
    <w:rsid w:val="76857A13"/>
    <w:rsid w:val="76880357"/>
    <w:rsid w:val="76BB24DB"/>
    <w:rsid w:val="76DF266D"/>
    <w:rsid w:val="76E3754E"/>
    <w:rsid w:val="76F51E90"/>
    <w:rsid w:val="774A4CE6"/>
    <w:rsid w:val="774B603A"/>
    <w:rsid w:val="77762421"/>
    <w:rsid w:val="7791148D"/>
    <w:rsid w:val="77B56B1F"/>
    <w:rsid w:val="77D543BA"/>
    <w:rsid w:val="77D9522E"/>
    <w:rsid w:val="77EC0A25"/>
    <w:rsid w:val="77FC724F"/>
    <w:rsid w:val="780F09F4"/>
    <w:rsid w:val="782B18E2"/>
    <w:rsid w:val="786F0B23"/>
    <w:rsid w:val="788F4D40"/>
    <w:rsid w:val="78A90480"/>
    <w:rsid w:val="78B34914"/>
    <w:rsid w:val="78D04E3E"/>
    <w:rsid w:val="78F87A16"/>
    <w:rsid w:val="792F71B0"/>
    <w:rsid w:val="793A002E"/>
    <w:rsid w:val="798B05A7"/>
    <w:rsid w:val="79A656C4"/>
    <w:rsid w:val="79FE2452"/>
    <w:rsid w:val="7A212F9C"/>
    <w:rsid w:val="7A214BC7"/>
    <w:rsid w:val="7A364017"/>
    <w:rsid w:val="7A546ECE"/>
    <w:rsid w:val="7A5E1AFB"/>
    <w:rsid w:val="7A6118EF"/>
    <w:rsid w:val="7A8265E1"/>
    <w:rsid w:val="7ABC09CD"/>
    <w:rsid w:val="7B0E1773"/>
    <w:rsid w:val="7B0F7299"/>
    <w:rsid w:val="7B1242D4"/>
    <w:rsid w:val="7B22521E"/>
    <w:rsid w:val="7B686D42"/>
    <w:rsid w:val="7B841746"/>
    <w:rsid w:val="7BDD1603"/>
    <w:rsid w:val="7BDD1CD9"/>
    <w:rsid w:val="7BE10C22"/>
    <w:rsid w:val="7C09509A"/>
    <w:rsid w:val="7C0E7550"/>
    <w:rsid w:val="7C17320C"/>
    <w:rsid w:val="7C5C7201"/>
    <w:rsid w:val="7C6C5AC7"/>
    <w:rsid w:val="7C883F5E"/>
    <w:rsid w:val="7C8E7993"/>
    <w:rsid w:val="7CB40242"/>
    <w:rsid w:val="7CB62248"/>
    <w:rsid w:val="7CC6544B"/>
    <w:rsid w:val="7D0239FF"/>
    <w:rsid w:val="7D495EEB"/>
    <w:rsid w:val="7D5E40CD"/>
    <w:rsid w:val="7DA4016C"/>
    <w:rsid w:val="7DBB459D"/>
    <w:rsid w:val="7DCD56F2"/>
    <w:rsid w:val="7DF05160"/>
    <w:rsid w:val="7E2E3EDA"/>
    <w:rsid w:val="7E590F57"/>
    <w:rsid w:val="7E6B270E"/>
    <w:rsid w:val="7E924469"/>
    <w:rsid w:val="7EB048EF"/>
    <w:rsid w:val="7EC34622"/>
    <w:rsid w:val="7F001CE7"/>
    <w:rsid w:val="7F104C8C"/>
    <w:rsid w:val="7F23202A"/>
    <w:rsid w:val="7F635BA7"/>
    <w:rsid w:val="7F74591C"/>
    <w:rsid w:val="7FA03C77"/>
    <w:rsid w:val="7FC543CA"/>
    <w:rsid w:val="7FC73101"/>
    <w:rsid w:val="7FD8310D"/>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35"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0"/>
    <w:pPr>
      <w:keepNext/>
      <w:keepLines/>
      <w:outlineLvl w:val="2"/>
    </w:pPr>
    <w:rPr>
      <w:b/>
      <w:sz w:val="28"/>
    </w:rPr>
  </w:style>
  <w:style w:type="character" w:default="1" w:styleId="30">
    <w:name w:val="Default Paragraph Font"/>
    <w:semiHidden/>
    <w:qFormat/>
    <w:uiPriority w:val="0"/>
  </w:style>
  <w:style w:type="table" w:default="1" w:styleId="28">
    <w:name w:val="Normal Table"/>
    <w:semiHidden/>
    <w:uiPriority w:val="0"/>
    <w:tblPr>
      <w:tblCellMar>
        <w:top w:w="0" w:type="dxa"/>
        <w:left w:w="108" w:type="dxa"/>
        <w:bottom w:w="0" w:type="dxa"/>
        <w:right w:w="108" w:type="dxa"/>
      </w:tblCellMar>
    </w:tblPr>
  </w:style>
  <w:style w:type="paragraph" w:styleId="4">
    <w:name w:val="Note Heading"/>
    <w:basedOn w:val="1"/>
    <w:next w:val="1"/>
    <w:qFormat/>
    <w:locked/>
    <w:uiPriority w:val="0"/>
    <w:pPr>
      <w:jc w:val="center"/>
    </w:pPr>
    <w:rPr>
      <w:rFonts w:ascii="Times New Roman" w:hAnsi="Times New Roman" w:cs="Times New Roman"/>
      <w:sz w:val="28"/>
      <w:szCs w:val="20"/>
    </w:rPr>
  </w:style>
  <w:style w:type="paragraph" w:styleId="5">
    <w:name w:val="Normal Indent"/>
    <w:basedOn w:val="1"/>
    <w:next w:val="6"/>
    <w:qFormat/>
    <w:locked/>
    <w:uiPriority w:val="0"/>
    <w:pPr>
      <w:ind w:firstLine="420" w:firstLineChars="200"/>
    </w:pPr>
    <w:rPr>
      <w:rFonts w:eastAsia="宋体"/>
      <w:kern w:val="2"/>
      <w:sz w:val="21"/>
      <w:szCs w:val="24"/>
      <w:lang w:val="en-US" w:eastAsia="zh-CN" w:bidi="ar-SA"/>
    </w:rPr>
  </w:style>
  <w:style w:type="paragraph" w:customStyle="1" w:styleId="6">
    <w:name w:val="Char Char Char Char Char Char Char Char Char1 Char"/>
    <w:basedOn w:val="1"/>
    <w:next w:val="7"/>
    <w:qFormat/>
    <w:uiPriority w:val="0"/>
    <w:pPr>
      <w:spacing w:line="360" w:lineRule="auto"/>
      <w:ind w:firstLine="200" w:firstLineChars="200"/>
    </w:pPr>
    <w:rPr>
      <w:rFonts w:hAnsi="宋体" w:cs="宋体"/>
      <w:spacing w:val="0"/>
      <w:sz w:val="24"/>
      <w:szCs w:val="24"/>
    </w:rPr>
  </w:style>
  <w:style w:type="paragraph" w:customStyle="1" w:styleId="7">
    <w:name w:val="Body Text First Indent1"/>
    <w:basedOn w:val="8"/>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styleId="8">
    <w:name w:val="Body Text"/>
    <w:basedOn w:val="1"/>
    <w:link w:val="37"/>
    <w:qFormat/>
    <w:uiPriority w:val="0"/>
    <w:pPr>
      <w:widowControl/>
      <w:snapToGrid w:val="0"/>
      <w:spacing w:before="60" w:after="160" w:line="259" w:lineRule="auto"/>
      <w:ind w:right="113"/>
    </w:pPr>
    <w:rPr>
      <w:kern w:val="0"/>
      <w:sz w:val="18"/>
      <w:szCs w:val="20"/>
    </w:rPr>
  </w:style>
  <w:style w:type="paragraph" w:styleId="9">
    <w:name w:val="caption"/>
    <w:basedOn w:val="1"/>
    <w:next w:val="1"/>
    <w:qFormat/>
    <w:locked/>
    <w:uiPriority w:val="35"/>
    <w:pPr>
      <w:spacing w:before="10"/>
      <w:ind w:firstLine="0" w:firstLineChars="0"/>
      <w:jc w:val="center"/>
    </w:pPr>
    <w:rPr>
      <w:b/>
      <w:szCs w:val="20"/>
    </w:rPr>
  </w:style>
  <w:style w:type="paragraph" w:styleId="10">
    <w:name w:val="annotation text"/>
    <w:basedOn w:val="1"/>
    <w:link w:val="38"/>
    <w:semiHidden/>
    <w:qFormat/>
    <w:uiPriority w:val="0"/>
    <w:pPr>
      <w:jc w:val="left"/>
    </w:pPr>
    <w:rPr>
      <w:kern w:val="0"/>
      <w:sz w:val="24"/>
      <w:szCs w:val="20"/>
    </w:rPr>
  </w:style>
  <w:style w:type="paragraph" w:styleId="11">
    <w:name w:val="Body Text Indent"/>
    <w:basedOn w:val="1"/>
    <w:link w:val="39"/>
    <w:qFormat/>
    <w:uiPriority w:val="0"/>
    <w:pPr>
      <w:spacing w:after="120"/>
      <w:ind w:left="420" w:leftChars="200"/>
    </w:pPr>
    <w:rPr>
      <w:kern w:val="0"/>
      <w:sz w:val="24"/>
      <w:szCs w:val="20"/>
    </w:rPr>
  </w:style>
  <w:style w:type="paragraph" w:styleId="12">
    <w:name w:val="Block Text"/>
    <w:basedOn w:val="1"/>
    <w:qFormat/>
    <w:locked/>
    <w:uiPriority w:val="0"/>
    <w:pPr>
      <w:spacing w:after="120"/>
      <w:ind w:left="1440" w:leftChars="700" w:right="1440" w:rightChars="700"/>
    </w:pPr>
  </w:style>
  <w:style w:type="paragraph" w:styleId="13">
    <w:name w:val="Plain Text"/>
    <w:basedOn w:val="1"/>
    <w:next w:val="14"/>
    <w:qFormat/>
    <w:locked/>
    <w:uiPriority w:val="0"/>
    <w:rPr>
      <w:rFonts w:ascii="宋体" w:hAnsi="Courier New" w:cs="Courier New"/>
      <w:szCs w:val="21"/>
    </w:rPr>
  </w:style>
  <w:style w:type="paragraph" w:customStyle="1" w:styleId="14">
    <w:name w:val="Default"/>
    <w:basedOn w:val="15"/>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styleId="16">
    <w:name w:val="Date"/>
    <w:basedOn w:val="1"/>
    <w:next w:val="1"/>
    <w:link w:val="40"/>
    <w:qFormat/>
    <w:uiPriority w:val="0"/>
    <w:pPr>
      <w:ind w:left="100" w:leftChars="2500"/>
    </w:pPr>
    <w:rPr>
      <w:kern w:val="0"/>
      <w:sz w:val="24"/>
      <w:szCs w:val="20"/>
    </w:rPr>
  </w:style>
  <w:style w:type="paragraph" w:styleId="17">
    <w:name w:val="Body Text Indent 2"/>
    <w:basedOn w:val="1"/>
    <w:qFormat/>
    <w:locked/>
    <w:uiPriority w:val="0"/>
    <w:pPr>
      <w:spacing w:after="120" w:line="480" w:lineRule="auto"/>
      <w:ind w:left="420" w:leftChars="200"/>
    </w:pPr>
    <w:rPr>
      <w:rFonts w:ascii="Calibri" w:hAnsi="Calibri" w:eastAsia="宋体" w:cs="Times New Roman"/>
      <w:szCs w:val="22"/>
    </w:rPr>
  </w:style>
  <w:style w:type="paragraph" w:styleId="18">
    <w:name w:val="Balloon Text"/>
    <w:basedOn w:val="1"/>
    <w:link w:val="41"/>
    <w:semiHidden/>
    <w:qFormat/>
    <w:uiPriority w:val="0"/>
    <w:rPr>
      <w:kern w:val="0"/>
      <w:sz w:val="18"/>
      <w:szCs w:val="20"/>
    </w:rPr>
  </w:style>
  <w:style w:type="paragraph" w:styleId="19">
    <w:name w:val="footer"/>
    <w:basedOn w:val="1"/>
    <w:link w:val="42"/>
    <w:qFormat/>
    <w:uiPriority w:val="99"/>
    <w:pPr>
      <w:tabs>
        <w:tab w:val="center" w:pos="4153"/>
        <w:tab w:val="right" w:pos="8306"/>
      </w:tabs>
      <w:snapToGrid w:val="0"/>
      <w:jc w:val="left"/>
    </w:pPr>
    <w:rPr>
      <w:kern w:val="0"/>
      <w:sz w:val="18"/>
      <w:szCs w:val="20"/>
    </w:rPr>
  </w:style>
  <w:style w:type="paragraph" w:styleId="20">
    <w:name w:val="header"/>
    <w:basedOn w:val="1"/>
    <w:link w:val="43"/>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qFormat/>
    <w:locked/>
    <w:uiPriority w:val="0"/>
  </w:style>
  <w:style w:type="paragraph" w:styleId="22">
    <w:name w:val="List"/>
    <w:basedOn w:val="1"/>
    <w:next w:val="1"/>
    <w:qFormat/>
    <w:locked/>
    <w:uiPriority w:val="0"/>
    <w:pPr>
      <w:spacing w:line="240" w:lineRule="auto"/>
      <w:ind w:left="200" w:hanging="200" w:hangingChars="200"/>
    </w:pPr>
    <w:rPr>
      <w:rFonts w:ascii="Calibri" w:hAnsi="Calibri"/>
      <w:szCs w:val="20"/>
    </w:rPr>
  </w:style>
  <w:style w:type="paragraph" w:styleId="23">
    <w:name w:val="toc 2"/>
    <w:basedOn w:val="1"/>
    <w:next w:val="1"/>
    <w:qFormat/>
    <w:locked/>
    <w:uiPriority w:val="0"/>
    <w:pPr>
      <w:ind w:left="420" w:leftChars="200"/>
    </w:pPr>
  </w:style>
  <w:style w:type="paragraph" w:styleId="24">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5">
    <w:name w:val="annotation subject"/>
    <w:basedOn w:val="10"/>
    <w:next w:val="10"/>
    <w:link w:val="45"/>
    <w:semiHidden/>
    <w:qFormat/>
    <w:uiPriority w:val="0"/>
    <w:rPr>
      <w:b/>
      <w:sz w:val="24"/>
      <w:szCs w:val="20"/>
    </w:rPr>
  </w:style>
  <w:style w:type="paragraph" w:styleId="26">
    <w:name w:val="Body Text First Indent 2"/>
    <w:basedOn w:val="27"/>
    <w:qFormat/>
    <w:locked/>
    <w:uiPriority w:val="0"/>
    <w:pPr>
      <w:ind w:firstLine="420" w:firstLineChars="200"/>
    </w:pPr>
  </w:style>
  <w:style w:type="paragraph" w:customStyle="1" w:styleId="27">
    <w:name w:val="Body Text Indent1"/>
    <w:basedOn w:val="1"/>
    <w:qFormat/>
    <w:uiPriority w:val="0"/>
    <w:pPr>
      <w:spacing w:after="120" w:afterLines="0" w:line="360" w:lineRule="auto"/>
      <w:ind w:left="420" w:leftChars="200" w:firstLine="200" w:firstLineChars="200"/>
    </w:pPr>
    <w:rPr>
      <w:rFonts w:hint="default" w:ascii="Times New Roman" w:eastAsia="宋体"/>
      <w:kern w:val="2"/>
      <w:sz w:val="24"/>
      <w:lang w:val="en-US" w:eastAsia="zh-CN"/>
    </w:r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locked/>
    <w:uiPriority w:val="0"/>
    <w:rPr>
      <w:b/>
    </w:rPr>
  </w:style>
  <w:style w:type="character" w:styleId="32">
    <w:name w:val="page number"/>
    <w:basedOn w:val="30"/>
    <w:qFormat/>
    <w:locked/>
    <w:uiPriority w:val="0"/>
  </w:style>
  <w:style w:type="character" w:styleId="33">
    <w:name w:val="Emphasis"/>
    <w:basedOn w:val="30"/>
    <w:qFormat/>
    <w:locked/>
    <w:uiPriority w:val="0"/>
    <w:rPr>
      <w:i/>
    </w:rPr>
  </w:style>
  <w:style w:type="character" w:styleId="34">
    <w:name w:val="Hyperlink"/>
    <w:basedOn w:val="30"/>
    <w:qFormat/>
    <w:locked/>
    <w:uiPriority w:val="0"/>
    <w:rPr>
      <w:color w:val="0000FF"/>
      <w:u w:val="single"/>
    </w:rPr>
  </w:style>
  <w:style w:type="character" w:styleId="35">
    <w:name w:val="annotation reference"/>
    <w:semiHidden/>
    <w:qFormat/>
    <w:uiPriority w:val="0"/>
    <w:rPr>
      <w:sz w:val="21"/>
    </w:rPr>
  </w:style>
  <w:style w:type="paragraph" w:customStyle="1" w:styleId="36">
    <w:name w:val="表头"/>
    <w:basedOn w:val="22"/>
    <w:next w:val="1"/>
    <w:qFormat/>
    <w:uiPriority w:val="0"/>
    <w:pPr>
      <w:overflowPunct w:val="0"/>
      <w:ind w:firstLine="0" w:firstLineChars="0"/>
      <w:jc w:val="center"/>
    </w:pPr>
    <w:rPr>
      <w:rFonts w:ascii="Times New Roman" w:hAnsi="Times New Roman" w:eastAsia="宋体" w:cs="Times New Roman"/>
      <w:b/>
      <w:sz w:val="21"/>
    </w:rPr>
  </w:style>
  <w:style w:type="character" w:customStyle="1" w:styleId="37">
    <w:name w:val="正文文本 Char"/>
    <w:link w:val="8"/>
    <w:qFormat/>
    <w:locked/>
    <w:uiPriority w:val="0"/>
    <w:rPr>
      <w:sz w:val="18"/>
    </w:rPr>
  </w:style>
  <w:style w:type="character" w:customStyle="1" w:styleId="38">
    <w:name w:val="批注文字 Char"/>
    <w:link w:val="10"/>
    <w:qFormat/>
    <w:locked/>
    <w:uiPriority w:val="0"/>
    <w:rPr>
      <w:rFonts w:ascii="Times New Roman" w:hAnsi="Times New Roman" w:eastAsia="宋体"/>
      <w:sz w:val="24"/>
    </w:rPr>
  </w:style>
  <w:style w:type="character" w:customStyle="1" w:styleId="39">
    <w:name w:val="正文文本缩进 Char"/>
    <w:link w:val="11"/>
    <w:semiHidden/>
    <w:qFormat/>
    <w:locked/>
    <w:uiPriority w:val="0"/>
    <w:rPr>
      <w:rFonts w:ascii="Times New Roman" w:hAnsi="Times New Roman" w:eastAsia="宋体"/>
      <w:sz w:val="24"/>
    </w:rPr>
  </w:style>
  <w:style w:type="character" w:customStyle="1" w:styleId="40">
    <w:name w:val="日期 Char"/>
    <w:link w:val="16"/>
    <w:qFormat/>
    <w:locked/>
    <w:uiPriority w:val="0"/>
    <w:rPr>
      <w:rFonts w:ascii="Times New Roman" w:hAnsi="Times New Roman" w:eastAsia="宋体"/>
      <w:sz w:val="24"/>
    </w:rPr>
  </w:style>
  <w:style w:type="character" w:customStyle="1" w:styleId="41">
    <w:name w:val="批注框文本 Char"/>
    <w:link w:val="18"/>
    <w:semiHidden/>
    <w:qFormat/>
    <w:locked/>
    <w:uiPriority w:val="0"/>
    <w:rPr>
      <w:rFonts w:ascii="Times New Roman" w:hAnsi="Times New Roman" w:eastAsia="宋体"/>
      <w:sz w:val="18"/>
    </w:rPr>
  </w:style>
  <w:style w:type="character" w:customStyle="1" w:styleId="42">
    <w:name w:val="页脚 Char"/>
    <w:link w:val="19"/>
    <w:qFormat/>
    <w:locked/>
    <w:uiPriority w:val="99"/>
    <w:rPr>
      <w:sz w:val="18"/>
    </w:rPr>
  </w:style>
  <w:style w:type="character" w:customStyle="1" w:styleId="43">
    <w:name w:val="页眉 Char"/>
    <w:link w:val="20"/>
    <w:qFormat/>
    <w:locked/>
    <w:uiPriority w:val="0"/>
    <w:rPr>
      <w:sz w:val="18"/>
    </w:rPr>
  </w:style>
  <w:style w:type="character" w:customStyle="1" w:styleId="44">
    <w:name w:val="普通(网站) Char"/>
    <w:link w:val="24"/>
    <w:qFormat/>
    <w:locked/>
    <w:uiPriority w:val="0"/>
    <w:rPr>
      <w:rFonts w:ascii="宋体" w:hAnsi="宋体" w:eastAsia="宋体"/>
      <w:sz w:val="24"/>
    </w:rPr>
  </w:style>
  <w:style w:type="character" w:customStyle="1" w:styleId="45">
    <w:name w:val="批注主题 Char"/>
    <w:link w:val="25"/>
    <w:semiHidden/>
    <w:qFormat/>
    <w:locked/>
    <w:uiPriority w:val="0"/>
    <w:rPr>
      <w:rFonts w:ascii="Times New Roman" w:hAnsi="Times New Roman" w:eastAsia="宋体"/>
      <w:b/>
      <w:kern w:val="2"/>
      <w:sz w:val="24"/>
    </w:rPr>
  </w:style>
  <w:style w:type="character" w:customStyle="1" w:styleId="46">
    <w:name w:val="日期 字符"/>
    <w:semiHidden/>
    <w:qFormat/>
    <w:uiPriority w:val="0"/>
    <w:rPr>
      <w:rFonts w:ascii="Times New Roman" w:hAnsi="Times New Roman" w:eastAsia="宋体"/>
      <w:sz w:val="24"/>
    </w:rPr>
  </w:style>
  <w:style w:type="character" w:customStyle="1" w:styleId="47">
    <w:name w:val="表格 Char"/>
    <w:link w:val="48"/>
    <w:qFormat/>
    <w:locked/>
    <w:uiPriority w:val="0"/>
    <w:rPr>
      <w:rFonts w:ascii="宋体"/>
      <w:sz w:val="21"/>
    </w:rPr>
  </w:style>
  <w:style w:type="paragraph" w:customStyle="1" w:styleId="48">
    <w:name w:val="表格"/>
    <w:basedOn w:val="1"/>
    <w:next w:val="1"/>
    <w:link w:val="47"/>
    <w:qFormat/>
    <w:uiPriority w:val="0"/>
    <w:pPr>
      <w:adjustRightInd w:val="0"/>
      <w:snapToGrid w:val="0"/>
      <w:spacing w:beforeLines="10" w:afterLines="10" w:line="259" w:lineRule="auto"/>
      <w:jc w:val="center"/>
    </w:pPr>
    <w:rPr>
      <w:rFonts w:ascii="宋体"/>
      <w:kern w:val="0"/>
      <w:szCs w:val="20"/>
    </w:rPr>
  </w:style>
  <w:style w:type="character" w:customStyle="1" w:styleId="49">
    <w:name w:val="正文文本 字符1"/>
    <w:semiHidden/>
    <w:qFormat/>
    <w:uiPriority w:val="0"/>
    <w:rPr>
      <w:rFonts w:ascii="Times New Roman" w:hAnsi="Times New Roman" w:eastAsia="宋体"/>
      <w:sz w:val="24"/>
    </w:rPr>
  </w:style>
  <w:style w:type="character" w:customStyle="1" w:styleId="50">
    <w:name w:val="页脚 字符"/>
    <w:basedOn w:val="30"/>
    <w:qFormat/>
    <w:uiPriority w:val="99"/>
  </w:style>
  <w:style w:type="character" w:customStyle="1" w:styleId="51">
    <w:name w:val="批注文字 字符1"/>
    <w:semiHidden/>
    <w:qFormat/>
    <w:uiPriority w:val="0"/>
    <w:rPr>
      <w:rFonts w:ascii="Times New Roman" w:hAnsi="Times New Roman" w:eastAsia="宋体"/>
      <w:sz w:val="24"/>
    </w:rPr>
  </w:style>
  <w:style w:type="paragraph" w:customStyle="1" w:styleId="5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4">
    <w:name w:val="样式35"/>
    <w:next w:val="55"/>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55">
    <w:name w:val="font6"/>
    <w:basedOn w:val="1"/>
    <w:next w:val="23"/>
    <w:qFormat/>
    <w:uiPriority w:val="0"/>
    <w:pPr>
      <w:widowControl/>
      <w:spacing w:before="100" w:beforeAutospacing="1" w:after="100" w:afterAutospacing="1" w:line="240" w:lineRule="auto"/>
      <w:ind w:firstLine="0" w:firstLineChars="0"/>
      <w:jc w:val="left"/>
    </w:pPr>
    <w:rPr>
      <w:sz w:val="21"/>
      <w:szCs w:val="21"/>
    </w:rPr>
  </w:style>
  <w:style w:type="paragraph" w:customStyle="1" w:styleId="56">
    <w:name w:val="表格的正文"/>
    <w:basedOn w:val="1"/>
    <w:qFormat/>
    <w:uiPriority w:val="0"/>
    <w:pPr>
      <w:spacing w:line="240" w:lineRule="auto"/>
      <w:jc w:val="center"/>
    </w:pPr>
    <w:rPr>
      <w:sz w:val="21"/>
    </w:rPr>
  </w:style>
  <w:style w:type="table" w:customStyle="1" w:styleId="57">
    <w:name w:val="Table Normal"/>
    <w:qFormat/>
    <w:uiPriority w:val="2"/>
    <w:pPr>
      <w:widowControl w:val="0"/>
    </w:pPr>
    <w:rPr>
      <w:rFonts w:cs="宋体"/>
      <w:sz w:val="22"/>
      <w:szCs w:val="22"/>
      <w:lang w:eastAsia="en-US"/>
    </w:rPr>
    <w:tblPr>
      <w:tblCellMar>
        <w:top w:w="0" w:type="dxa"/>
        <w:left w:w="0" w:type="dxa"/>
        <w:bottom w:w="0" w:type="dxa"/>
        <w:right w:w="0" w:type="dxa"/>
      </w:tblCellMar>
    </w:tblPr>
  </w:style>
  <w:style w:type="paragraph" w:customStyle="1" w:styleId="58">
    <w:name w:val="报告表正文"/>
    <w:basedOn w:val="59"/>
    <w:qFormat/>
    <w:uiPriority w:val="0"/>
    <w:pPr>
      <w:widowControl w:val="0"/>
      <w:adjustRightInd w:val="0"/>
      <w:spacing w:line="360" w:lineRule="auto"/>
      <w:ind w:firstLine="480" w:firstLineChars="200"/>
      <w:jc w:val="both"/>
      <w:textAlignment w:val="baseline"/>
      <w:outlineLvl w:val="1"/>
    </w:pPr>
    <w:rPr>
      <w:rFonts w:ascii="Times New Roman" w:hAnsi="Times New Roman" w:cs="Times New Roman"/>
      <w:szCs w:val="28"/>
    </w:rPr>
  </w:style>
  <w:style w:type="paragraph" w:customStyle="1" w:styleId="59">
    <w:name w:val="报告正文"/>
    <w:basedOn w:val="60"/>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60">
    <w:name w:val="p17"/>
    <w:basedOn w:val="1"/>
    <w:qFormat/>
    <w:uiPriority w:val="0"/>
    <w:pPr>
      <w:widowControl/>
    </w:pPr>
    <w:rPr>
      <w:rFonts w:ascii="宋体" w:hAnsi="宋体" w:cs="宋体"/>
      <w:kern w:val="0"/>
      <w:szCs w:val="21"/>
    </w:rPr>
  </w:style>
  <w:style w:type="paragraph" w:customStyle="1" w:styleId="61">
    <w:name w:val="表格标题"/>
    <w:basedOn w:val="1"/>
    <w:qFormat/>
    <w:uiPriority w:val="0"/>
    <w:pPr>
      <w:ind w:firstLine="514" w:firstLineChars="244"/>
      <w:jc w:val="center"/>
    </w:pPr>
    <w:rPr>
      <w:b/>
    </w:rPr>
  </w:style>
  <w:style w:type="paragraph" w:customStyle="1" w:styleId="62">
    <w:name w:val="表格内"/>
    <w:basedOn w:val="1"/>
    <w:qFormat/>
    <w:uiPriority w:val="0"/>
    <w:pPr>
      <w:widowControl w:val="0"/>
      <w:spacing w:line="300" w:lineRule="exact"/>
      <w:jc w:val="center"/>
      <w:textAlignment w:val="center"/>
    </w:pPr>
    <w:rPr>
      <w:rFonts w:ascii="Times New Roman" w:hAnsi="Times New Roman" w:cs="Times New Roman"/>
      <w:kern w:val="2"/>
      <w:sz w:val="21"/>
      <w:szCs w:val="22"/>
    </w:rPr>
  </w:style>
  <w:style w:type="paragraph" w:customStyle="1" w:styleId="63">
    <w:name w:val="00.正文格式"/>
    <w:basedOn w:val="5"/>
    <w:qFormat/>
    <w:uiPriority w:val="0"/>
    <w:pPr>
      <w:widowControl/>
      <w:spacing w:line="360" w:lineRule="auto"/>
      <w:ind w:firstLine="200"/>
      <w:jc w:val="left"/>
    </w:pPr>
    <w:rPr>
      <w:rFonts w:hAnsi="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0.wmf"/><Relationship Id="rId23" Type="http://schemas.openxmlformats.org/officeDocument/2006/relationships/oleObject" Target="embeddings/oleObject8.bin"/><Relationship Id="rId22" Type="http://schemas.openxmlformats.org/officeDocument/2006/relationships/image" Target="media/image9.wmf"/><Relationship Id="rId21" Type="http://schemas.openxmlformats.org/officeDocument/2006/relationships/oleObject" Target="embeddings/oleObject7.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7.png"/><Relationship Id="rId17" Type="http://schemas.openxmlformats.org/officeDocument/2006/relationships/image" Target="media/image6.emf"/><Relationship Id="rId16" Type="http://schemas.openxmlformats.org/officeDocument/2006/relationships/oleObject" Target="embeddings/oleObject5.bin"/><Relationship Id="rId15" Type="http://schemas.openxmlformats.org/officeDocument/2006/relationships/image" Target="media/image5.wmf"/><Relationship Id="rId14" Type="http://schemas.openxmlformats.org/officeDocument/2006/relationships/oleObject" Target="embeddings/oleObject4.bin"/><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emf"/><Relationship Id="rId10" Type="http://schemas.openxmlformats.org/officeDocument/2006/relationships/oleObject" Target="embeddings/oleObject2.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Pages>52</Pages>
  <Words>9450</Words>
  <Characters>10468</Characters>
  <Lines>13</Lines>
  <Paragraphs>3</Paragraphs>
  <TotalTime>5</TotalTime>
  <ScaleCrop>false</ScaleCrop>
  <LinksUpToDate>false</LinksUpToDate>
  <CharactersWithSpaces>10611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尚云环境</dc:creator>
  <cp:lastModifiedBy>结局怎么写</cp:lastModifiedBy>
  <cp:lastPrinted>2020-12-29T02:43:00Z</cp:lastPrinted>
  <dcterms:modified xsi:type="dcterms:W3CDTF">2026-08-07T03:44:12Z</dcterms:modified>
  <dc:title>建设项目环境影响报告表（污染影响类）</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68E44CEC8E10448AAE915FD03DCE7502_13</vt:lpwstr>
  </property>
  <property fmtid="{D5CDD505-2E9C-101B-9397-08002B2CF9AE}" pid="4" name="KSOTemplateDocerSaveRecord">
    <vt:lpwstr>eyJoZGlkIjoiMGExNWQ4NGJlNzE0ODAwOWMxMDUyNGI5Zjk4ZTUyZTkiLCJ1c2VySWQiOiI0MDI5NTU3NjcifQ==</vt:lpwstr>
  </property>
</Properties>
</file>